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Workshop</w:t>
      </w:r>
      <w:r>
        <w:t xml:space="preserve"> </w:t>
      </w:r>
      <w:r>
        <w:t xml:space="preserve">1.5</w:t>
      </w:r>
      <w:r>
        <w:t xml:space="preserve"> </w:t>
      </w:r>
      <w:r>
        <w:t xml:space="preserve">-</w:t>
      </w:r>
      <w:r>
        <w:t xml:space="preserve"> </w:t>
      </w:r>
      <w:r>
        <w:t xml:space="preserve">Study</w:t>
      </w:r>
      <w:r>
        <w:t xml:space="preserve"> </w:t>
      </w:r>
      <w:r>
        <w:t xml:space="preserve">Notes</w:t>
      </w:r>
    </w:p>
    <w:p>
      <w:pPr>
        <w:pStyle w:val="Author"/>
      </w:pPr>
      <w:r>
        <w:t xml:space="preserve">Michelle</w:t>
      </w:r>
      <w:r>
        <w:t xml:space="preserve"> </w:t>
      </w:r>
      <w:r>
        <w:t xml:space="preserve">Pinard</w:t>
      </w:r>
      <w:r>
        <w:t xml:space="preserve"> </w:t>
      </w:r>
      <w:r>
        <w:t xml:space="preserve">&amp;</w:t>
      </w:r>
      <w:r>
        <w:t xml:space="preserve"> </w:t>
      </w:r>
      <w:r>
        <w:t xml:space="preserve">Deon</w:t>
      </w:r>
      <w:r>
        <w:t xml:space="preserve"> </w:t>
      </w:r>
      <w:r>
        <w:t xml:space="preserve">Roos</w:t>
      </w:r>
    </w:p>
    <w:p>
      <w:pPr>
        <w:pStyle w:val="Date"/>
      </w:pPr>
      <w:r>
        <w:t xml:space="preserve">Last</w:t>
      </w:r>
      <w:r>
        <w:t xml:space="preserve"> </w:t>
      </w:r>
      <w:r>
        <w:t xml:space="preserve">updated:</w:t>
      </w:r>
      <w:r>
        <w:t xml:space="preserve"> </w:t>
      </w:r>
      <w:r>
        <w:t xml:space="preserve">2025-08-24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Learn to spot assumption risks early and identify assumptions that are relevant to the data, the model or the residuals.</w:t>
      </w:r>
    </w:p>
    <w:bookmarkEnd w:id="20"/>
    <w:bookmarkStart w:id="24" w:name="three-layers-of-assumptions"/>
    <w:p>
      <w:pPr>
        <w:pStyle w:val="Heading1"/>
      </w:pPr>
      <w:r>
        <w:t xml:space="preserve">Three Layers of Assumptions</w:t>
      </w:r>
    </w:p>
    <w:bookmarkStart w:id="21" w:name="assumptions-about-data-relevance"/>
    <w:p>
      <w:pPr>
        <w:pStyle w:val="Heading2"/>
      </w:pPr>
      <w:r>
        <w:t xml:space="preserve">Assumptions about data relevance</w:t>
      </w:r>
    </w:p>
    <w:p>
      <w:pPr>
        <w:pStyle w:val="FirstParagraph"/>
      </w:pPr>
      <w:r>
        <w:rPr>
          <w:bCs/>
          <w:b/>
        </w:rPr>
        <w:t xml:space="preserve">Validity</w:t>
      </w:r>
    </w:p>
    <w:p>
      <w:pPr>
        <w:numPr>
          <w:ilvl w:val="0"/>
          <w:numId w:val="1001"/>
        </w:numPr>
      </w:pPr>
      <w:r>
        <w:t xml:space="preserve">I.e. The measurement aligns with the scientific question.</w:t>
      </w:r>
    </w:p>
    <w:p>
      <w:pPr>
        <w:numPr>
          <w:ilvl w:val="0"/>
          <w:numId w:val="1001"/>
        </w:numPr>
      </w:pPr>
      <w:r>
        <w:t xml:space="preserve">E.g. Acoustic detections from unattended recorders used as a proxy for bat abundance.</w:t>
      </w:r>
    </w:p>
    <w:p>
      <w:pPr>
        <w:pStyle w:val="FirstParagraph"/>
      </w:pPr>
      <w:r>
        <w:rPr>
          <w:bCs/>
          <w:b/>
        </w:rPr>
        <w:t xml:space="preserve">Representativeness</w:t>
      </w:r>
    </w:p>
    <w:p>
      <w:pPr>
        <w:numPr>
          <w:ilvl w:val="0"/>
          <w:numId w:val="1002"/>
        </w:numPr>
      </w:pPr>
      <w:r>
        <w:t xml:space="preserve">I.e. The sampled population is the same as the one you want to make inference about.</w:t>
      </w:r>
    </w:p>
    <w:p>
      <w:pPr>
        <w:numPr>
          <w:ilvl w:val="0"/>
          <w:numId w:val="1002"/>
        </w:numPr>
      </w:pPr>
      <w:r>
        <w:t xml:space="preserve">E.g. Camera traps placed only on human trails within a reserve, then used to infer species activity across the whole habitat mosaic</w:t>
      </w:r>
    </w:p>
    <w:bookmarkEnd w:id="21"/>
    <w:bookmarkStart w:id="22" w:name="assumptions-about-model-structure"/>
    <w:p>
      <w:pPr>
        <w:pStyle w:val="Heading2"/>
      </w:pPr>
      <w:r>
        <w:t xml:space="preserve">Assumptions about model structure</w:t>
      </w:r>
    </w:p>
    <w:p>
      <w:pPr>
        <w:pStyle w:val="FirstParagraph"/>
      </w:pPr>
      <w:r>
        <w:rPr>
          <w:bCs/>
          <w:b/>
        </w:rPr>
        <w:t xml:space="preserve">Additivity</w:t>
      </w:r>
    </w:p>
    <w:p>
      <w:pPr>
        <w:numPr>
          <w:ilvl w:val="0"/>
          <w:numId w:val="1003"/>
        </w:numPr>
      </w:pPr>
      <w:r>
        <w:t xml:space="preserve">I.e. The outcome is simply the sum of the explanatory variables, and no interaction is needed.</w:t>
      </w:r>
    </w:p>
    <w:p>
      <w:pPr>
        <w:numPr>
          <w:ilvl w:val="0"/>
          <w:numId w:val="1003"/>
        </w:numPr>
      </w:pPr>
      <w:r>
        <w:t xml:space="preserve">E.g. Plant growth measured under crossed light and nitrogen treatments, analysed with only additive effects. The nitrogen effect depends on light level, so the mean response is not purely additive.</w:t>
      </w:r>
    </w:p>
    <w:p>
      <w:pPr>
        <w:pStyle w:val="FirstParagraph"/>
      </w:pPr>
      <w:r>
        <w:rPr>
          <w:bCs/>
          <w:b/>
        </w:rPr>
        <w:t xml:space="preserve">Linearity</w:t>
      </w:r>
    </w:p>
    <w:p>
      <w:pPr>
        <w:numPr>
          <w:ilvl w:val="0"/>
          <w:numId w:val="1004"/>
        </w:numPr>
      </w:pPr>
      <w:r>
        <w:t xml:space="preserve">I.e. The relationship can be explained with just a straight line(s).</w:t>
      </w:r>
    </w:p>
    <w:p>
      <w:pPr>
        <w:numPr>
          <w:ilvl w:val="0"/>
          <w:numId w:val="1004"/>
        </w:numPr>
      </w:pPr>
      <w:r>
        <w:t xml:space="preserve">E.g. Beetle surival over temperatures ranging from -10 to 50°C and modelled with a linear trend with temperature. Survival will be optimal at ca. 10 to 30°C but will be almost zero beyond this range, and a straight line will not capture this.</w:t>
      </w:r>
    </w:p>
    <w:bookmarkEnd w:id="22"/>
    <w:bookmarkStart w:id="23" w:name="assumptions-about-residual-error"/>
    <w:p>
      <w:pPr>
        <w:pStyle w:val="Heading2"/>
      </w:pPr>
      <w:r>
        <w:t xml:space="preserve">Assumptions about residual error</w:t>
      </w:r>
    </w:p>
    <w:p>
      <w:pPr>
        <w:pStyle w:val="FirstParagraph"/>
      </w:pPr>
      <w:r>
        <w:rPr>
          <w:bCs/>
          <w:b/>
        </w:rPr>
        <w:t xml:space="preserve">Independence of errors</w:t>
      </w:r>
    </w:p>
    <w:p>
      <w:pPr>
        <w:numPr>
          <w:ilvl w:val="0"/>
          <w:numId w:val="1005"/>
        </w:numPr>
      </w:pPr>
      <w:r>
        <w:t xml:space="preserve">I.e. Observations are not from repeated measures, clusters (e.g. families), or are collected over time or over space.</w:t>
      </w:r>
    </w:p>
    <w:p>
      <w:pPr>
        <w:numPr>
          <w:ilvl w:val="0"/>
          <w:numId w:val="1005"/>
        </w:numPr>
      </w:pPr>
      <w:r>
        <w:t xml:space="preserve">E.g. Body temperatures taken hourly from lizards in a terrarium without individual IDs, then analysed as if all 120 measurements were independent.</w:t>
      </w:r>
    </w:p>
    <w:p>
      <w:pPr>
        <w:pStyle w:val="FirstParagraph"/>
      </w:pPr>
      <w:r>
        <w:rPr>
          <w:bCs/>
          <w:b/>
        </w:rPr>
        <w:t xml:space="preserve">Equal variance of errors</w:t>
      </w:r>
    </w:p>
    <w:p>
      <w:pPr>
        <w:numPr>
          <w:ilvl w:val="0"/>
          <w:numId w:val="1006"/>
        </w:numPr>
      </w:pPr>
      <w:r>
        <w:t xml:space="preserve">I.e. Residual spread is even across the expected values.</w:t>
      </w:r>
    </w:p>
    <w:p>
      <w:pPr>
        <w:numPr>
          <w:ilvl w:val="0"/>
          <w:numId w:val="1006"/>
        </w:numPr>
      </w:pPr>
      <w:r>
        <w:t xml:space="preserve">E.g. Fish weight against fish length, where there is greater variation in larger fish than smaller ones.</w:t>
      </w:r>
    </w:p>
    <w:p>
      <w:pPr>
        <w:pStyle w:val="FirstParagraph"/>
      </w:pPr>
      <w:r>
        <w:rPr>
          <w:bCs/>
          <w:b/>
        </w:rPr>
        <w:t xml:space="preserve">Normality of errors</w:t>
      </w:r>
    </w:p>
    <w:p>
      <w:pPr>
        <w:numPr>
          <w:ilvl w:val="0"/>
          <w:numId w:val="1007"/>
        </w:numPr>
      </w:pPr>
      <w:r>
        <w:t xml:space="preserve">I.e. Residuals take on a bell-shaped curve.</w:t>
      </w:r>
    </w:p>
    <w:p>
      <w:pPr>
        <w:numPr>
          <w:ilvl w:val="0"/>
          <w:numId w:val="1007"/>
        </w:numPr>
      </w:pPr>
      <w:r>
        <w:t xml:space="preserve">E.g. Counts of parasites per host but when some animals have zero parasites.</w:t>
      </w:r>
    </w:p>
    <w:bookmarkEnd w:id="23"/>
    <w:bookmarkEnd w:id="24"/>
    <w:sectPr w:rsidR="008F0690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FF925042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ED2E9738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0A99411"/>
    <w:multiLevelType w:val="multilevel"/>
    <w:tmpl w:val="585292DC"/>
    <w:lvl w:ilvl="0">
      <w:start w:val="1"/>
      <w:numFmt w:val="decimal"/>
      <w:lvlText w:val="%1."/>
      <w:lvlJc w:val="left"/>
      <w:pPr>
        <w:ind w:hanging="480" w:left="720"/>
      </w:pPr>
    </w:lvl>
    <w:lvl w:ilvl="1">
      <w:start w:val="1"/>
      <w:numFmt w:val="decimal"/>
      <w:lvlText w:val="%2."/>
      <w:lvlJc w:val="left"/>
      <w:pPr>
        <w:ind w:hanging="480" w:left="1440"/>
      </w:pPr>
    </w:lvl>
    <w:lvl w:ilvl="2">
      <w:start w:val="1"/>
      <w:numFmt w:val="decimal"/>
      <w:lvlText w:val="%3."/>
      <w:lvlJc w:val="left"/>
      <w:pPr>
        <w:ind w:hanging="480" w:left="2160"/>
      </w:pPr>
    </w:lvl>
    <w:lvl w:ilvl="3">
      <w:start w:val="1"/>
      <w:numFmt w:val="decimal"/>
      <w:lvlText w:val="%4."/>
      <w:lvlJc w:val="left"/>
      <w:pPr>
        <w:ind w:hanging="480" w:left="2880"/>
      </w:pPr>
    </w:lvl>
    <w:lvl w:ilvl="4">
      <w:start w:val="1"/>
      <w:numFmt w:val="decimal"/>
      <w:lvlText w:val="%5."/>
      <w:lvlJc w:val="left"/>
      <w:pPr>
        <w:ind w:hanging="480" w:left="3600"/>
      </w:pPr>
    </w:lvl>
    <w:lvl w:ilvl="5">
      <w:start w:val="1"/>
      <w:numFmt w:val="decimal"/>
      <w:lvlText w:val="%6."/>
      <w:lvlJc w:val="left"/>
      <w:pPr>
        <w:ind w:hanging="480" w:left="4320"/>
      </w:pPr>
    </w:lvl>
    <w:lvl w:ilvl="6">
      <w:start w:val="1"/>
      <w:numFmt w:val="decimal"/>
      <w:lvlText w:val="%7."/>
      <w:lvlJc w:val="left"/>
      <w:pPr>
        <w:ind w:hanging="480" w:left="5040"/>
      </w:pPr>
    </w:lvl>
    <w:lvl w:ilvl="7">
      <w:start w:val="1"/>
      <w:numFmt w:val="decimal"/>
      <w:lvlText w:val="%8."/>
      <w:lvlJc w:val="left"/>
      <w:pPr>
        <w:ind w:hanging="480" w:left="5760"/>
      </w:pPr>
    </w:lvl>
    <w:lvl w:ilvl="8">
      <w:start w:val="1"/>
      <w:numFmt w:val="decimal"/>
      <w:lvlText w:val="%9."/>
      <w:lvlJc w:val="left"/>
      <w:pPr>
        <w:ind w:hanging="48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68661439" w:numId="1">
    <w:abstractNumId w:val="0"/>
  </w:num>
  <w:num w16cid:durableId="1603609467" w:numId="2">
    <w:abstractNumId w:val="1"/>
  </w:num>
  <w:num w16cid:durableId="1542522429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embedSystemFonts/>
  <w:proofState w:grammar="clean" w:spelling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1E0B5F"/>
    <w:rPr>
      <w:rFonts w:ascii="Bahnschrift Light" w:hAnsi="Bahnschrift Light"/>
      <w:sz w:val="22"/>
    </w:rPr>
  </w:style>
  <w:style w:styleId="Heading1" w:type="paragraph">
    <w:name w:val="heading 1"/>
    <w:basedOn w:val="Normal"/>
    <w:next w:val="BodyText"/>
    <w:uiPriority w:val="9"/>
    <w:qFormat/>
    <w:rsid w:val="00F34E30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1" w:themeTint="D9" w:val="262626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F34E30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1" w:themeTint="D9" w:val="262626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F34E30"/>
    <w:pPr>
      <w:keepNext/>
      <w:keepLines/>
      <w:spacing w:after="0" w:before="200"/>
      <w:outlineLvl w:val="2"/>
    </w:pPr>
    <w:rPr>
      <w:rFonts w:cstheme="majorBidi" w:eastAsiaTheme="majorEastAsia"/>
      <w:bCs/>
      <w:color w:themeColor="text1" w:themeTint="D9" w:val="2626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1E0B5F"/>
    <w:pPr>
      <w:spacing w:after="180" w:before="180"/>
    </w:pPr>
    <w:rPr>
      <w:color w:themeColor="text1" w:themeTint="D9" w:val="262626"/>
    </w:rPr>
  </w:style>
  <w:style w:customStyle="1" w:styleId="FirstParagraph" w:type="paragraph">
    <w:name w:val="First Paragraph"/>
    <w:basedOn w:val="BodyText"/>
    <w:next w:val="BodyText"/>
    <w:qFormat/>
    <w:rsid w:val="001E0B5F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F34E30"/>
    <w:pPr>
      <w:keepNext/>
      <w:keepLines/>
      <w:spacing w:after="240" w:before="480"/>
      <w:jc w:val="center"/>
    </w:pPr>
    <w:rPr>
      <w:rFonts w:cstheme="majorBidi" w:eastAsiaTheme="majorEastAsia"/>
      <w:bCs/>
      <w:color w:themeColor="text1" w:themeTint="D9" w:val="262626"/>
      <w:sz w:val="48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F34E30"/>
    <w:pPr>
      <w:keepNext/>
      <w:keepLines/>
      <w:jc w:val="center"/>
    </w:pPr>
    <w:rPr>
      <w:rFonts w:ascii="Century Gothic" w:hAnsi="Century Gothic"/>
    </w:rPr>
  </w:style>
  <w:style w:styleId="Date" w:type="paragraph">
    <w:name w:val="Date"/>
    <w:next w:val="BodyText"/>
    <w:qFormat/>
    <w:rsid w:val="00F34E30"/>
    <w:pPr>
      <w:keepNext/>
      <w:keepLines/>
      <w:jc w:val="center"/>
    </w:pPr>
    <w:rPr>
      <w:rFonts w:ascii="Century Gothic" w:hAnsi="Century Gothic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rsid w:val="002C0470"/>
    <w:pPr>
      <w:spacing w:after="100" w:before="100"/>
      <w:ind w:left="480" w:right="480"/>
    </w:pPr>
    <w:rPr>
      <w:rFonts w:ascii="Aptos" w:hAnsi="Aptos"/>
      <w:color w:themeColor="background2" w:themeShade="1A" w:val="1D1B11"/>
    </w:r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sid w:val="00796E50"/>
    <w:rPr>
      <w:rFonts w:ascii="Consolas" w:hAnsi="Consolas"/>
      <w:sz w:val="22"/>
      <w:shd w:color="auto" w:fill="F8F8F8" w:val="clear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99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1E0B5F"/>
    <w:pPr>
      <w:spacing w:before="240" w:line="259" w:lineRule="auto"/>
      <w:outlineLvl w:val="9"/>
    </w:pPr>
    <w:rPr>
      <w:rFonts w:ascii="Century Gothic" w:hAnsi="Century Gothic"/>
      <w:bCs w:val="0"/>
      <w:color w:themeColor="accent6" w:val="F79646"/>
    </w:rPr>
  </w:style>
  <w:style w:customStyle="1" w:styleId="SourceCode" w:type="paragraph">
    <w:name w:val="Source Code"/>
    <w:basedOn w:val="Normal"/>
    <w:link w:val="VerbatimChar"/>
    <w:rsid w:val="00796E50"/>
    <w:pPr>
      <w:shd w:color="auto" w:fill="F8F8F8" w:val="clear"/>
      <w:wordWrap w:val="0"/>
      <w:textboxTightWrap w:val="allLines"/>
    </w:pPr>
    <w:rPr>
      <w:rFonts w:ascii="Consolas" w:hAnsi="Consolas"/>
    </w:r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sid w:val="00F34E30"/>
    <w:rPr>
      <w:rFonts w:ascii="Consolas" w:hAnsi="Consolas"/>
      <w:color w:themeColor="accent2" w:themeShade="BF" w:val="943634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sid w:val="00F34E30"/>
    <w:rPr>
      <w:rFonts w:ascii="Consolas" w:hAnsi="Consolas"/>
      <w:i/>
      <w:color w:themeColor="accent4" w:themeTint="99" w:val="B2A1C7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sid w:val="00F34E30"/>
    <w:rPr>
      <w:rFonts w:ascii="Consolas" w:hAnsi="Consolas"/>
      <w:b/>
      <w:color w:themeColor="accent6" w:val="F79646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sid w:val="00F34E30"/>
    <w:rPr>
      <w:rFonts w:ascii="Consolas" w:hAnsi="Consolas"/>
      <w:color w:themeColor="text1" w:themeTint="F2" w:val="0D0D0D"/>
      <w:sz w:val="22"/>
      <w:shd w:color="auto" w:fill="F8F8F8" w:val="clear"/>
    </w:rPr>
  </w:style>
  <w:style w:styleId="TOC1" w:type="paragraph">
    <w:name w:val="toc 1"/>
    <w:basedOn w:val="Normal"/>
    <w:next w:val="Normal"/>
    <w:autoRedefine/>
    <w:uiPriority w:val="39"/>
    <w:rsid w:val="00F34E30"/>
    <w:pPr>
      <w:spacing w:after="100"/>
    </w:pPr>
  </w:style>
  <w:style w:styleId="TOC2" w:type="paragraph">
    <w:name w:val="toc 2"/>
    <w:basedOn w:val="Normal"/>
    <w:next w:val="Normal"/>
    <w:autoRedefine/>
    <w:uiPriority w:val="39"/>
    <w:rsid w:val="00F34E30"/>
    <w:pPr>
      <w:spacing w:after="100"/>
      <w:ind w:left="240"/>
    </w:pPr>
  </w:style>
  <w:style w:styleId="TOC3" w:type="paragraph">
    <w:name w:val="toc 3"/>
    <w:basedOn w:val="Normal"/>
    <w:next w:val="Normal"/>
    <w:autoRedefine/>
    <w:uiPriority w:val="39"/>
    <w:rsid w:val="00F34E3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Word_Template</vt:lpstr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Workshop 1.5 - Study Notes</dc:title>
  <dc:creator>Michelle Pinard &amp; Deon Roos</dc:creator>
  <cp:keywords/>
  <dcterms:created xsi:type="dcterms:W3CDTF">2025-08-24T16:57:24Z</dcterms:created>
  <dcterms:modified xsi:type="dcterms:W3CDTF">2025-08-24T16:57:24Z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Last updated: 2025-08-24</vt:lpwstr>
  </property>
  <property fmtid="{D5CDD505-2E9C-101B-9397-08002B2CF9AE}" pid="3" name="output">
    <vt:lpwstr/>
  </property>
</Properties>
</file>