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5</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2025-08-25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rpose"/>
    <w:p>
      <w:pPr>
        <w:pStyle w:val="Heading1"/>
      </w:pPr>
      <w:r>
        <w:t xml:space="preserve">Purpose</w:t>
      </w:r>
    </w:p>
    <w:p>
      <w:pPr>
        <w:pStyle w:val="FirstParagraph"/>
      </w:pPr>
      <w:r>
        <w:t xml:space="preserve">Use a linear model when you want to see how your response varies across different groups. The model estimates one of the group’s mean and the difference from this for all other groups, not a slope through categories.</w:t>
      </w:r>
    </w:p>
    <w:p>
      <w:pPr>
        <w:pStyle w:val="BodyText"/>
      </w:pPr>
      <w:r>
        <w:t xml:space="preserve">Data must be in tabular form (rows are observations, columns are variables).</w:t>
      </w:r>
    </w:p>
    <w:bookmarkEnd w:id="20"/>
    <w:bookmarkStart w:id="21" w:name="model-and-interpretation"/>
    <w:p>
      <w:pPr>
        <w:pStyle w:val="Heading1"/>
      </w:pPr>
      <w:r>
        <w:t xml:space="preserve">Model and interpretation</w:t>
      </w:r>
    </w:p>
    <w:p>
      <w:pPr>
        <w:pStyle w:val="FirstParagraph"/>
      </w:pPr>
      <w:r>
        <w:t xml:space="preserve">When using groups with contrast treatments, the model is</w:t>
      </w:r>
      <w:r>
        <w:t xml:space="preserve"> </w:t>
      </w:r>
      <m:oMath>
        <m:sSub>
          <m:e>
            <m:r>
              <m:t>μ</m:t>
            </m:r>
          </m:e>
          <m:sub>
            <m:r>
              <m:t>i</m:t>
            </m:r>
          </m:sub>
        </m:sSub>
        <m:r>
          <m:rPr>
            <m:sty m:val="p"/>
          </m:rPr>
          <m:t>=</m:t>
        </m:r>
        <m:sSub>
          <m:e>
            <m:r>
              <m:t>β</m:t>
            </m:r>
          </m:e>
          <m:sub>
            <m:r>
              <m:t>0</m:t>
            </m:r>
          </m:sub>
        </m:sSub>
        <m:r>
          <m:rPr>
            <m:sty m:val="p"/>
          </m:rPr>
          <m:t>+</m:t>
        </m:r>
        <m:sSub>
          <m:e>
            <m:r>
              <m:t>β</m:t>
            </m:r>
          </m:e>
          <m:sub>
            <m:r>
              <m:t>1</m:t>
            </m:r>
          </m:sub>
        </m:sSub>
        <m:r>
          <m:t>G</m:t>
        </m:r>
        <m:r>
          <m:t>2</m:t>
        </m:r>
        <m:r>
          <m:rPr>
            <m:sty m:val="p"/>
          </m:rPr>
          <m:t>+</m:t>
        </m:r>
        <m:r>
          <m:rPr>
            <m:sty m:val="p"/>
          </m:rPr>
          <m:t>.</m:t>
        </m:r>
        <m:r>
          <m:rPr>
            <m:sty m:val="p"/>
          </m:rPr>
          <m:t>.</m:t>
        </m:r>
        <m:r>
          <m:rPr>
            <m:sty m:val="p"/>
          </m:rPr>
          <m:t>.</m:t>
        </m:r>
      </m:oMath>
      <w:r>
        <w:t xml:space="preserve">.</w:t>
      </w:r>
      <w:r>
        <w:t xml:space="preserve"> </w:t>
      </w:r>
      <m:oMath>
        <m:sSub>
          <m:e>
            <m:r>
              <m:t>β</m:t>
            </m:r>
          </m:e>
          <m:sub>
            <m:r>
              <m:t>0</m:t>
            </m:r>
          </m:sub>
        </m:sSub>
      </m:oMath>
      <w:r>
        <w:t xml:space="preserve"> </w:t>
      </w:r>
      <w:r>
        <w:t xml:space="preserve">is the mean of your reference group; each subsequent</w:t>
      </w:r>
      <w:r>
        <w:t xml:space="preserve"> </w:t>
      </w:r>
      <m:oMath>
        <m:r>
          <m:t>β</m:t>
        </m:r>
      </m:oMath>
      <w:r>
        <w:t xml:space="preserve"> </w:t>
      </w:r>
      <w:r>
        <w:t xml:space="preserve">(e.g. </w:t>
      </w:r>
      <m:oMath>
        <m:sSub>
          <m:e>
            <m:r>
              <m:t>β</m:t>
            </m:r>
          </m:e>
          <m:sub>
            <m:r>
              <m:t>1</m:t>
            </m:r>
          </m:sub>
        </m:sSub>
      </m:oMath>
      <w:r>
        <w:t xml:space="preserve">) is the mean difference between the respective group e.g. (</w:t>
      </w:r>
      <m:oMath>
        <m:r>
          <m:t>G</m:t>
        </m:r>
        <m:r>
          <m:t>2</m:t>
        </m:r>
      </m:oMath>
      <w:r>
        <w:t xml:space="preserve">) and your reference group.</w:t>
      </w:r>
    </w:p>
    <w:bookmarkEnd w:id="21"/>
    <w:bookmarkStart w:id="22" w:name="r-workflow"/>
    <w:p>
      <w:pPr>
        <w:pStyle w:val="Heading1"/>
      </w:pPr>
      <w:r>
        <w:t xml:space="preserve">R workflow</w:t>
      </w:r>
    </w:p>
    <w:p>
      <w:pPr>
        <w:pStyle w:val="SourceCode"/>
      </w:pPr>
      <w:r>
        <w:rPr>
          <w:rStyle w:val="FunctionTok"/>
        </w:rPr>
        <w:t xml:space="preserve">setwd</w:t>
      </w:r>
      <w:r>
        <w:rPr>
          <w:rStyle w:val="NormalTok"/>
        </w:rPr>
        <w:t xml:space="preserve">(</w:t>
      </w:r>
      <w:r>
        <w:rPr>
          <w:rStyle w:val="StringTok"/>
        </w:rPr>
        <w:t xml:space="preserve">"C:/BI3010"</w:t>
      </w:r>
      <w:r>
        <w:rPr>
          <w:rStyle w:val="NormalTok"/>
        </w:rPr>
        <w:t xml:space="preserve">)</w:t>
      </w:r>
      <w:r>
        <w:br/>
      </w:r>
      <w:r>
        <w:rPr>
          <w:rStyle w:val="NormalTok"/>
        </w:rPr>
        <w:t xml:space="preserve">dat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"data/my_data.txt"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CommentTok"/>
        </w:rPr>
        <w:t xml:space="preserve"># If you want you can convert the categorical variable to a factor</w:t>
      </w:r>
      <w:r>
        <w:br/>
      </w:r>
      <w:r>
        <w:rPr>
          <w:rStyle w:val="CommentTok"/>
        </w:rPr>
        <w:t xml:space="preserve"># But this is often not needed</w:t>
      </w:r>
      <w:r>
        <w:br/>
      </w:r>
      <w:r>
        <w:rPr>
          <w:rStyle w:val="NormalTok"/>
        </w:rPr>
        <w:t xml:space="preserve">dat</w:t>
      </w:r>
      <w:r>
        <w:rPr>
          <w:rStyle w:val="SpecialCharTok"/>
        </w:rPr>
        <w:t xml:space="preserve">$</w:t>
      </w:r>
      <w:r>
        <w:rPr>
          <w:rStyle w:val="NormalTok"/>
        </w:rPr>
        <w:t xml:space="preserve">group </w:t>
      </w:r>
      <w:r>
        <w:rPr>
          <w:rStyle w:val="OtherTok"/>
        </w:rPr>
        <w:t xml:space="preserve">&lt;-</w:t>
      </w:r>
      <w:r>
        <w:rPr>
          <w:rStyle w:val="NormalTok"/>
        </w:rPr>
        <w:t xml:space="preserve"> </w:t>
      </w:r>
      <w:r>
        <w:rPr>
          <w:rStyle w:val="FunctionTok"/>
        </w:rPr>
        <w:t xml:space="preserve">factor</w:t>
      </w:r>
      <w:r>
        <w:rPr>
          <w:rStyle w:val="NormalTok"/>
        </w:rPr>
        <w:t xml:space="preserve">(dat</w:t>
      </w:r>
      <w:r>
        <w:rPr>
          <w:rStyle w:val="SpecialCharTok"/>
        </w:rPr>
        <w:t xml:space="preserve">$</w:t>
      </w:r>
      <w:r>
        <w:rPr>
          <w:rStyle w:val="NormalTok"/>
        </w:rPr>
        <w:t xml:space="preserve">group)</w:t>
      </w:r>
      <w:r>
        <w:br/>
      </w:r>
      <w:r>
        <w:br/>
      </w:r>
      <w:r>
        <w:rPr>
          <w:rStyle w:val="NormalTok"/>
        </w:rPr>
        <w:t xml:space="preserve">m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group, </w:t>
      </w:r>
      <w:r>
        <w:rPr>
          <w:rStyle w:val="AttributeTok"/>
        </w:rPr>
        <w:t xml:space="preserve">data =</w:t>
      </w:r>
      <w:r>
        <w:rPr>
          <w:rStyle w:val="NormalTok"/>
        </w:rPr>
        <w:t xml:space="preserve"> dat)</w:t>
      </w:r>
      <w:r>
        <w:br/>
      </w:r>
      <w:r>
        <w:rPr>
          <w:rStyle w:val="FunctionTok"/>
        </w:rPr>
        <w:t xml:space="preserve">summary</w:t>
      </w:r>
      <w:r>
        <w:rPr>
          <w:rStyle w:val="NormalTok"/>
        </w:rPr>
        <w:t xml:space="preserve">(m)</w:t>
      </w:r>
    </w:p>
    <w:bookmarkEnd w:id="22"/>
    <w:bookmarkStart w:id="23" w:name="predicted-means-and-95-cis"/>
    <w:p>
      <w:pPr>
        <w:pStyle w:val="Heading1"/>
      </w:pPr>
      <w:r>
        <w:t xml:space="preserve">Predicted means and 95% CIs</w:t>
      </w:r>
    </w:p>
    <w:p>
      <w:pPr>
        <w:pStyle w:val="FirstParagraph"/>
      </w:pPr>
      <w:r>
        <w:t xml:space="preserve">To get confidence intervals, add or subtract</w:t>
      </w:r>
      <w:r>
        <w:t xml:space="preserve"> </w:t>
      </w:r>
      <m:oMath>
        <m:r>
          <m:t>1.96</m:t>
        </m:r>
        <m:r>
          <m:rPr>
            <m:sty m:val="p"/>
          </m:rPr>
          <m:t>×</m:t>
        </m:r>
        <m:r>
          <m:t>S</m:t>
        </m:r>
        <m:r>
          <m:t>E</m:t>
        </m:r>
      </m:oMath>
      <w:r>
        <w:t xml:space="preserve"> </w:t>
      </w:r>
      <w:r>
        <w:t xml:space="preserve">from the predicted value. This works the same for models with continuous explanatory variables.</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group =</w:t>
      </w:r>
      <w:r>
        <w:rPr>
          <w:rStyle w:val="NormalTok"/>
        </w:rPr>
        <w:t xml:space="preserve"> </w:t>
      </w:r>
      <w:r>
        <w:rPr>
          <w:rStyle w:val="FunctionTok"/>
        </w:rPr>
        <w:t xml:space="preserve">levels</w:t>
      </w:r>
      <w:r>
        <w:rPr>
          <w:rStyle w:val="NormalTok"/>
        </w:rPr>
        <w:t xml:space="preserve">(dat</w:t>
      </w:r>
      <w:r>
        <w:rPr>
          <w:rStyle w:val="SpecialCharTok"/>
        </w:rPr>
        <w:t xml:space="preserve">$</w:t>
      </w:r>
      <w:r>
        <w:rPr>
          <w:rStyle w:val="NormalTok"/>
        </w:rPr>
        <w:t xml:space="preserve">group))</w:t>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(m,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lwr </w:t>
      </w:r>
      <w:r>
        <w:rPr>
          <w:rStyle w:val="OtherTok"/>
        </w:rPr>
        <w:t xml:space="preserve">&lt;-</w:t>
      </w:r>
      <w:r>
        <w:rPr>
          <w:rStyle w:val="NormalTok"/>
        </w:rPr>
        <w:t xml:space="preserve"> pred</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w:t>
      </w:r>
      <w:r>
        <w:rPr>
          <w:rStyle w:val="SpecialCharTok"/>
        </w:rPr>
        <w:t xml:space="preserve">$</w:t>
      </w:r>
      <w:r>
        <w:rPr>
          <w:rStyle w:val="NormalTok"/>
        </w:rPr>
        <w:t xml:space="preserve">se.fit</w:t>
      </w:r>
      <w:r>
        <w:br/>
      </w:r>
      <w:r>
        <w:br/>
      </w:r>
      <w:r>
        <w:rPr>
          <w:rStyle w:val="FunctionTok"/>
        </w:rPr>
        <w:t xml:space="preserve">ggplot</w:t>
      </w:r>
      <w:r>
        <w:rPr>
          <w:rStyle w:val="NormalTok"/>
        </w:rPr>
        <w:t xml:space="preserve">(</w:t>
      </w:r>
      <w:r>
        <w:rPr>
          <w:rStyle w:val="AttributeTok"/>
        </w:rPr>
        <w:t xml:space="preserve">data =</w:t>
      </w:r>
      <w:r>
        <w:rPr>
          <w:rStyle w:val="NormalTok"/>
        </w:rPr>
        <w:t xml:space="preserve"> fake, </w:t>
      </w:r>
      <w:r>
        <w:rPr>
          <w:rStyle w:val="FunctionTok"/>
        </w:rPr>
        <w:t xml:space="preserve">aes</w:t>
      </w:r>
      <w:r>
        <w:rPr>
          <w:rStyle w:val="NormalTok"/>
        </w:rPr>
        <w:t xml:space="preserve">(group, fit))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lwr, </w:t>
      </w:r>
      <w:r>
        <w:rPr>
          <w:rStyle w:val="AttributeTok"/>
        </w:rPr>
        <w:t xml:space="preserve">ymax =</w:t>
      </w:r>
      <w:r>
        <w:rPr>
          <w:rStyle w:val="NormalTok"/>
        </w:rPr>
        <w:t xml:space="preserve"> upr),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"Group"</w:t>
      </w:r>
      <w:r>
        <w:rPr>
          <w:rStyle w:val="NormalTok"/>
        </w:rPr>
        <w:t xml:space="preserve">, </w:t>
      </w:r>
      <w:r>
        <w:rPr>
          <w:rStyle w:val="AttributeTok"/>
        </w:rPr>
        <w:t xml:space="preserve">y =</w:t>
      </w:r>
      <w:r>
        <w:rPr>
          <w:rStyle w:val="NormalTok"/>
        </w:rPr>
        <w:t xml:space="preserve"> </w:t>
      </w:r>
      <w:r>
        <w:rPr>
          <w:rStyle w:val="StringTok"/>
        </w:rPr>
        <w:t xml:space="preserve">"Predicted y"</w:t>
      </w:r>
      <w:r>
        <w:rPr>
          <w:rStyle w:val="NormalTok"/>
        </w:rPr>
        <w:t xml:space="preserve">)</w:t>
      </w:r>
    </w:p>
    <w:bookmarkEnd w:id="23"/>
    <w:bookmarkStart w:id="24" w:name="reading-summarymodel"/>
    <w:p>
      <w:pPr>
        <w:pStyle w:val="Heading1"/>
      </w:pPr>
      <w:r>
        <w:t xml:space="preserve">Reading</w:t>
      </w:r>
      <w:r>
        <w:t xml:space="preserve"> </w:t>
      </w:r>
      <w:r>
        <w:rPr>
          <w:rStyle w:val="VerbatimChar"/>
        </w:rPr>
        <w:t xml:space="preserve">summary(model)</w:t>
      </w:r>
    </w:p>
    <w:p>
      <w:pPr>
        <w:pStyle w:val="FirstParagraph"/>
      </w:pPr>
      <w:r>
        <w:rPr>
          <w:rStyle w:val="VerbatimChar"/>
        </w:rPr>
        <w:t xml:space="preserve">(Intercept)</w:t>
      </w:r>
      <w:r>
        <w:t xml:space="preserve"> </w:t>
      </w:r>
      <w:r>
        <w:t xml:space="preserve">is the reference-group mean. For a model that with a categorical variable called</w:t>
      </w:r>
      <w:r>
        <w:t xml:space="preserve"> </w:t>
      </w:r>
      <w:r>
        <w:t xml:space="preserve">“</w:t>
      </w:r>
      <w:r>
        <w:t xml:space="preserve">group</w:t>
      </w:r>
      <w:r>
        <w:t xml:space="preserve">”</w:t>
      </w:r>
      <w:r>
        <w:t xml:space="preserve"> </w:t>
      </w:r>
      <w:r>
        <w:t xml:space="preserve">with the levels</w:t>
      </w:r>
      <w:r>
        <w:t xml:space="preserve"> </w:t>
      </w:r>
      <w:r>
        <w:t xml:space="preserve">“</w:t>
      </w:r>
      <w:r>
        <w:t xml:space="preserve">A</w:t>
      </w:r>
      <w:r>
        <w:t xml:space="preserve">”</w:t>
      </w:r>
      <w:r>
        <w:t xml:space="preserve"> </w:t>
      </w:r>
      <w:r>
        <w:t xml:space="preserve">and</w:t>
      </w:r>
      <w:r>
        <w:t xml:space="preserve"> </w:t>
      </w:r>
      <w:r>
        <w:t xml:space="preserve">“</w:t>
      </w:r>
      <w:r>
        <w:t xml:space="preserve">B</w:t>
      </w:r>
      <w:r>
        <w:t xml:space="preserve">”</w:t>
      </w:r>
      <w:r>
        <w:t xml:space="preserve">, the intercept will be the mean for group A, and the estimate for</w:t>
      </w:r>
      <w:r>
        <w:t xml:space="preserve"> </w:t>
      </w:r>
      <w:r>
        <w:t xml:space="preserve">“</w:t>
      </w:r>
      <w:r>
        <w:t xml:space="preserve">B</w:t>
      </w:r>
      <w:r>
        <w:t xml:space="preserve">”</w:t>
      </w:r>
      <w:r>
        <w:t xml:space="preserve"> </w:t>
      </w:r>
      <w:r>
        <w:t xml:space="preserve">is the mean difference</w:t>
      </w:r>
      <w:r>
        <w:t xml:space="preserve"> </w:t>
      </w:r>
      <m:oMath>
        <m:r>
          <m:t>B</m:t>
        </m:r>
        <m:r>
          <m:rPr>
            <m:sty m:val="p"/>
          </m:rPr>
          <m:t>−</m:t>
        </m:r>
        <m:r>
          <m:t>A</m:t>
        </m:r>
      </m:oMath>
      <w:r>
        <w:t xml:space="preserve"> </w:t>
      </w:r>
      <w:r>
        <w:t xml:space="preserve">(so long as A is the reference). For more than two groups, there are</w:t>
      </w:r>
      <w:r>
        <w:t xml:space="preserve"> </w:t>
      </w:r>
      <m:oMath>
        <m:r>
          <m:t>k</m:t>
        </m:r>
        <m:r>
          <m:rPr>
            <m:sty m:val="p"/>
          </m:rPr>
          <m:t>−</m:t>
        </m:r>
        <m:r>
          <m:t>1</m:t>
        </m:r>
      </m:oMath>
      <w:r>
        <w:t xml:space="preserve"> </w:t>
      </w:r>
      <w:r>
        <w:t xml:space="preserve">differences versus the reference.</w:t>
      </w:r>
    </w:p>
    <w:p>
      <w:pPr>
        <w:pStyle w:val="BodyText"/>
      </w:pPr>
      <w:r>
        <w:t xml:space="preserve">Unless otherwise specified,</w:t>
      </w:r>
      <w:r>
        <w:t xml:space="preserve"> </w:t>
      </w:r>
      <w:r>
        <w:rPr>
          <w:rStyle w:val="VerbatimChar"/>
        </w:rPr>
        <w:t xml:space="preserve">R</w:t>
      </w:r>
      <w:r>
        <w:t xml:space="preserve"> </w:t>
      </w:r>
      <w:r>
        <w:t xml:space="preserve">will take the first alphanumerical value as the reference point; A rather than B; A1 rather than A2.</w:t>
      </w:r>
    </w:p>
    <w:bookmarkEnd w:id="24"/>
    <w:bookmarkStart w:id="25" w:name="confidence-intervals-briefly"/>
    <w:p>
      <w:pPr>
        <w:pStyle w:val="Heading1"/>
      </w:pPr>
      <w:r>
        <w:t xml:space="preserve">Confidence intervals, briefly</w:t>
      </w:r>
    </w:p>
    <w:p>
      <w:pPr>
        <w:pStyle w:val="FirstParagraph"/>
      </w:pPr>
      <w:r>
        <w:t xml:space="preserve">A 95% CI is a procedure that, in repeated sampling, covers the true parameter 95% of the time. After seeing one interval, it either covers or it does not. In practice we read it as the range of parameter values most compatible with the data and model. Consider both the point estimate and its CI when answering the scientific question.</w:t>
      </w:r>
    </w:p>
    <w:bookmarkEnd w:id="25"/>
    <w:bookmarkStart w:id="26" w:name="diagnostics-you-still-need"/>
    <w:p>
      <w:pPr>
        <w:pStyle w:val="Heading1"/>
      </w:pPr>
      <w:r>
        <w:t xml:space="preserve">Diagnostics you still need</w:t>
      </w:r>
    </w:p>
    <w:p>
      <w:pPr>
        <w:pStyle w:val="FirstParagraph"/>
      </w:pPr>
      <w:r>
        <w:t xml:space="preserve">Linearity can be ignored and additivity can be very difficult to diagnose, but equal variance of errors, normality of errors, and influence still matter. Use the standard diagnostic plots from</w:t>
      </w:r>
      <w:r>
        <w:t xml:space="preserve"> </w:t>
      </w:r>
      <w:r>
        <w:rPr>
          <w:rStyle w:val="VerbatimChar"/>
        </w:rPr>
        <w:t xml:space="preserve">lm</w:t>
      </w:r>
      <w:r>
        <w:t xml:space="preserve"> </w:t>
      </w:r>
      <w:r>
        <w:t xml:space="preserve">to check variance patterns and tail behaviour; interpret flagged points in context rather than by fixed cutoffs.</w:t>
      </w:r>
    </w:p>
    <w:bookmarkEnd w:id="26"/>
    <w:bookmarkStart w:id="27" w:name="design-cautions"/>
    <w:p>
      <w:pPr>
        <w:pStyle w:val="Heading1"/>
      </w:pPr>
      <w:r>
        <w:t xml:space="preserve">Design cautions</w:t>
      </w:r>
    </w:p>
    <w:p>
      <w:pPr>
        <w:pStyle w:val="FirstParagraph"/>
      </w:pPr>
      <w:r>
        <w:t xml:space="preserve">If your group is a proxy for an unmeasured driver (e.g., region is a proxy for hunting pressure), be explicit about the extra assumption that groups differ only in that variable.</w:t>
      </w:r>
    </w:p>
    <w:bookmarkEnd w:id="27"/>
    <w:bookmarkStart w:id="28" w:name="when-to-prefer-continuous-predictors"/>
    <w:p>
      <w:pPr>
        <w:pStyle w:val="Heading1"/>
      </w:pPr>
      <w:r>
        <w:t xml:space="preserve">When to prefer continuous predictors</w:t>
      </w:r>
    </w:p>
    <w:p>
      <w:pPr>
        <w:pStyle w:val="FirstParagraph"/>
      </w:pPr>
      <w:r>
        <w:t xml:space="preserve">Avoid turning a measured continuum into categories unless justified. Continuous variables are usually more efficient and faithful to biology; categorisation can be useful for nonlinearity or logistics, but it costs information.</w:t>
      </w:r>
    </w:p>
    <w:bookmarkEnd w:id="28"/>
    <w:bookmarkStart w:id="29" w:name="small-variations-you-may-need"/>
    <w:p>
      <w:pPr>
        <w:pStyle w:val="Heading1"/>
      </w:pPr>
      <w:r>
        <w:t xml:space="preserve">Small variations you may need</w:t>
      </w:r>
    </w:p>
    <w:p>
      <w:pPr>
        <w:pStyle w:val="FirstParagraph"/>
      </w:pPr>
      <w:r>
        <w:t xml:space="preserve">Change the reference group level with</w:t>
      </w:r>
      <w:r>
        <w:t xml:space="preserve"> </w:t>
      </w:r>
      <w:r>
        <w:rPr>
          <w:rStyle w:val="VerbatimChar"/>
        </w:rPr>
        <w:t xml:space="preserve">relevel</w:t>
      </w:r>
      <w:r>
        <w:t xml:space="preserve">; interpret accordingly.</w:t>
      </w:r>
    </w:p>
    <w:p>
      <w:pPr>
        <w:pStyle w:val="SourceCode"/>
      </w:pPr>
      <w:r>
        <w:rPr>
          <w:rStyle w:val="NormalTok"/>
        </w:rPr>
        <w:t xml:space="preserve">dat</w:t>
      </w:r>
      <w:r>
        <w:rPr>
          <w:rStyle w:val="SpecialCharTok"/>
        </w:rPr>
        <w:t xml:space="preserve">$</w:t>
      </w:r>
      <w:r>
        <w:rPr>
          <w:rStyle w:val="NormalTok"/>
        </w:rPr>
        <w:t xml:space="preserve">group </w:t>
      </w:r>
      <w:r>
        <w:rPr>
          <w:rStyle w:val="OtherTok"/>
        </w:rPr>
        <w:t xml:space="preserve">&lt;-</w:t>
      </w:r>
      <w:r>
        <w:rPr>
          <w:rStyle w:val="NormalTok"/>
        </w:rPr>
        <w:t xml:space="preserve"> </w:t>
      </w:r>
      <w:r>
        <w:rPr>
          <w:rStyle w:val="FunctionTok"/>
        </w:rPr>
        <w:t xml:space="preserve">relevel</w:t>
      </w:r>
      <w:r>
        <w:rPr>
          <w:rStyle w:val="NormalTok"/>
        </w:rPr>
        <w:t xml:space="preserve">(dat</w:t>
      </w:r>
      <w:r>
        <w:rPr>
          <w:rStyle w:val="SpecialCharTok"/>
        </w:rPr>
        <w:t xml:space="preserve">$</w:t>
      </w:r>
      <w:r>
        <w:rPr>
          <w:rStyle w:val="NormalTok"/>
        </w:rPr>
        <w:t xml:space="preserve">group, </w:t>
      </w:r>
      <w:r>
        <w:rPr>
          <w:rStyle w:val="AttributeTok"/>
        </w:rPr>
        <w:t xml:space="preserve">ref =</w:t>
      </w:r>
      <w:r>
        <w:rPr>
          <w:rStyle w:val="NormalTok"/>
        </w:rPr>
        <w:t xml:space="preserve"> </w:t>
      </w:r>
      <w:r>
        <w:rPr>
          <w:rStyle w:val="StringTok"/>
        </w:rPr>
        <w:t xml:space="preserve">"B"</w:t>
      </w:r>
      <w:r>
        <w:rPr>
          <w:rStyle w:val="NormalTok"/>
        </w:rPr>
        <w:t xml:space="preserve">)</w:t>
      </w:r>
      <w:r>
        <w:br/>
      </w:r>
      <w:r>
        <w:rPr>
          <w:rStyle w:val="FunctionTok"/>
        </w:rPr>
        <w:t xml:space="preserve">summary</w:t>
      </w:r>
      <w:r>
        <w:rPr>
          <w:rStyle w:val="NormalTok"/>
        </w:rPr>
        <w:t xml:space="preserve">(</w:t>
      </w:r>
      <w:r>
        <w:rPr>
          <w:rStyle w:val="FunctionTok"/>
        </w:rPr>
        <w:t xml:space="preserve">lm</w:t>
      </w:r>
      <w:r>
        <w:rPr>
          <w:rStyle w:val="NormalTok"/>
        </w:rPr>
        <w:t xml:space="preserve">(y </w:t>
      </w:r>
      <w:r>
        <w:rPr>
          <w:rStyle w:val="SpecialCharTok"/>
        </w:rPr>
        <w:t xml:space="preserve">~</w:t>
      </w:r>
      <w:r>
        <w:rPr>
          <w:rStyle w:val="NormalTok"/>
        </w:rPr>
        <w:t xml:space="preserve"> group, </w:t>
      </w:r>
      <w:r>
        <w:rPr>
          <w:rStyle w:val="AttributeTok"/>
        </w:rPr>
        <w:t xml:space="preserve">data =</w:t>
      </w:r>
      <w:r>
        <w:rPr>
          <w:rStyle w:val="NormalTok"/>
        </w:rPr>
        <w:t xml:space="preserve"> dat))</w:t>
      </w:r>
    </w:p>
    <w:p>
      <w:pPr>
        <w:pStyle w:val="FirstParagraph"/>
      </w:pPr>
      <w:r>
        <w:t xml:space="preserve">This flips the intercept to the</w:t>
      </w:r>
      <w:r>
        <w:t xml:space="preserve"> </w:t>
      </w:r>
      <w:r>
        <w:t xml:space="preserve">“</w:t>
      </w:r>
      <w:r>
        <w:t xml:space="preserve">B</w:t>
      </w:r>
      <w:r>
        <w:t xml:space="preserve">”</w:t>
      </w:r>
      <w:r>
        <w:t xml:space="preserve"> </w:t>
      </w:r>
      <w:r>
        <w:t xml:space="preserve">group.</w:t>
      </w:r>
    </w:p>
    <w:bookmarkEnd w:id="2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5 - Study Notes</dc:title>
  <dc:creator>Michelle Pinard &amp; Deon Roos</dc:creator>
  <cp:keywords/>
  <dcterms:created xsi:type="dcterms:W3CDTF">2025-08-25T07:53:21Z</dcterms:created>
  <dcterms:modified xsi:type="dcterms:W3CDTF">2025-08-25T07:53:21Z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2025-08-25</vt:lpwstr>
  </property>
  <property fmtid="{D5CDD505-2E9C-101B-9397-08002B2CF9AE}" pid="3" name="output">
    <vt:lpwstr/>
  </property>
</Properties>
</file>