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Bitcoin Market Sentiment vs Trader Performance Analysis</w:t>
      </w:r>
    </w:p>
    <w:p>
      <w:r>
        <w:t>This report analyzes the relationship between Bitcoin market sentiment and trader performance using the Fear &amp; Greed Index dataset and Hyperliquid historical trader data.</w:t>
      </w:r>
    </w:p>
    <w:p>
      <w:pPr>
        <w:pStyle w:val="Heading2"/>
      </w:pPr>
      <w:r>
        <w:t>1. Objective</w:t>
      </w:r>
    </w:p>
    <w:p>
      <w:r>
        <w:t>To identify how trader profitability, behavior, and trading strategies vary across different market sentiment conditions such as Fear, Greed, and Extreme Greed.</w:t>
      </w:r>
    </w:p>
    <w:p>
      <w:pPr>
        <w:pStyle w:val="Heading2"/>
      </w:pPr>
      <w:r>
        <w:t>2. Datasets Used</w:t>
      </w:r>
    </w:p>
    <w:p>
      <w:r>
        <w:t>• Bitcoin Market Sentiment Dataset</w:t>
      </w:r>
    </w:p>
    <w:p>
      <w:r>
        <w:t xml:space="preserve">  - Columns: Date, Classification</w:t>
      </w:r>
    </w:p>
    <w:p>
      <w:r>
        <w:t>• Hyperliquid Historical Trader Dataset</w:t>
      </w:r>
    </w:p>
    <w:p>
      <w:r>
        <w:t xml:space="preserve">  - Columns: account, symbol, execution price, size, side, time, leverage, closedPnL, etc.</w:t>
      </w:r>
    </w:p>
    <w:p>
      <w:pPr>
        <w:pStyle w:val="Heading2"/>
      </w:pPr>
      <w:r>
        <w:t>3. Methodology</w:t>
      </w:r>
    </w:p>
    <w:p>
      <w:pPr>
        <w:pStyle w:val="ListBullet"/>
      </w:pPr>
      <w:r>
        <w:t>Cleaned and standardized both datasets.</w:t>
      </w:r>
    </w:p>
    <w:p>
      <w:pPr>
        <w:pStyle w:val="ListBullet"/>
      </w:pPr>
      <w:r>
        <w:t>Converted timestamps into date format for merging.</w:t>
      </w:r>
    </w:p>
    <w:p>
      <w:pPr>
        <w:pStyle w:val="ListBullet"/>
      </w:pPr>
      <w:r>
        <w:t>Merged trader data with daily sentiment classification.</w:t>
      </w:r>
    </w:p>
    <w:p>
      <w:pPr>
        <w:pStyle w:val="ListBullet"/>
      </w:pPr>
      <w:r>
        <w:t>Performed exploratory data analysis on profitability, trade size, leverage, and win rates.</w:t>
      </w:r>
    </w:p>
    <w:p>
      <w:pPr>
        <w:pStyle w:val="ListBullet"/>
      </w:pPr>
      <w:r>
        <w:t>Compared BUY and SELL trade performance across sentiments.</w:t>
      </w:r>
    </w:p>
    <w:p>
      <w:pPr>
        <w:pStyle w:val="Heading2"/>
      </w:pPr>
      <w:r>
        <w:t>4. Key Findings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Sentiment</w:t>
            </w:r>
          </w:p>
        </w:tc>
        <w:tc>
          <w:tcPr>
            <w:tcW w:type="dxa" w:w="1728"/>
          </w:tcPr>
          <w:p>
            <w:r>
              <w:t>Trades</w:t>
            </w:r>
          </w:p>
        </w:tc>
        <w:tc>
          <w:tcPr>
            <w:tcW w:type="dxa" w:w="1728"/>
          </w:tcPr>
          <w:p>
            <w:r>
              <w:t>Avg PnL</w:t>
            </w:r>
          </w:p>
        </w:tc>
        <w:tc>
          <w:tcPr>
            <w:tcW w:type="dxa" w:w="1728"/>
          </w:tcPr>
          <w:p>
            <w:r>
              <w:t>Total PnL</w:t>
            </w:r>
          </w:p>
        </w:tc>
        <w:tc>
          <w:tcPr>
            <w:tcW w:type="dxa" w:w="1728"/>
          </w:tcPr>
          <w:p>
            <w:r>
              <w:t>Win Rate</w:t>
            </w:r>
          </w:p>
        </w:tc>
      </w:tr>
      <w:tr>
        <w:tc>
          <w:tcPr>
            <w:tcW w:type="dxa" w:w="1728"/>
          </w:tcPr>
          <w:p>
            <w:r>
              <w:t>Extreme Greed</w:t>
            </w:r>
          </w:p>
        </w:tc>
        <w:tc>
          <w:tcPr>
            <w:tcW w:type="dxa" w:w="1728"/>
          </w:tcPr>
          <w:p>
            <w:r>
              <w:t>39,992</w:t>
            </w:r>
          </w:p>
        </w:tc>
        <w:tc>
          <w:tcPr>
            <w:tcW w:type="dxa" w:w="1728"/>
          </w:tcPr>
          <w:p>
            <w:r>
              <w:t>67.89</w:t>
            </w:r>
          </w:p>
        </w:tc>
        <w:tc>
          <w:tcPr>
            <w:tcW w:type="dxa" w:w="1728"/>
          </w:tcPr>
          <w:p>
            <w:r>
              <w:t>2.71M</w:t>
            </w:r>
          </w:p>
        </w:tc>
        <w:tc>
          <w:tcPr>
            <w:tcW w:type="dxa" w:w="1728"/>
          </w:tcPr>
          <w:p>
            <w:r>
              <w:t>46.49%</w:t>
            </w:r>
          </w:p>
        </w:tc>
      </w:tr>
      <w:tr>
        <w:tc>
          <w:tcPr>
            <w:tcW w:type="dxa" w:w="1728"/>
          </w:tcPr>
          <w:p>
            <w:r>
              <w:t>Fear</w:t>
            </w:r>
          </w:p>
        </w:tc>
        <w:tc>
          <w:tcPr>
            <w:tcW w:type="dxa" w:w="1728"/>
          </w:tcPr>
          <w:p>
            <w:r>
              <w:t>61,837</w:t>
            </w:r>
          </w:p>
        </w:tc>
        <w:tc>
          <w:tcPr>
            <w:tcW w:type="dxa" w:w="1728"/>
          </w:tcPr>
          <w:p>
            <w:r>
              <w:t>54.29</w:t>
            </w:r>
          </w:p>
        </w:tc>
        <w:tc>
          <w:tcPr>
            <w:tcW w:type="dxa" w:w="1728"/>
          </w:tcPr>
          <w:p>
            <w:r>
              <w:t>3.35M</w:t>
            </w:r>
          </w:p>
        </w:tc>
        <w:tc>
          <w:tcPr>
            <w:tcW w:type="dxa" w:w="1728"/>
          </w:tcPr>
          <w:p>
            <w:r>
              <w:t>42.08%</w:t>
            </w:r>
          </w:p>
        </w:tc>
      </w:tr>
      <w:tr>
        <w:tc>
          <w:tcPr>
            <w:tcW w:type="dxa" w:w="1728"/>
          </w:tcPr>
          <w:p>
            <w:r>
              <w:t>Greed</w:t>
            </w:r>
          </w:p>
        </w:tc>
        <w:tc>
          <w:tcPr>
            <w:tcW w:type="dxa" w:w="1728"/>
          </w:tcPr>
          <w:p>
            <w:r>
              <w:t>50,303</w:t>
            </w:r>
          </w:p>
        </w:tc>
        <w:tc>
          <w:tcPr>
            <w:tcW w:type="dxa" w:w="1728"/>
          </w:tcPr>
          <w:p>
            <w:r>
              <w:t>42.74</w:t>
            </w:r>
          </w:p>
        </w:tc>
        <w:tc>
          <w:tcPr>
            <w:tcW w:type="dxa" w:w="1728"/>
          </w:tcPr>
          <w:p>
            <w:r>
              <w:t>2.15M</w:t>
            </w:r>
          </w:p>
        </w:tc>
        <w:tc>
          <w:tcPr>
            <w:tcW w:type="dxa" w:w="1728"/>
          </w:tcPr>
          <w:p>
            <w:r>
              <w:t>38.48%</w:t>
            </w:r>
          </w:p>
        </w:tc>
      </w:tr>
      <w:tr>
        <w:tc>
          <w:tcPr>
            <w:tcW w:type="dxa" w:w="1728"/>
          </w:tcPr>
          <w:p>
            <w:r>
              <w:t>Extreme Fear</w:t>
            </w:r>
          </w:p>
        </w:tc>
        <w:tc>
          <w:tcPr>
            <w:tcW w:type="dxa" w:w="1728"/>
          </w:tcPr>
          <w:p>
            <w:r>
              <w:t>21,400</w:t>
            </w:r>
          </w:p>
        </w:tc>
        <w:tc>
          <w:tcPr>
            <w:tcW w:type="dxa" w:w="1728"/>
          </w:tcPr>
          <w:p>
            <w:r>
              <w:t>34.54</w:t>
            </w:r>
          </w:p>
        </w:tc>
        <w:tc>
          <w:tcPr>
            <w:tcW w:type="dxa" w:w="1728"/>
          </w:tcPr>
          <w:p>
            <w:r>
              <w:t>739K</w:t>
            </w:r>
          </w:p>
        </w:tc>
        <w:tc>
          <w:tcPr>
            <w:tcW w:type="dxa" w:w="1728"/>
          </w:tcPr>
          <w:p>
            <w:r>
              <w:t>37.06%</w:t>
            </w:r>
          </w:p>
        </w:tc>
      </w:tr>
      <w:tr>
        <w:tc>
          <w:tcPr>
            <w:tcW w:type="dxa" w:w="1728"/>
          </w:tcPr>
          <w:p>
            <w:r>
              <w:t>Neutral</w:t>
            </w:r>
          </w:p>
        </w:tc>
        <w:tc>
          <w:tcPr>
            <w:tcW w:type="dxa" w:w="1728"/>
          </w:tcPr>
          <w:p>
            <w:r>
              <w:t>37,686</w:t>
            </w:r>
          </w:p>
        </w:tc>
        <w:tc>
          <w:tcPr>
            <w:tcW w:type="dxa" w:w="1728"/>
          </w:tcPr>
          <w:p>
            <w:r>
              <w:t>34.31</w:t>
            </w:r>
          </w:p>
        </w:tc>
        <w:tc>
          <w:tcPr>
            <w:tcW w:type="dxa" w:w="1728"/>
          </w:tcPr>
          <w:p>
            <w:r>
              <w:t>1.29M</w:t>
            </w:r>
          </w:p>
        </w:tc>
        <w:tc>
          <w:tcPr>
            <w:tcW w:type="dxa" w:w="1728"/>
          </w:tcPr>
          <w:p>
            <w:r>
              <w:t>39.70%</w:t>
            </w:r>
          </w:p>
        </w:tc>
      </w:tr>
    </w:tbl>
    <w:p>
      <w:pPr>
        <w:pStyle w:val="Heading2"/>
      </w:pPr>
      <w:r>
        <w:t>5. Major Insights</w:t>
      </w:r>
    </w:p>
    <w:p>
      <w:pPr>
        <w:pStyle w:val="ListBullet"/>
      </w:pPr>
      <w:r>
        <w:t>Extreme Greed periods produced the highest average profit per trade.</w:t>
      </w:r>
    </w:p>
    <w:p>
      <w:pPr>
        <w:pStyle w:val="ListBullet"/>
      </w:pPr>
      <w:r>
        <w:t>Fear periods generated the highest total profits due to larger trading activity.</w:t>
      </w:r>
    </w:p>
    <w:p>
      <w:pPr>
        <w:pStyle w:val="ListBullet"/>
      </w:pPr>
      <w:r>
        <w:t>SELL trades performed better during Greed and Extreme Greed markets.</w:t>
      </w:r>
    </w:p>
    <w:p>
      <w:pPr>
        <w:pStyle w:val="ListBullet"/>
      </w:pPr>
      <w:r>
        <w:t>BUY trades showed stronger performance during Fear conditions.</w:t>
      </w:r>
    </w:p>
    <w:p>
      <w:pPr>
        <w:pStyle w:val="ListBullet"/>
      </w:pPr>
      <w:r>
        <w:t>Contrarian strategies appeared highly effective.</w:t>
      </w:r>
    </w:p>
    <w:p>
      <w:pPr>
        <w:pStyle w:val="ListBullet"/>
      </w:pPr>
      <w:r>
        <w:t>Trader behavior and profitability were strongly influenced by market sentiment.</w:t>
      </w:r>
    </w:p>
    <w:p>
      <w:pPr>
        <w:pStyle w:val="Heading2"/>
      </w:pPr>
      <w:r>
        <w:t>6. Trading Recommendations</w:t>
      </w:r>
    </w:p>
    <w:p>
      <w:pPr>
        <w:pStyle w:val="ListBullet"/>
      </w:pPr>
      <w:r>
        <w:t>Use sentiment-aware trading strategies.</w:t>
      </w:r>
    </w:p>
    <w:p>
      <w:pPr>
        <w:pStyle w:val="ListBullet"/>
      </w:pPr>
      <w:r>
        <w:t>Reduce aggressive long exposure during Extreme Greed periods.</w:t>
      </w:r>
    </w:p>
    <w:p>
      <w:pPr>
        <w:pStyle w:val="ListBullet"/>
      </w:pPr>
      <w:r>
        <w:t>Monitor short-selling opportunities during euphoric market conditions.</w:t>
      </w:r>
    </w:p>
    <w:p>
      <w:pPr>
        <w:pStyle w:val="ListBullet"/>
      </w:pPr>
      <w:r>
        <w:t>Accumulate long positions during Fear phases.</w:t>
      </w:r>
    </w:p>
    <w:p>
      <w:pPr>
        <w:pStyle w:val="ListBullet"/>
      </w:pPr>
      <w:r>
        <w:t>Implement automated risk management based on sentiment indicators.</w:t>
      </w:r>
    </w:p>
    <w:p>
      <w:pPr>
        <w:pStyle w:val="Heading2"/>
      </w:pPr>
      <w:r>
        <w:t>7. Conclusion</w:t>
      </w:r>
    </w:p>
    <w:p>
      <w:r>
        <w:t>The analysis demonstrates a clear relationship between market sentiment and trader profitability. Extreme emotional market conditions create high-value trading opportunities, particularly through contrarian trading behavior. Integrating sentiment analysis into trading systems can improve both profitability and risk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