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after="240" w:line="480"/>
        <w:jc w:val="center"/>
      </w:pPr>
      <w:r>
        <w:rPr>
          <w:rFonts w:ascii="Times New Roman" w:cs="Times New Roman" w:eastAsia="Times New Roman" w:hAnsi="Times New Roman"/>
          <w:b/>
          <w:bCs/>
          <w:i w:val="false"/>
          <w:iCs w:val="false"/>
          <w:sz w:val="24"/>
          <w:szCs w:val="24"/>
        </w:rPr>
        <w:t xml:space="preserve">Extended Essay</w:t>
      </w:r>
    </w:p>
    <w:p>
      <w:pPr>
        <w:spacing w:line="480"/>
      </w:pPr>
      <w:r>
        <w:rPr>
          <w:rFonts w:ascii="Times New Roman" w:cs="Times New Roman" w:eastAsia="Times New Roman" w:hAnsi="Times New Roman"/>
          <w:sz w:val="24"/>
          <w:szCs w:val="24"/>
        </w:rPr>
        <w:t xml:space="preserve"/>
      </w:r>
    </w:p>
    <w:p>
      <w:pPr>
        <w:spacing w:after="240" w:line="480"/>
        <w:jc w:val="center"/>
      </w:pPr>
      <w:r>
        <w:rPr>
          <w:rFonts w:ascii="Times New Roman" w:cs="Times New Roman" w:eastAsia="Times New Roman" w:hAnsi="Times New Roman"/>
          <w:b w:val="false"/>
          <w:bCs w:val="false"/>
          <w:i w:val="false"/>
          <w:iCs w:val="false"/>
          <w:sz w:val="24"/>
          <w:szCs w:val="24"/>
        </w:rPr>
        <w:t xml:space="preserve">Subject: English A: Language and Literature</w:t>
      </w:r>
    </w:p>
    <w:p>
      <w:pPr>
        <w:spacing w:after="240" w:line="480"/>
        <w:jc w:val="center"/>
      </w:pPr>
      <w:r>
        <w:rPr>
          <w:rFonts w:ascii="Times New Roman" w:cs="Times New Roman" w:eastAsia="Times New Roman" w:hAnsi="Times New Roman"/>
          <w:b w:val="false"/>
          <w:bCs w:val="false"/>
          <w:i w:val="false"/>
          <w:iCs w:val="false"/>
          <w:sz w:val="24"/>
          <w:szCs w:val="24"/>
        </w:rPr>
        <w:t xml:space="preserve">Category 3</w:t>
      </w:r>
    </w:p>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after="240" w:line="480"/>
        <w:jc w:val="center"/>
      </w:pPr>
      <w:r>
        <w:rPr>
          <w:rFonts w:ascii="Times New Roman" w:cs="Times New Roman" w:eastAsia="Times New Roman" w:hAnsi="Times New Roman"/>
          <w:b/>
          <w:bCs/>
          <w:i w:val="false"/>
          <w:iCs w:val="false"/>
          <w:sz w:val="24"/>
          <w:szCs w:val="24"/>
        </w:rPr>
        <w:t xml:space="preserve">Title</w:t>
      </w:r>
    </w:p>
    <w:p>
      <w:pPr>
        <w:spacing w:after="240" w:line="480"/>
        <w:jc w:val="center"/>
      </w:pPr>
      <w:r>
        <w:rPr>
          <w:rFonts w:ascii="Times New Roman" w:cs="Times New Roman" w:eastAsia="Times New Roman" w:hAnsi="Times New Roman"/>
          <w:b w:val="false"/>
          <w:bCs w:val="false"/>
          <w:i w:val="false"/>
          <w:iCs w:val="false"/>
          <w:sz w:val="24"/>
          <w:szCs w:val="24"/>
        </w:rPr>
        <w:t xml:space="preserve">Constructing the “Mamba Mentality”: Self-Definition and Documentary Mediation in Kobe Bryant’s Interviews and Kobe Bryant’s Muse</w:t>
      </w:r>
    </w:p>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after="240" w:line="480"/>
        <w:jc w:val="center"/>
      </w:pPr>
      <w:r>
        <w:rPr>
          <w:rFonts w:ascii="Times New Roman" w:cs="Times New Roman" w:eastAsia="Times New Roman" w:hAnsi="Times New Roman"/>
          <w:b/>
          <w:bCs/>
          <w:i w:val="false"/>
          <w:iCs w:val="false"/>
          <w:sz w:val="24"/>
          <w:szCs w:val="24"/>
        </w:rPr>
        <w:t xml:space="preserve">Research Question</w:t>
      </w:r>
    </w:p>
    <w:p>
      <w:pPr>
        <w:spacing w:after="240" w:line="480"/>
        <w:jc w:val="center"/>
      </w:pPr>
      <w:r>
        <w:rPr>
          <w:rFonts w:ascii="Times New Roman" w:cs="Times New Roman" w:eastAsia="Times New Roman" w:hAnsi="Times New Roman"/>
          <w:b w:val="false"/>
          <w:bCs w:val="false"/>
          <w:i w:val="false"/>
          <w:iCs w:val="false"/>
          <w:sz w:val="24"/>
          <w:szCs w:val="24"/>
        </w:rPr>
        <w:t xml:space="preserve">To what extent do selected interviews and Kobe Bryant’s Muse contribute to constructing the public image of the “Mamba Mentality”?</w:t>
      </w:r>
    </w:p>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b/>
          <w:bCs/>
          <w:i w:val="false"/>
          <w:iCs w:val="false"/>
          <w:sz w:val="24"/>
          <w:szCs w:val="24"/>
        </w:rPr>
        <w:t xml:space="preserve">Word Count: 3,954 words</w:t>
      </w:r>
    </w:p>
    <w:p>
      <w:r>
        <w:br w:type="page"/>
      </w:r>
    </w:p>
    <w:p>
      <w:pPr>
        <w:spacing w:after="300" w:line="480"/>
        <w:jc w:val="center"/>
      </w:pPr>
      <w:r>
        <w:rPr>
          <w:rFonts w:ascii="Times New Roman" w:cs="Times New Roman" w:eastAsia="Times New Roman" w:hAnsi="Times New Roman"/>
          <w:b/>
          <w:bCs/>
          <w:i w:val="false"/>
          <w:iCs w:val="false"/>
          <w:sz w:val="24"/>
          <w:szCs w:val="24"/>
        </w:rPr>
        <w:t xml:space="preserve">Table of Contents</w:t>
      </w:r>
    </w:p>
    <w:p>
      <w:pPr>
        <w:tabs>
          <w:tab w:val="right" w:pos="9360" w:leader="dot"/>
        </w:tabs>
        <w:spacing w:after="80" w:line="276"/>
        <w:ind w:left="0" w:right="0"/>
      </w:pPr>
      <w:r>
        <w:rPr>
          <w:rFonts w:ascii="Times New Roman" w:cs="Times New Roman" w:eastAsia="Times New Roman" w:hAnsi="Times New Roman"/>
          <w:b/>
          <w:bCs/>
          <w:i w:val="false"/>
          <w:iCs w:val="false"/>
          <w:sz w:val="24"/>
          <w:szCs w:val="24"/>
        </w:rPr>
        <w:t xml:space="preserve">1. Introduction</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3</w:t>
      </w:r>
    </w:p>
    <w:p>
      <w:pPr>
        <w:tabs>
          <w:tab w:val="right" w:pos="9360" w:leader="dot"/>
        </w:tabs>
        <w:spacing w:after="80" w:line="276"/>
        <w:ind w:left="0" w:right="0"/>
      </w:pPr>
      <w:r>
        <w:rPr>
          <w:rFonts w:ascii="Times New Roman" w:cs="Times New Roman" w:eastAsia="Times New Roman" w:hAnsi="Times New Roman"/>
          <w:b/>
          <w:bCs/>
          <w:i w:val="false"/>
          <w:iCs w:val="false"/>
          <w:sz w:val="24"/>
          <w:szCs w:val="24"/>
        </w:rPr>
        <w:t xml:space="preserve">2. The “Mamba Mentality” as a Constructed Public Concept</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4</w:t>
      </w:r>
    </w:p>
    <w:p>
      <w:pPr>
        <w:tabs>
          <w:tab w:val="right" w:pos="9360" w:leader="dot"/>
        </w:tabs>
        <w:spacing w:after="80" w:line="276"/>
        <w:ind w:left="431" w:right="0"/>
      </w:pPr>
      <w:r>
        <w:rPr>
          <w:rFonts w:ascii="Times New Roman" w:cs="Times New Roman" w:eastAsia="Times New Roman" w:hAnsi="Times New Roman"/>
          <w:b w:val="false"/>
          <w:bCs w:val="false"/>
          <w:i w:val="false"/>
          <w:iCs w:val="false"/>
          <w:sz w:val="24"/>
          <w:szCs w:val="24"/>
        </w:rPr>
        <w:t xml:space="preserve">2.1 Origins and the Problem of Definition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4</w:t>
      </w:r>
    </w:p>
    <w:p>
      <w:pPr>
        <w:tabs>
          <w:tab w:val="right" w:pos="9360" w:leader="dot"/>
        </w:tabs>
        <w:spacing w:after="80" w:line="276"/>
        <w:ind w:left="431" w:right="0"/>
      </w:pPr>
      <w:r>
        <w:rPr>
          <w:rFonts w:ascii="Times New Roman" w:cs="Times New Roman" w:eastAsia="Times New Roman" w:hAnsi="Times New Roman"/>
          <w:b w:val="false"/>
          <w:bCs w:val="false"/>
          <w:i w:val="false"/>
          <w:iCs w:val="false"/>
          <w:sz w:val="24"/>
          <w:szCs w:val="24"/>
        </w:rPr>
        <w:t xml:space="preserve">2.2 Why “Self” and “Media” Cannot Be Cleanly Separated</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5</w:t>
      </w:r>
    </w:p>
    <w:p>
      <w:pPr>
        <w:tabs>
          <w:tab w:val="right" w:pos="9360" w:leader="dot"/>
        </w:tabs>
        <w:spacing w:after="80" w:line="276"/>
        <w:ind w:left="0" w:right="0"/>
      </w:pPr>
      <w:r>
        <w:rPr>
          <w:rFonts w:ascii="Times New Roman" w:cs="Times New Roman" w:eastAsia="Times New Roman" w:hAnsi="Times New Roman"/>
          <w:b/>
          <w:bCs/>
          <w:i w:val="false"/>
          <w:iCs w:val="false"/>
          <w:sz w:val="24"/>
          <w:szCs w:val="24"/>
        </w:rPr>
        <w:t xml:space="preserve">3. Self-Construction in Selected Interviews</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6</w:t>
      </w:r>
    </w:p>
    <w:p>
      <w:pPr>
        <w:tabs>
          <w:tab w:val="right" w:pos="9360" w:leader="dot"/>
        </w:tabs>
        <w:spacing w:after="80" w:line="276"/>
        <w:ind w:left="431" w:right="0"/>
      </w:pPr>
      <w:r>
        <w:rPr>
          <w:rFonts w:ascii="Times New Roman" w:cs="Times New Roman" w:eastAsia="Times New Roman" w:hAnsi="Times New Roman"/>
          <w:b w:val="false"/>
          <w:bCs w:val="false"/>
          <w:i w:val="false"/>
          <w:iCs w:val="false"/>
          <w:sz w:val="24"/>
          <w:szCs w:val="24"/>
        </w:rPr>
        <w:t xml:space="preserve">3.1 Analogy as Self-Characterisation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6</w:t>
      </w:r>
    </w:p>
    <w:p>
      <w:pPr>
        <w:tabs>
          <w:tab w:val="right" w:pos="9360" w:leader="dot"/>
        </w:tabs>
        <w:spacing w:after="80" w:line="276"/>
        <w:ind w:left="431" w:right="0"/>
      </w:pPr>
      <w:r>
        <w:rPr>
          <w:rFonts w:ascii="Times New Roman" w:cs="Times New Roman" w:eastAsia="Times New Roman" w:hAnsi="Times New Roman"/>
          <w:b w:val="false"/>
          <w:bCs w:val="false"/>
          <w:i w:val="false"/>
          <w:iCs w:val="false"/>
          <w:sz w:val="24"/>
          <w:szCs w:val="24"/>
        </w:rPr>
        <w:t xml:space="preserve">3.2 Converting Behaviour into Identity</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7</w:t>
      </w:r>
    </w:p>
    <w:p>
      <w:pPr>
        <w:tabs>
          <w:tab w:val="right" w:pos="9360" w:leader="dot"/>
        </w:tabs>
        <w:spacing w:after="80" w:line="276"/>
        <w:ind w:left="431" w:right="0"/>
      </w:pPr>
      <w:r>
        <w:rPr>
          <w:rFonts w:ascii="Times New Roman" w:cs="Times New Roman" w:eastAsia="Times New Roman" w:hAnsi="Times New Roman"/>
          <w:b w:val="false"/>
          <w:bCs w:val="false"/>
          <w:i w:val="false"/>
          <w:iCs w:val="false"/>
          <w:sz w:val="24"/>
          <w:szCs w:val="24"/>
        </w:rPr>
        <w:t xml:space="preserve">3.3 Vulnerability and the Retirement Press Conference</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8</w:t>
      </w:r>
    </w:p>
    <w:p>
      <w:pPr>
        <w:tabs>
          <w:tab w:val="right" w:pos="9360" w:leader="dot"/>
        </w:tabs>
        <w:spacing w:after="80" w:line="276"/>
        <w:ind w:left="0" w:right="0"/>
      </w:pPr>
      <w:r>
        <w:rPr>
          <w:rFonts w:ascii="Times New Roman" w:cs="Times New Roman" w:eastAsia="Times New Roman" w:hAnsi="Times New Roman"/>
          <w:b/>
          <w:bCs/>
          <w:i w:val="false"/>
          <w:iCs w:val="false"/>
          <w:sz w:val="24"/>
          <w:szCs w:val="24"/>
        </w:rPr>
        <w:t xml:space="preserve">4. Mediated Self-Representation in </w:t>
      </w:r>
      <w:r>
        <w:rPr>
          <w:rFonts w:ascii="Times New Roman" w:cs="Times New Roman" w:eastAsia="Times New Roman" w:hAnsi="Times New Roman"/>
          <w:b/>
          <w:bCs/>
          <w:i/>
          <w:iCs/>
          <w:sz w:val="24"/>
          <w:szCs w:val="24"/>
        </w:rPr>
        <w:t xml:space="preserve">Kobe Bryant’s Muse</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9</w:t>
      </w:r>
    </w:p>
    <w:p>
      <w:pPr>
        <w:tabs>
          <w:tab w:val="right" w:pos="9360" w:leader="dot"/>
        </w:tabs>
        <w:spacing w:after="80" w:line="276"/>
        <w:ind w:left="431" w:right="0"/>
      </w:pPr>
      <w:r>
        <w:rPr>
          <w:rFonts w:ascii="Times New Roman" w:cs="Times New Roman" w:eastAsia="Times New Roman" w:hAnsi="Times New Roman"/>
          <w:b w:val="false"/>
          <w:bCs w:val="false"/>
          <w:i w:val="false"/>
          <w:iCs w:val="false"/>
          <w:sz w:val="24"/>
          <w:szCs w:val="24"/>
        </w:rPr>
        <w:t xml:space="preserve">4.1 Voice, and the Problem of Documentary Authority</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9</w:t>
      </w:r>
    </w:p>
    <w:p>
      <w:pPr>
        <w:tabs>
          <w:tab w:val="right" w:pos="9360" w:leader="dot"/>
        </w:tabs>
        <w:spacing w:after="80" w:line="276"/>
        <w:ind w:left="431" w:right="0"/>
      </w:pPr>
      <w:r>
        <w:rPr>
          <w:rFonts w:ascii="Times New Roman" w:cs="Times New Roman" w:eastAsia="Times New Roman" w:hAnsi="Times New Roman"/>
          <w:b w:val="false"/>
          <w:bCs w:val="false"/>
          <w:i w:val="false"/>
          <w:iCs w:val="false"/>
          <w:sz w:val="24"/>
          <w:szCs w:val="24"/>
        </w:rPr>
        <w:t xml:space="preserve">4.2 Image, Sequence and Sound</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10</w:t>
      </w:r>
    </w:p>
    <w:p>
      <w:pPr>
        <w:tabs>
          <w:tab w:val="right" w:pos="9360" w:leader="dot"/>
        </w:tabs>
        <w:spacing w:after="80" w:line="276"/>
        <w:ind w:left="0" w:right="0"/>
      </w:pPr>
      <w:r>
        <w:rPr>
          <w:rFonts w:ascii="Times New Roman" w:cs="Times New Roman" w:eastAsia="Times New Roman" w:hAnsi="Times New Roman"/>
          <w:b/>
          <w:bCs/>
          <w:i w:val="false"/>
          <w:iCs w:val="false"/>
          <w:sz w:val="24"/>
          <w:szCs w:val="24"/>
        </w:rPr>
        <w:t xml:space="preserve">5. Comparison and Synthesis</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12</w:t>
      </w:r>
    </w:p>
    <w:p>
      <w:pPr>
        <w:tabs>
          <w:tab w:val="right" w:pos="9360" w:leader="dot"/>
        </w:tabs>
        <w:spacing w:after="80" w:line="276"/>
        <w:ind w:left="431" w:right="0"/>
      </w:pPr>
      <w:r>
        <w:rPr>
          <w:rFonts w:ascii="Times New Roman" w:cs="Times New Roman" w:eastAsia="Times New Roman" w:hAnsi="Times New Roman"/>
          <w:b w:val="false"/>
          <w:bCs w:val="false"/>
          <w:i w:val="false"/>
          <w:iCs w:val="false"/>
          <w:sz w:val="24"/>
          <w:szCs w:val="24"/>
        </w:rPr>
        <w:t xml:space="preserve">5.1 Continuities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12</w:t>
      </w:r>
    </w:p>
    <w:p>
      <w:pPr>
        <w:tabs>
          <w:tab w:val="right" w:pos="9360" w:leader="dot"/>
        </w:tabs>
        <w:spacing w:after="80" w:line="276"/>
        <w:ind w:left="431" w:right="0"/>
      </w:pPr>
      <w:r>
        <w:rPr>
          <w:rFonts w:ascii="Times New Roman" w:cs="Times New Roman" w:eastAsia="Times New Roman" w:hAnsi="Times New Roman"/>
          <w:b w:val="false"/>
          <w:bCs w:val="false"/>
          <w:i w:val="false"/>
          <w:iCs w:val="false"/>
          <w:sz w:val="24"/>
          <w:szCs w:val="24"/>
        </w:rPr>
        <w:t xml:space="preserve">5.2 Divergences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12</w:t>
      </w:r>
    </w:p>
    <w:p>
      <w:pPr>
        <w:tabs>
          <w:tab w:val="right" w:pos="9360" w:leader="dot"/>
        </w:tabs>
        <w:spacing w:after="80" w:line="276"/>
        <w:ind w:left="431" w:right="0"/>
      </w:pPr>
      <w:r>
        <w:rPr>
          <w:rFonts w:ascii="Times New Roman" w:cs="Times New Roman" w:eastAsia="Times New Roman" w:hAnsi="Times New Roman"/>
          <w:b w:val="false"/>
          <w:bCs w:val="false"/>
          <w:i w:val="false"/>
          <w:iCs w:val="false"/>
          <w:sz w:val="24"/>
          <w:szCs w:val="24"/>
        </w:rPr>
        <w:t xml:space="preserve">5.3 The Extent of Each Contribution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13</w:t>
      </w:r>
    </w:p>
    <w:p>
      <w:pPr>
        <w:tabs>
          <w:tab w:val="right" w:pos="9360" w:leader="dot"/>
        </w:tabs>
        <w:spacing w:after="80" w:line="276"/>
        <w:ind w:left="0" w:right="0"/>
      </w:pPr>
      <w:r>
        <w:rPr>
          <w:rFonts w:ascii="Times New Roman" w:cs="Times New Roman" w:eastAsia="Times New Roman" w:hAnsi="Times New Roman"/>
          <w:b/>
          <w:bCs/>
          <w:i w:val="false"/>
          <w:iCs w:val="false"/>
          <w:sz w:val="24"/>
          <w:szCs w:val="24"/>
        </w:rPr>
        <w:t xml:space="preserve">6. Conclusion</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13</w:t>
      </w:r>
    </w:p>
    <w:p>
      <w:pPr>
        <w:tabs>
          <w:tab w:val="right" w:pos="9360" w:leader="dot"/>
        </w:tabs>
        <w:spacing w:after="80" w:line="276"/>
        <w:ind w:left="0" w:right="0"/>
      </w:pPr>
      <w:r>
        <w:rPr>
          <w:rFonts w:ascii="Times New Roman" w:cs="Times New Roman" w:eastAsia="Times New Roman" w:hAnsi="Times New Roman"/>
          <w:b/>
          <w:bCs/>
          <w:i w:val="false"/>
          <w:iCs w:val="false"/>
          <w:sz w:val="24"/>
          <w:szCs w:val="24"/>
        </w:rPr>
        <w:t xml:space="preserve">7. References</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15</w:t>
      </w:r>
    </w:p>
    <w:p>
      <w:pPr>
        <w:tabs>
          <w:tab w:val="right" w:pos="9360" w:leader="dot"/>
        </w:tabs>
        <w:spacing w:after="80" w:line="276"/>
        <w:ind w:left="431" w:right="0"/>
      </w:pPr>
      <w:r>
        <w:rPr>
          <w:rFonts w:ascii="Times New Roman" w:cs="Times New Roman" w:eastAsia="Times New Roman" w:hAnsi="Times New Roman"/>
          <w:b w:val="false"/>
          <w:bCs w:val="false"/>
          <w:i w:val="false"/>
          <w:iCs w:val="false"/>
          <w:sz w:val="24"/>
          <w:szCs w:val="24"/>
        </w:rPr>
        <w:t xml:space="preserve">Primary Sources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15</w:t>
      </w:r>
    </w:p>
    <w:p>
      <w:pPr>
        <w:tabs>
          <w:tab w:val="right" w:pos="9360" w:leader="dot"/>
        </w:tabs>
        <w:spacing w:after="80" w:line="276"/>
        <w:ind w:left="431" w:right="0"/>
      </w:pPr>
      <w:r>
        <w:rPr>
          <w:rFonts w:ascii="Times New Roman" w:cs="Times New Roman" w:eastAsia="Times New Roman" w:hAnsi="Times New Roman"/>
          <w:b w:val="false"/>
          <w:bCs w:val="false"/>
          <w:i w:val="false"/>
          <w:iCs w:val="false"/>
          <w:sz w:val="24"/>
          <w:szCs w:val="24"/>
        </w:rPr>
        <w:t xml:space="preserve">Reported Accounts of Primary Events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15</w:t>
      </w:r>
    </w:p>
    <w:p>
      <w:pPr>
        <w:tabs>
          <w:tab w:val="right" w:pos="9360" w:leader="dot"/>
        </w:tabs>
        <w:spacing w:after="80" w:line="276"/>
        <w:ind w:left="431" w:right="0"/>
      </w:pPr>
      <w:r>
        <w:rPr>
          <w:rFonts w:ascii="Times New Roman" w:cs="Times New Roman" w:eastAsia="Times New Roman" w:hAnsi="Times New Roman"/>
          <w:b w:val="false"/>
          <w:bCs w:val="false"/>
          <w:i w:val="false"/>
          <w:iCs w:val="false"/>
          <w:sz w:val="24"/>
          <w:szCs w:val="24"/>
        </w:rPr>
        <w:t xml:space="preserve">Secondary Sources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16</w:t>
      </w:r>
    </w:p>
    <w:p>
      <w:r>
        <w:br w:type="page"/>
      </w:r>
    </w:p>
    <w:p>
      <w:pPr>
        <w:pStyle w:val="Heading1"/>
        <w:spacing w:after="200" w:before="360" w:line="480"/>
      </w:pPr>
      <w:r>
        <w:rPr>
          <w:rFonts w:ascii="Times New Roman" w:cs="Times New Roman" w:eastAsia="Times New Roman" w:hAnsi="Times New Roman"/>
          <w:b/>
          <w:bCs/>
          <w:i w:val="false"/>
          <w:iCs w:val="false"/>
          <w:sz w:val="24"/>
          <w:szCs w:val="24"/>
        </w:rPr>
        <w:t xml:space="preserve">1. Introduction</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A philosophy attributed to a public figure never reaches an audience raw. It arrives inside an interview, a broadcast, a book or a film, and each of those forms sets conditions on what can be said and how it will be taken. Kobe Bryant is a useful case because the phrase associated with him has outlived both his career and his life. “Mamba Mentality” is now used by people who never watched him play, applied to revision timetables, training plans and business, as a general name for disciplined self-improvement. Bryant supplied the phrase and most of its content. He did not, by himself, give it the shape in which it circulates.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This essay analyses two kinds of text. The first is a set of interviews: the profile interview Chuck Klosterman conducted for </w:t>
      </w:r>
      <w:r>
        <w:rPr>
          <w:rFonts w:ascii="Times New Roman" w:cs="Times New Roman" w:eastAsia="Times New Roman" w:hAnsi="Times New Roman"/>
          <w:b w:val="false"/>
          <w:bCs w:val="false"/>
          <w:i/>
          <w:iCs/>
          <w:sz w:val="24"/>
          <w:szCs w:val="24"/>
        </w:rPr>
        <w:t xml:space="preserve">GQ</w:t>
      </w:r>
      <w:r>
        <w:rPr>
          <w:rFonts w:ascii="Times New Roman" w:cs="Times New Roman" w:eastAsia="Times New Roman" w:hAnsi="Times New Roman"/>
          <w:b w:val="false"/>
          <w:bCs w:val="false"/>
          <w:i w:val="false"/>
          <w:iCs w:val="false"/>
          <w:sz w:val="24"/>
          <w:szCs w:val="24"/>
        </w:rPr>
        <w:t xml:space="preserve">, published in February 2015, and the press conference Bryant gave on 29 November 2015, the day he announced his retirement. The second is </w:t>
      </w:r>
      <w:r>
        <w:rPr>
          <w:rFonts w:ascii="Times New Roman" w:cs="Times New Roman" w:eastAsia="Times New Roman" w:hAnsi="Times New Roman"/>
          <w:b w:val="false"/>
          <w:bCs w:val="false"/>
          <w:i/>
          <w:iCs/>
          <w:sz w:val="24"/>
          <w:szCs w:val="24"/>
        </w:rPr>
        <w:t xml:space="preserve">Kobe Bryant’s Muse</w:t>
      </w:r>
      <w:r>
        <w:rPr>
          <w:rFonts w:ascii="Times New Roman" w:cs="Times New Roman" w:eastAsia="Times New Roman" w:hAnsi="Times New Roman"/>
          <w:b w:val="false"/>
          <w:bCs w:val="false"/>
          <w:i w:val="false"/>
          <w:iCs w:val="false"/>
          <w:sz w:val="24"/>
          <w:szCs w:val="24"/>
        </w:rPr>
        <w:t xml:space="preserve">, the feature documentary directed by Gotham Chopra, which premiered on Showtime on 28 February 2015.</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obvious way to frame this comparison is self-representation against media portrayal: Bryant’s own words on one side, somebody else’s film on the other. That framing collapses on contact with the evidence. Bryant is credited as an executive producer of </w:t>
      </w:r>
      <w:r>
        <w:rPr>
          <w:rFonts w:ascii="Times New Roman" w:cs="Times New Roman" w:eastAsia="Times New Roman" w:hAnsi="Times New Roman"/>
          <w:b w:val="false"/>
          <w:bCs w:val="false"/>
          <w:i/>
          <w:iCs/>
          <w:sz w:val="24"/>
          <w:szCs w:val="24"/>
        </w:rPr>
        <w:t xml:space="preserve">Muse</w:t>
      </w:r>
      <w:r>
        <w:rPr>
          <w:rFonts w:ascii="Times New Roman" w:cs="Times New Roman" w:eastAsia="Times New Roman" w:hAnsi="Times New Roman"/>
          <w:b w:val="false"/>
          <w:bCs w:val="false"/>
          <w:i w:val="false"/>
          <w:iCs w:val="false"/>
          <w:sz w:val="24"/>
          <w:szCs w:val="24"/>
        </w:rPr>
        <w:t xml:space="preserve"> (Chopra, 2015), and the released film contains no new interviews with anyone else, so his is the only testimonial voice in it. Equally, the interviews are not unmediated. The </w:t>
      </w:r>
      <w:r>
        <w:rPr>
          <w:rFonts w:ascii="Times New Roman" w:cs="Times New Roman" w:eastAsia="Times New Roman" w:hAnsi="Times New Roman"/>
          <w:b w:val="false"/>
          <w:bCs w:val="false"/>
          <w:i/>
          <w:iCs/>
          <w:sz w:val="24"/>
          <w:szCs w:val="24"/>
        </w:rPr>
        <w:t xml:space="preserve">GQ</w:t>
      </w:r>
      <w:r>
        <w:rPr>
          <w:rFonts w:ascii="Times New Roman" w:cs="Times New Roman" w:eastAsia="Times New Roman" w:hAnsi="Times New Roman"/>
          <w:b w:val="false"/>
          <w:bCs w:val="false"/>
          <w:i w:val="false"/>
          <w:iCs w:val="false"/>
          <w:sz w:val="24"/>
          <w:szCs w:val="24"/>
        </w:rPr>
        <w:t xml:space="preserve"> profile appeared eleven days before the documentary premiered, which places it inside the same promotional operation as the film. Neither category is clean.</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What follows therefore treats </w:t>
      </w:r>
      <w:r>
        <w:rPr>
          <w:rFonts w:ascii="Times New Roman" w:cs="Times New Roman" w:eastAsia="Times New Roman" w:hAnsi="Times New Roman"/>
          <w:b w:val="false"/>
          <w:bCs w:val="false"/>
          <w:i/>
          <w:iCs/>
          <w:sz w:val="24"/>
          <w:szCs w:val="24"/>
        </w:rPr>
        <w:t xml:space="preserve">Muse</w:t>
      </w:r>
      <w:r>
        <w:rPr>
          <w:rFonts w:ascii="Times New Roman" w:cs="Times New Roman" w:eastAsia="Times New Roman" w:hAnsi="Times New Roman"/>
          <w:b w:val="false"/>
          <w:bCs w:val="false"/>
          <w:i w:val="false"/>
          <w:iCs w:val="false"/>
          <w:sz w:val="24"/>
          <w:szCs w:val="24"/>
        </w:rPr>
        <w:t xml:space="preserve"> as a </w:t>
      </w:r>
      <w:r>
        <w:rPr>
          <w:rFonts w:ascii="Times New Roman" w:cs="Times New Roman" w:eastAsia="Times New Roman" w:hAnsi="Times New Roman"/>
          <w:b/>
          <w:bCs/>
          <w:i w:val="false"/>
          <w:iCs w:val="false"/>
          <w:sz w:val="24"/>
          <w:szCs w:val="24"/>
        </w:rPr>
        <w:t xml:space="preserve">mediated self-portrait</w:t>
      </w:r>
      <w:r>
        <w:rPr>
          <w:rFonts w:ascii="Times New Roman" w:cs="Times New Roman" w:eastAsia="Times New Roman" w:hAnsi="Times New Roman"/>
          <w:b w:val="false"/>
          <w:bCs w:val="false"/>
          <w:i w:val="false"/>
          <w:iCs w:val="false"/>
          <w:sz w:val="24"/>
          <w:szCs w:val="24"/>
        </w:rPr>
        <w:t xml:space="preserve"> rather than an external portrayal, and asks a sharper version of the research question: if both text types carry Bryant’s self-definition, what does each one actually contribute? My argument is that the division is one of content against form. The interviews supply the vocabulary, the analogies and the grammatical habits out of which the Mamba Mentality is built. </w:t>
      </w:r>
      <w:r>
        <w:rPr>
          <w:rFonts w:ascii="Times New Roman" w:cs="Times New Roman" w:eastAsia="Times New Roman" w:hAnsi="Times New Roman"/>
          <w:b w:val="false"/>
          <w:bCs w:val="false"/>
          <w:i/>
          <w:iCs/>
          <w:sz w:val="24"/>
          <w:szCs w:val="24"/>
        </w:rPr>
        <w:t xml:space="preserve">Muse</w:t>
      </w:r>
      <w:r>
        <w:rPr>
          <w:rFonts w:ascii="Times New Roman" w:cs="Times New Roman" w:eastAsia="Times New Roman" w:hAnsi="Times New Roman"/>
          <w:b w:val="false"/>
          <w:bCs w:val="false"/>
          <w:i w:val="false"/>
          <w:iCs w:val="false"/>
          <w:sz w:val="24"/>
          <w:szCs w:val="24"/>
        </w:rPr>
        <w:t xml:space="preserve"> adds almost no new propositions, but it gives those propositions coherence, emotional weight and an appearance of inevitability through chronology, archival juxtaposition, cinematography and score. Section 2 establishes the concept and the methodological problem. Sections 3 and 4 analyse each text type. Section 5 compares them and states the extent of each contribution.</w:t>
      </w:r>
    </w:p>
    <w:p>
      <w:pPr>
        <w:pStyle w:val="Heading1"/>
        <w:spacing w:after="200" w:before="360" w:line="480"/>
      </w:pPr>
      <w:r>
        <w:rPr>
          <w:rFonts w:ascii="Times New Roman" w:cs="Times New Roman" w:eastAsia="Times New Roman" w:hAnsi="Times New Roman"/>
          <w:b/>
          <w:bCs/>
          <w:i w:val="false"/>
          <w:iCs w:val="false"/>
          <w:sz w:val="24"/>
          <w:szCs w:val="24"/>
        </w:rPr>
        <w:t xml:space="preserve">2. The “Mamba Mentality” as a Constructed Public Concept</w:t>
      </w:r>
    </w:p>
    <w:p>
      <w:pPr>
        <w:pStyle w:val="Heading2"/>
        <w:spacing w:after="160" w:before="280" w:line="480"/>
      </w:pPr>
      <w:r>
        <w:rPr>
          <w:rFonts w:ascii="Times New Roman" w:cs="Times New Roman" w:eastAsia="Times New Roman" w:hAnsi="Times New Roman"/>
          <w:b/>
          <w:bCs/>
          <w:i w:val="false"/>
          <w:iCs w:val="false"/>
          <w:sz w:val="24"/>
          <w:szCs w:val="24"/>
        </w:rPr>
        <w:t xml:space="preserve">2.1 Origins and the Problem of Definition</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Bryant adopted “Black Mamba” around 2003, during the period of the sexual assault case brought against him in Colorado. He has described the persona as a deliberate separation of his playing self from the damage being done to his public name, an account he gives on camera in </w:t>
      </w:r>
      <w:r>
        <w:rPr>
          <w:rFonts w:ascii="Times New Roman" w:cs="Times New Roman" w:eastAsia="Times New Roman" w:hAnsi="Times New Roman"/>
          <w:b w:val="false"/>
          <w:bCs w:val="false"/>
          <w:i/>
          <w:iCs/>
          <w:sz w:val="24"/>
          <w:szCs w:val="24"/>
        </w:rPr>
        <w:t xml:space="preserve">Muse</w:t>
      </w:r>
      <w:r>
        <w:rPr>
          <w:rFonts w:ascii="Times New Roman" w:cs="Times New Roman" w:eastAsia="Times New Roman" w:hAnsi="Times New Roman"/>
          <w:b w:val="false"/>
          <w:bCs w:val="false"/>
          <w:i w:val="false"/>
          <w:iCs w:val="false"/>
          <w:sz w:val="24"/>
          <w:szCs w:val="24"/>
        </w:rPr>
        <w:t xml:space="preserve"> itself (Chopra, 2015). The alter ego came first; the philosophy was attached to it afterwards. By the time Bryant published </w:t>
      </w:r>
      <w:r>
        <w:rPr>
          <w:rFonts w:ascii="Times New Roman" w:cs="Times New Roman" w:eastAsia="Times New Roman" w:hAnsi="Times New Roman"/>
          <w:b w:val="false"/>
          <w:bCs w:val="false"/>
          <w:i/>
          <w:iCs/>
          <w:sz w:val="24"/>
          <w:szCs w:val="24"/>
        </w:rPr>
        <w:t xml:space="preserve">The Mamba Mentality: How I Play</w:t>
      </w:r>
      <w:r>
        <w:rPr>
          <w:rFonts w:ascii="Times New Roman" w:cs="Times New Roman" w:eastAsia="Times New Roman" w:hAnsi="Times New Roman"/>
          <w:b w:val="false"/>
          <w:bCs w:val="false"/>
          <w:i w:val="false"/>
          <w:iCs w:val="false"/>
          <w:sz w:val="24"/>
          <w:szCs w:val="24"/>
        </w:rPr>
        <w:t xml:space="preserve"> in October 2018, the phrase named a method rather than a nickname: a commitment to daily improvement measured against one’s own previous standard rather than against rivals, and an insistence on process over result.</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book is revealing about the definitional problem. It is organised around process, covering footwork, preparation and the reading of opponents, and offers no single sentence defining the mentality, leaving the reader to infer the philosophy from accumulated technical detail (Bryant &amp; Bernstein, 2018). The concept is demonstrated rather than stated.</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Two features of this history matter for the research question. First, the concept was retrofitted. It was not announced as a philosophy and then lived out; it was lived first and named later, which means its public definition was always a work of retrospective interpretation. Second, the definition is loose. Bryant never fixed it in a single formulation, and the term’s portability, which is what lets a student or a salesperson claim it, depends on that looseness. A concept this under-specified is unusually dependent on the texts that circulate it, because each text must decide, in effect, what the concept means.</w:t>
      </w:r>
    </w:p>
    <w:p>
      <w:pPr>
        <w:pStyle w:val="Heading2"/>
        <w:spacing w:after="160" w:before="280" w:line="480"/>
      </w:pPr>
      <w:r>
        <w:rPr>
          <w:rFonts w:ascii="Times New Roman" w:cs="Times New Roman" w:eastAsia="Times New Roman" w:hAnsi="Times New Roman"/>
          <w:b/>
          <w:bCs/>
          <w:i w:val="false"/>
          <w:iCs w:val="false"/>
          <w:sz w:val="24"/>
          <w:szCs w:val="24"/>
        </w:rPr>
        <w:t xml:space="preserve">2.2 Why “Self” and “Media” Cannot Be Cleanly Separated</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Hall (1997) argues that representation does not transmit a meaning that already exists but participates in producing it. Applied here, this rules out the question “is the public Mamba Mentality the real Bryant or a media invention?”, because it denies that there is a version standing outside representation to be compared against. The more answerable question is which representational resources each text brings.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Dyer’s (1979/1998) account of the star image sharpens this further. For Dyer, a star image is not located in any single text but is assembled across many, including films, interviews, publicity and commentary, and its coherence is an achievement of that assembly rather than a property of the person. This is exactly the condition of the Mamba Mentality: it exists across a magazine profile, a press conference, a documentary, a book and a sportswear campaign, and its apparent unity is something those texts accomplish together.</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Bryant’s production role makes the point concrete, and the evidence on it pulls in two directions. At Showtime’s presentation to television critics in July 2014 he publicly minimised his executive-producer credit, calling it his “only in title alone” and professing uncertainty about what producers do; the Associated Press described the credit as honorary, and Chopra denied that it carried creative control (</w:t>
      </w:r>
      <w:r>
        <w:rPr>
          <w:rFonts w:ascii="Times New Roman" w:cs="Times New Roman" w:eastAsia="Times New Roman" w:hAnsi="Times New Roman"/>
          <w:b w:val="false"/>
          <w:bCs w:val="false"/>
          <w:i/>
          <w:iCs/>
          <w:sz w:val="24"/>
          <w:szCs w:val="24"/>
        </w:rPr>
        <w:t xml:space="preserve">Deadline</w:t>
      </w:r>
      <w:r>
        <w:rPr>
          <w:rFonts w:ascii="Times New Roman" w:cs="Times New Roman" w:eastAsia="Times New Roman" w:hAnsi="Times New Roman"/>
          <w:b w:val="false"/>
          <w:bCs w:val="false"/>
          <w:i w:val="false"/>
          <w:iCs w:val="false"/>
          <w:sz w:val="24"/>
          <w:szCs w:val="24"/>
        </w:rPr>
        <w:t xml:space="preserve">, 2014). Against that, Bryant later gave his own account of how the film was made. Appearing on </w:t>
      </w:r>
      <w:r>
        <w:rPr>
          <w:rFonts w:ascii="Times New Roman" w:cs="Times New Roman" w:eastAsia="Times New Roman" w:hAnsi="Times New Roman"/>
          <w:b w:val="false"/>
          <w:bCs w:val="false"/>
          <w:i/>
          <w:iCs/>
          <w:sz w:val="24"/>
          <w:szCs w:val="24"/>
        </w:rPr>
        <w:t xml:space="preserve">The Grantland Basketball Hour</w:t>
      </w:r>
      <w:r>
        <w:rPr>
          <w:rFonts w:ascii="Times New Roman" w:cs="Times New Roman" w:eastAsia="Times New Roman" w:hAnsi="Times New Roman"/>
          <w:b w:val="false"/>
          <w:bCs w:val="false"/>
          <w:i w:val="false"/>
          <w:iCs w:val="false"/>
          <w:sz w:val="24"/>
          <w:szCs w:val="24"/>
        </w:rPr>
        <w:t xml:space="preserve"> with Bill Simmons and Jalen Rose in February 2015, he explained Phil Jackson’s absence from the finished film by confirming that he had rejected a completed version and started again, summarising his approach in four words: “control what you can control” (as reported in Yahoo Finance, 2015). Chopra’s own later account corroborates the involvement. He writes that an editing suite was built in Newport Beach at Bryant’s insistence, close to his home so that he could stay inside the process, and that Bryant took a close interest in the cutting, the choice of shots, the score, the colour correction and the audio mix (Chopra, 2021).</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two accounts are not contradictory so much as differently scoped. Bryant may well have held no formal editorial authority while shaping the film’s basic architecture and sitting in the room where its texture was decided. Throughout what follows I therefore distinguish four things that the phrase “self-representation” tends to blur: Bryant’s participation, Bryant’s self-presentation, the filmmakers’ construction, and the finished text an audience sees.</w:t>
      </w:r>
    </w:p>
    <w:p>
      <w:pPr>
        <w:pStyle w:val="Heading1"/>
        <w:spacing w:after="200" w:before="360" w:line="480"/>
      </w:pPr>
      <w:r>
        <w:rPr>
          <w:rFonts w:ascii="Times New Roman" w:cs="Times New Roman" w:eastAsia="Times New Roman" w:hAnsi="Times New Roman"/>
          <w:b/>
          <w:bCs/>
          <w:i w:val="false"/>
          <w:iCs w:val="false"/>
          <w:sz w:val="24"/>
          <w:szCs w:val="24"/>
        </w:rPr>
        <w:t xml:space="preserve">3. Self-Construction in Selected Interviews</w:t>
      </w:r>
    </w:p>
    <w:p>
      <w:pPr>
        <w:pStyle w:val="Heading2"/>
        <w:spacing w:after="160" w:before="280" w:line="480"/>
      </w:pPr>
      <w:r>
        <w:rPr>
          <w:rFonts w:ascii="Times New Roman" w:cs="Times New Roman" w:eastAsia="Times New Roman" w:hAnsi="Times New Roman"/>
          <w:b/>
          <w:bCs/>
          <w:i w:val="false"/>
          <w:iCs w:val="false"/>
          <w:sz w:val="24"/>
          <w:szCs w:val="24"/>
        </w:rPr>
        <w:t xml:space="preserve">3.1 Analogy as Self-Characterisation</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most distinctive feature of Bryant’s interview language is that he characterises himself almost entirely through analogy with figures outside basketball. Three examples from the </w:t>
      </w:r>
      <w:r>
        <w:rPr>
          <w:rFonts w:ascii="Times New Roman" w:cs="Times New Roman" w:eastAsia="Times New Roman" w:hAnsi="Times New Roman"/>
          <w:b w:val="false"/>
          <w:bCs w:val="false"/>
          <w:i/>
          <w:iCs/>
          <w:sz w:val="24"/>
          <w:szCs w:val="24"/>
        </w:rPr>
        <w:t xml:space="preserve">GQ</w:t>
      </w:r>
      <w:r>
        <w:rPr>
          <w:rFonts w:ascii="Times New Roman" w:cs="Times New Roman" w:eastAsia="Times New Roman" w:hAnsi="Times New Roman"/>
          <w:b w:val="false"/>
          <w:bCs w:val="false"/>
          <w:i w:val="false"/>
          <w:iCs w:val="false"/>
          <w:sz w:val="24"/>
          <w:szCs w:val="24"/>
        </w:rPr>
        <w:t xml:space="preserve"> interview carry most of the work.</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first is equine. Describing his years under Phil Jackson, Bryant says that he “was like a wild horse that had the potential to become Secretariat” (Klosterman, 2015). The sentence turns on a split between present and conditional: </w:t>
      </w:r>
      <w:r>
        <w:rPr>
          <w:rFonts w:ascii="Times New Roman" w:cs="Times New Roman" w:eastAsia="Times New Roman" w:hAnsi="Times New Roman"/>
          <w:b w:val="false"/>
          <w:bCs w:val="false"/>
          <w:i/>
          <w:iCs/>
          <w:sz w:val="24"/>
          <w:szCs w:val="24"/>
        </w:rPr>
        <w:t xml:space="preserve">wild horse</w:t>
      </w:r>
      <w:r>
        <w:rPr>
          <w:rFonts w:ascii="Times New Roman" w:cs="Times New Roman" w:eastAsia="Times New Roman" w:hAnsi="Times New Roman"/>
          <w:b w:val="false"/>
          <w:bCs w:val="false"/>
          <w:i w:val="false"/>
          <w:iCs w:val="false"/>
          <w:sz w:val="24"/>
          <w:szCs w:val="24"/>
        </w:rPr>
        <w:t xml:space="preserve"> is what he was, </w:t>
      </w:r>
      <w:r>
        <w:rPr>
          <w:rFonts w:ascii="Times New Roman" w:cs="Times New Roman" w:eastAsia="Times New Roman" w:hAnsi="Times New Roman"/>
          <w:b w:val="false"/>
          <w:bCs w:val="false"/>
          <w:i/>
          <w:iCs/>
          <w:sz w:val="24"/>
          <w:szCs w:val="24"/>
        </w:rPr>
        <w:t xml:space="preserve">Secretariat</w:t>
      </w:r>
      <w:r>
        <w:rPr>
          <w:rFonts w:ascii="Times New Roman" w:cs="Times New Roman" w:eastAsia="Times New Roman" w:hAnsi="Times New Roman"/>
          <w:b w:val="false"/>
          <w:bCs w:val="false"/>
          <w:i w:val="false"/>
          <w:iCs w:val="false"/>
          <w:sz w:val="24"/>
          <w:szCs w:val="24"/>
        </w:rPr>
        <w:t xml:space="preserve"> what he might become. The verb phrase “had the potential to become” does the whole job, because it concedes that the wildness was real while reclassifying it as unrealised quality rather than as a defect. The simile also redistributes responsibility. A horse is not accountable for its own training; it requires a trainer, and Jackson occupies that position in the sentence. Bryant admits he was difficult without admitting he was at fault.</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second is musical. Asked whether he shot too often, he answers that “Some people thought Mozart had too many notes in his compositions,” and that “There were as many as necessary” (Klosterman, 2015). The reply never mentions basketball. It substitutes a historical judgement long settled in Mozart’s favour for a contemporary judgement still open, and leaves the interviewer to draw the inference. The second sentence is also grammatically evasive. “There were as many as necessary” has no agent: nobody decided the number, it simply was correct. A claim that would sound arrogant in the first person, something like “I took as many shots as I needed,” becomes close to unarguable once the person is removed from it.</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third appears in the interview’s footnotes, where Bryant resists the suggestion that every brand carries a calculated purpose: “That’s like saying every wizard with Slytherin House is a villain” (Klosterman, 2015). The structure is the same reduction he uses with Mozart, now applied to a fictional taxonomy.</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What unites the three is one manoeuvre: each takes a criticism and returns it as a category error on the critic’s part. They also share a register that is conspicuously not athletic, drawn from classical music, horse racing and children’s fiction. That choice matters more than any individual comparison. By arguing about himself in borrowed terms, Bryant lifts the philosophy out of the setting that produced it, and this, rather than any explicit claim to universality, is what makes the Mamba Mentality exportable. A reader who knows nothing about basketball can still follow an argument conducted through Mozart.</w:t>
      </w:r>
    </w:p>
    <w:p>
      <w:pPr>
        <w:pStyle w:val="Heading2"/>
        <w:spacing w:after="160" w:before="280" w:line="480"/>
      </w:pPr>
      <w:r>
        <w:rPr>
          <w:rFonts w:ascii="Times New Roman" w:cs="Times New Roman" w:eastAsia="Times New Roman" w:hAnsi="Times New Roman"/>
          <w:b/>
          <w:bCs/>
          <w:i w:val="false"/>
          <w:iCs w:val="false"/>
          <w:sz w:val="24"/>
          <w:szCs w:val="24"/>
        </w:rPr>
        <w:t xml:space="preserve">3.2 Converting Behaviour into Identity</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A second pattern runs through the interview material: Bryant describes habits in terms that make them constitutive of who he is rather than things he does.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clearest case is his treatment of friendship. Pressed in </w:t>
      </w:r>
      <w:r>
        <w:rPr>
          <w:rFonts w:ascii="Times New Roman" w:cs="Times New Roman" w:eastAsia="Times New Roman" w:hAnsi="Times New Roman"/>
          <w:b w:val="false"/>
          <w:bCs w:val="false"/>
          <w:i/>
          <w:iCs/>
          <w:sz w:val="24"/>
          <w:szCs w:val="24"/>
        </w:rPr>
        <w:t xml:space="preserve">GQ</w:t>
      </w:r>
      <w:r>
        <w:rPr>
          <w:rFonts w:ascii="Times New Roman" w:cs="Times New Roman" w:eastAsia="Times New Roman" w:hAnsi="Times New Roman"/>
          <w:b w:val="false"/>
          <w:bCs w:val="false"/>
          <w:i w:val="false"/>
          <w:iCs w:val="false"/>
          <w:sz w:val="24"/>
          <w:szCs w:val="24"/>
        </w:rPr>
        <w:t xml:space="preserve"> on whether his intensity leaves room for friends, he first tilts towards no, then corrects himself: “I have friends” (Klosterman, 2015). What follows is the significant part. He distinguishes between being a good friend and being a great one, defines the greater standard as daily contact and remembered birthdays, and concedes that his absorption in work makes him forget such things. The sequence admits the charge, supplies a standard he fails to meet, and then attributes the failure to a commitment rather than to a character defect. Sacrifice becomes a choice with a known price rather than something taken from him. The transformation is achieved grammatically, by subordinating the cost to the purpose it served.</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same conversion operates on the detail of pre-dawn training. The “4 a.m.” motif recurs across Bryant’s public statements, including his account of a routine he maintained into retirement (CNBC, 2018), and it has circulated in commercial as well as journalistic contexts. Its usefulness is that it is specific, repeatable and falsifiable-sounding. Unlike “dedication”, a clock time can be pictured, and it can be adopted by someone else without modification. The specificity converts an abstract claim about commitment into an apparently checkable fact, and that is precisely what allows audiences to measure themselves against it.</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Taken together, these moves mean that Bryant does not present the Mamba Mentality as a strategy he employs but as a description of what he is. The distinction matters for how the concept travels. A strategy invites evaluation: does it work? An identity invites emulation.</w:t>
      </w:r>
    </w:p>
    <w:p>
      <w:pPr>
        <w:pStyle w:val="Heading2"/>
        <w:spacing w:after="160" w:before="280" w:line="480"/>
      </w:pPr>
      <w:r>
        <w:rPr>
          <w:rFonts w:ascii="Times New Roman" w:cs="Times New Roman" w:eastAsia="Times New Roman" w:hAnsi="Times New Roman"/>
          <w:b/>
          <w:bCs/>
          <w:i w:val="false"/>
          <w:iCs w:val="false"/>
          <w:sz w:val="24"/>
          <w:szCs w:val="24"/>
        </w:rPr>
        <w:t xml:space="preserve">3.3 Vulnerability and the Retirement Press Conference</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press conference on 29 November 2015, given after a home defeat to Indiana in which Bryant shot 4 of 20, is the one text in the corpus where the self-characterisation is placed under visible strain. Bryant announced his retirement that day through “Dear Basketball”, a letter published on </w:t>
      </w:r>
      <w:r>
        <w:rPr>
          <w:rFonts w:ascii="Times New Roman" w:cs="Times New Roman" w:eastAsia="Times New Roman" w:hAnsi="Times New Roman"/>
          <w:b w:val="false"/>
          <w:bCs w:val="false"/>
          <w:i/>
          <w:iCs/>
          <w:sz w:val="24"/>
          <w:szCs w:val="24"/>
        </w:rPr>
        <w:t xml:space="preserve">The Players’ Tribune</w:t>
      </w:r>
      <w:r>
        <w:rPr>
          <w:rFonts w:ascii="Times New Roman" w:cs="Times New Roman" w:eastAsia="Times New Roman" w:hAnsi="Times New Roman"/>
          <w:b w:val="false"/>
          <w:bCs w:val="false"/>
          <w:i w:val="false"/>
          <w:iCs w:val="false"/>
          <w:sz w:val="24"/>
          <w:szCs w:val="24"/>
        </w:rPr>
        <w:t xml:space="preserve"> (Bryant, 2015), and then took questions.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Asked why he was stopping, he answered by posing the question himself:</w:t>
      </w:r>
    </w:p>
    <w:p>
      <w:pPr>
        <w:spacing w:after="120" w:before="120" w:line="480"/>
        <w:ind w:left="720"/>
        <w:jc w:val="both"/>
      </w:pPr>
      <w:r>
        <w:rPr>
          <w:rFonts w:ascii="Times New Roman" w:cs="Times New Roman" w:eastAsia="Times New Roman" w:hAnsi="Times New Roman"/>
          <w:b w:val="false"/>
          <w:bCs w:val="false"/>
          <w:i w:val="false"/>
          <w:iCs w:val="false"/>
          <w:sz w:val="24"/>
          <w:szCs w:val="24"/>
        </w:rPr>
        <w:t xml:space="preserve">Do I want to play again or don’t I? It’s a very simple question, but it’s a hard question to look in the mirror and ask yourself. The reality is: No, I don’t. (as reported in </w:t>
      </w:r>
      <w:r>
        <w:rPr>
          <w:rFonts w:ascii="Times New Roman" w:cs="Times New Roman" w:eastAsia="Times New Roman" w:hAnsi="Times New Roman"/>
          <w:b w:val="false"/>
          <w:bCs w:val="false"/>
          <w:i/>
          <w:iCs/>
          <w:sz w:val="24"/>
          <w:szCs w:val="24"/>
        </w:rPr>
        <w:t xml:space="preserve">CNN</w:t>
      </w:r>
      <w:r>
        <w:rPr>
          <w:rFonts w:ascii="Times New Roman" w:cs="Times New Roman" w:eastAsia="Times New Roman" w:hAnsi="Times New Roman"/>
          <w:b w:val="false"/>
          <w:bCs w:val="false"/>
          <w:i w:val="false"/>
          <w:iCs w:val="false"/>
          <w:sz w:val="24"/>
          <w:szCs w:val="24"/>
        </w:rPr>
        <w:t xml:space="preserve">, 2015)</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Four features of this answer do the work. First, he takes the interrogative away from the reporter and asks it himself, which converts an interrogation into an act of self-examination. Second, the antithesis of “simple” and “hard” inside a single sentence relocates the difficulty: the question is not hard to understand, only hard to put to oneself. Third, the pronouns shift. “Yourself” is generic, inviting anyone listening to imagine the same confrontation, and only then does he return to “I” for the answer, so that a universal difficulty is resolved by a particular decision. Fourth, after two long clauses the reply contracts to three monosyllables, “No, I don’t”, and the syntax enacts the decisiveness the content claims. “The reality is” frames what follows as a fact discovered rather than a preference chosen.</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most consequential word, though, is “want”. Bryant does not say he cannot play. He says he does not wish to. Had he retired because his body failed, the Mamba Mentality would be a philosophy with an expiry date, tied to one athlete’s physical peak. By grounding the decision in the absence of desire, he leaves the philosophy intact: the mentality did not run out, the appetite did. The concept is thereby detached from the career that generated it and left available to anyone, and that detachment is what makes its later circulation possible.</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It is worth registering that this is a press conference, not a soliloquy. The answers are shaped by the questions asked and by a format in which a public figure speaks to assembled reporters under evident emotional pressure. Even the most apparently direct text in the corpus is a joint production.</w:t>
      </w:r>
    </w:p>
    <w:p>
      <w:pPr>
        <w:pStyle w:val="Heading1"/>
        <w:spacing w:after="200" w:before="360" w:line="480"/>
      </w:pPr>
      <w:r>
        <w:rPr>
          <w:rFonts w:ascii="Times New Roman" w:cs="Times New Roman" w:eastAsia="Times New Roman" w:hAnsi="Times New Roman"/>
          <w:b/>
          <w:bCs/>
          <w:i w:val="false"/>
          <w:iCs w:val="false"/>
          <w:sz w:val="24"/>
          <w:szCs w:val="24"/>
        </w:rPr>
        <w:t xml:space="preserve">4. Mediated Self-Representation in </w:t>
      </w:r>
      <w:r>
        <w:rPr>
          <w:rFonts w:ascii="Times New Roman" w:cs="Times New Roman" w:eastAsia="Times New Roman" w:hAnsi="Times New Roman"/>
          <w:b/>
          <w:bCs/>
          <w:i/>
          <w:iCs/>
          <w:sz w:val="24"/>
          <w:szCs w:val="24"/>
        </w:rPr>
        <w:t xml:space="preserve">Kobe Bryant’s Muse</w:t>
      </w:r>
    </w:p>
    <w:p>
      <w:pPr>
        <w:pStyle w:val="Heading2"/>
        <w:spacing w:after="160" w:before="280" w:line="480"/>
      </w:pPr>
      <w:r>
        <w:rPr>
          <w:rFonts w:ascii="Times New Roman" w:cs="Times New Roman" w:eastAsia="Times New Roman" w:hAnsi="Times New Roman"/>
          <w:b/>
          <w:bCs/>
          <w:i w:val="false"/>
          <w:iCs w:val="false"/>
          <w:sz w:val="24"/>
          <w:szCs w:val="24"/>
        </w:rPr>
        <w:t xml:space="preserve">4.1 Voice, and the Problem of Documentary Authority</w:t>
      </w:r>
    </w:p>
    <w:p>
      <w:pPr>
        <w:spacing w:after="0" w:line="480"/>
        <w:ind w:firstLine="720"/>
        <w:jc w:val="both"/>
      </w:pPr>
      <w:r>
        <w:rPr>
          <w:rFonts w:ascii="Times New Roman" w:cs="Times New Roman" w:eastAsia="Times New Roman" w:hAnsi="Times New Roman"/>
          <w:b w:val="false"/>
          <w:bCs w:val="false"/>
          <w:i/>
          <w:iCs/>
          <w:sz w:val="24"/>
          <w:szCs w:val="24"/>
        </w:rPr>
        <w:t xml:space="preserve">Muse</w:t>
      </w:r>
      <w:r>
        <w:rPr>
          <w:rFonts w:ascii="Times New Roman" w:cs="Times New Roman" w:eastAsia="Times New Roman" w:hAnsi="Times New Roman"/>
          <w:b w:val="false"/>
          <w:bCs w:val="false"/>
          <w:i w:val="false"/>
          <w:iCs w:val="false"/>
          <w:sz w:val="24"/>
          <w:szCs w:val="24"/>
        </w:rPr>
        <w:t xml:space="preserve"> is unusual in that Bryant is its only interviewee. The film is carried by his direct address to camera and his narration; other figures associated with his career, including Shaquille O’Neal, Phil Jackson and Michael Jordan, appear only in archival footage. This was not the original design. Chopra had spent months assembling a conventional documentary built on interviews with around forty people, Jackson among them, before Bryant rejected that version and the film was rebuilt around a single voice (as reported in Yahoo Finance, 2015).</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Nichols (2001) distinguishes between the voice of a documentary’s subject and the voice of the documentary itself, meaning the perspective a film expresses through its organisation, its selections and its silences, which is never reducible to what any speaker says. That distinction is what makes the structure of </w:t>
      </w:r>
      <w:r>
        <w:rPr>
          <w:rFonts w:ascii="Times New Roman" w:cs="Times New Roman" w:eastAsia="Times New Roman" w:hAnsi="Times New Roman"/>
          <w:b w:val="false"/>
          <w:bCs w:val="false"/>
          <w:i/>
          <w:iCs/>
          <w:sz w:val="24"/>
          <w:szCs w:val="24"/>
        </w:rPr>
        <w:t xml:space="preserve">Muse</w:t>
      </w:r>
      <w:r>
        <w:rPr>
          <w:rFonts w:ascii="Times New Roman" w:cs="Times New Roman" w:eastAsia="Times New Roman" w:hAnsi="Times New Roman"/>
          <w:b w:val="false"/>
          <w:bCs w:val="false"/>
          <w:i w:val="false"/>
          <w:iCs w:val="false"/>
          <w:sz w:val="24"/>
          <w:szCs w:val="24"/>
        </w:rPr>
        <w:t xml:space="preserve"> analytically interesting rather than merely unusual. Removing competing interviewees does not remove the film’s voice; it removes the most visible evidence that there is one. When a documentary cuts between several witnesses, an audience can see that an argument is being assembled from differing accounts. When a single speaker is heard throughout, the film’s organising work becomes invisible, and its interpretations are liable to be received as the subject’s own.</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sole-voice structure therefore does something subtler than handing Bryant control. It converts a constructed argument into what looks like testimony. Nothing in the film contradicts Bryant, not because contradiction was suppressed in his speech, but because the form provides no position from which contradiction could be voiced. His authority over the account is produced by a decision about structure.</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film does not avoid difficult material. Bryant addresses the 2003 Colorado case on camera and is visibly distressed doing so, and the film includes his account of its aftermath, in which he says he lost sight of what mattered most, his family (Chopra, 2015). Reviewers disagreed about the adequacy of this treatment; Lowry (2015) called the film “largely whitewashed” and judged that it passes over the episode too quickly. The point for this analysis is not whether the coverage was sufficient but how it functions structurally. The episode enters the film as a personal crisis survived and learned from, which is the position a hardship occupies in a narrative of formation. Its legal and ethical dimensions are not the dimensions the form is built to carry.</w:t>
      </w:r>
    </w:p>
    <w:p>
      <w:pPr>
        <w:pStyle w:val="Heading2"/>
        <w:spacing w:after="160" w:before="280" w:line="480"/>
      </w:pPr>
      <w:r>
        <w:rPr>
          <w:rFonts w:ascii="Times New Roman" w:cs="Times New Roman" w:eastAsia="Times New Roman" w:hAnsi="Times New Roman"/>
          <w:b/>
          <w:bCs/>
          <w:i w:val="false"/>
          <w:iCs w:val="false"/>
          <w:sz w:val="24"/>
          <w:szCs w:val="24"/>
        </w:rPr>
        <w:t xml:space="preserve">4.2 Image, Sequence and Sound</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If Bryant supplies the propositions, the film’s distinctive contribution lies in the apparatus around them. Three devices do most of the work.</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Chronology is the clearest. </w:t>
      </w:r>
      <w:r>
        <w:rPr>
          <w:rFonts w:ascii="Times New Roman" w:cs="Times New Roman" w:eastAsia="Times New Roman" w:hAnsi="Times New Roman"/>
          <w:b w:val="false"/>
          <w:bCs w:val="false"/>
          <w:i/>
          <w:iCs/>
          <w:sz w:val="24"/>
          <w:szCs w:val="24"/>
        </w:rPr>
        <w:t xml:space="preserve">Muse</w:t>
      </w:r>
      <w:r>
        <w:rPr>
          <w:rFonts w:ascii="Times New Roman" w:cs="Times New Roman" w:eastAsia="Times New Roman" w:hAnsi="Times New Roman"/>
          <w:b w:val="false"/>
          <w:bCs w:val="false"/>
          <w:i w:val="false"/>
          <w:iCs w:val="false"/>
          <w:sz w:val="24"/>
          <w:szCs w:val="24"/>
        </w:rPr>
        <w:t xml:space="preserve"> does not proceed in sequence. It moves associatively, placing periods of injury and difficulty beside periods of achievement so that each appears to explain the other. In the sequence treating the Achilles rupture of April 2013 and the rehabilitation that followed [TIMESTAMP], the recovery footage is set against earlier material so that it reads as confirmation of a disposition already established rather than as a separate event. Barthes (1957/1972) describes myth as the operation by which the contingent and historical is made to appear natural and essential, and this editing pattern performs exactly that operation. An injury is a contingency; placed in this sequence it becomes an occasion on which an essential quality was revealed. The resulting proposition, that the Mamba Mentality is not a method Bryant adopted but the thing he fundamentally is, is one the film asserts through arrangement without ever stating it.</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Cinematography contributes a second layer. The rehabilitation material is shot in monochrome and in a visual register quite distinct from the archival game footage, which arrives in the colour and texture of broadcast television [TIMESTAMP]; Lowry (2015) notes the same contrast. Two orders of image are thereby established: the public, collective, televised past, and a present that is private, isolated and composed. Placing the second in the position of interpretive authority over the first implies that the televised career was the surface and the solitary labour was the reality. The viewer is offered access to a privileged interior, which is itself a construction, lit and framed.</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Sound completes the effect. Kris Bowers’s original score accompanies the film’s turning points [TIMESTAMP]. Chion (1994) uses the term </w:t>
      </w:r>
      <w:r>
        <w:rPr>
          <w:rFonts w:ascii="Times New Roman" w:cs="Times New Roman" w:eastAsia="Times New Roman" w:hAnsi="Times New Roman"/>
          <w:b w:val="false"/>
          <w:bCs w:val="false"/>
          <w:i/>
          <w:iCs/>
          <w:sz w:val="24"/>
          <w:szCs w:val="24"/>
        </w:rPr>
        <w:t xml:space="preserve">added value</w:t>
      </w:r>
      <w:r>
        <w:rPr>
          <w:rFonts w:ascii="Times New Roman" w:cs="Times New Roman" w:eastAsia="Times New Roman" w:hAnsi="Times New Roman"/>
          <w:b w:val="false"/>
          <w:bCs w:val="false"/>
          <w:i w:val="false"/>
          <w:iCs w:val="false"/>
          <w:sz w:val="24"/>
          <w:szCs w:val="24"/>
        </w:rPr>
        <w:t xml:space="preserve"> for the way sound invests an image with meaning that the viewer then experiences as belonging to the image itself rather than to the soundtrack. The concept is precise about what is happening here: the score does not tell the audience that a moment is significant, it makes the moment feel significant, and the feeling is attributed to the event on screen. Where Bryant’s language argues that his discipline was meaningful, the music causes an audience to experience meaning directly. That is a different and more durable kind of persuasion, and it operates below the level at which claims can be assessed.</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Attributing these effects is less simple than it first appears. Bryant did not photograph, cut or score the film, and the techniques that make it persuasive were executed by Chopra, the editors, the cinematographers and Bowers. Yet Chopra’s account places Bryant in the edit suite while the cutting, the shot selection, the score and the colour grade were being settled (Chopra, 2021). The honest description is not that the filmmakers imposed a form on Bryant’s material, nor that Bryant dictated it, but that the form was negotiated in a room he had built next to his house. This is the precise sense in which </w:t>
      </w:r>
      <w:r>
        <w:rPr>
          <w:rFonts w:ascii="Times New Roman" w:cs="Times New Roman" w:eastAsia="Times New Roman" w:hAnsi="Times New Roman"/>
          <w:b w:val="false"/>
          <w:bCs w:val="false"/>
          <w:i/>
          <w:iCs/>
          <w:sz w:val="24"/>
          <w:szCs w:val="24"/>
        </w:rPr>
        <w:t xml:space="preserve">Muse</w:t>
      </w:r>
      <w:r>
        <w:rPr>
          <w:rFonts w:ascii="Times New Roman" w:cs="Times New Roman" w:eastAsia="Times New Roman" w:hAnsi="Times New Roman"/>
          <w:b w:val="false"/>
          <w:bCs w:val="false"/>
          <w:i w:val="false"/>
          <w:iCs w:val="false"/>
          <w:sz w:val="24"/>
          <w:szCs w:val="24"/>
        </w:rPr>
        <w:t xml:space="preserve"> is a mediated self-portrait.</w:t>
      </w:r>
    </w:p>
    <w:p>
      <w:pPr>
        <w:pStyle w:val="Heading1"/>
        <w:spacing w:after="200" w:before="360" w:line="480"/>
      </w:pPr>
      <w:r>
        <w:rPr>
          <w:rFonts w:ascii="Times New Roman" w:cs="Times New Roman" w:eastAsia="Times New Roman" w:hAnsi="Times New Roman"/>
          <w:b/>
          <w:bCs/>
          <w:i w:val="false"/>
          <w:iCs w:val="false"/>
          <w:sz w:val="24"/>
          <w:szCs w:val="24"/>
        </w:rPr>
        <w:t xml:space="preserve">5. Comparison and Synthesis</w:t>
      </w:r>
    </w:p>
    <w:p>
      <w:pPr>
        <w:pStyle w:val="Heading2"/>
        <w:spacing w:after="160" w:before="280" w:line="480"/>
      </w:pPr>
      <w:r>
        <w:rPr>
          <w:rFonts w:ascii="Times New Roman" w:cs="Times New Roman" w:eastAsia="Times New Roman" w:hAnsi="Times New Roman"/>
          <w:b/>
          <w:bCs/>
          <w:i w:val="false"/>
          <w:iCs w:val="false"/>
          <w:sz w:val="24"/>
          <w:szCs w:val="24"/>
        </w:rPr>
        <w:t xml:space="preserve">5.1 Continuities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two text types agree substantially, which is unsurprising given their shared origin and overlapping release. Both organise Bryant’s life around discipline, sacrifice and the pursuit of mastery. Both prefer concrete, specific evidence, such as training times and hours of film study, over general statements of commitment, and both thereby make an abstract disposition look like a documented fact. Most importantly, both present the Mamba Mentality as an identity rather than a technique, which is the move that permits the concept to be adopted wholesale rather than evaluated piecemeal.</w:t>
      </w:r>
    </w:p>
    <w:p>
      <w:pPr>
        <w:pStyle w:val="Heading2"/>
        <w:spacing w:after="160" w:before="280" w:line="480"/>
      </w:pPr>
      <w:r>
        <w:rPr>
          <w:rFonts w:ascii="Times New Roman" w:cs="Times New Roman" w:eastAsia="Times New Roman" w:hAnsi="Times New Roman"/>
          <w:b/>
          <w:bCs/>
          <w:i w:val="false"/>
          <w:iCs w:val="false"/>
          <w:sz w:val="24"/>
          <w:szCs w:val="24"/>
        </w:rPr>
        <w:t xml:space="preserve">5.2 Divergences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divergence is one of mode rather than content. The interviews are argumentative: Bryant is responding to questions, defending positions, conceding and reframing. The reasoning is visible, and because it is visible it can be examined. A reader can notice that the Mozart analogy evades the question it answers.</w:t>
      </w:r>
    </w:p>
    <w:p>
      <w:pPr>
        <w:spacing w:after="0" w:line="480"/>
        <w:ind w:firstLine="720"/>
        <w:jc w:val="both"/>
      </w:pPr>
      <w:r>
        <w:rPr>
          <w:rFonts w:ascii="Times New Roman" w:cs="Times New Roman" w:eastAsia="Times New Roman" w:hAnsi="Times New Roman"/>
          <w:b w:val="false"/>
          <w:bCs w:val="false"/>
          <w:i/>
          <w:iCs/>
          <w:sz w:val="24"/>
          <w:szCs w:val="24"/>
        </w:rPr>
        <w:t xml:space="preserve">Muse</w:t>
      </w:r>
      <w:r>
        <w:rPr>
          <w:rFonts w:ascii="Times New Roman" w:cs="Times New Roman" w:eastAsia="Times New Roman" w:hAnsi="Times New Roman"/>
          <w:b w:val="false"/>
          <w:bCs w:val="false"/>
          <w:i w:val="false"/>
          <w:iCs w:val="false"/>
          <w:sz w:val="24"/>
          <w:szCs w:val="24"/>
        </w:rPr>
        <w:t xml:space="preserve"> is not argumentative. Its central claims are carried by sequence, image and score rather than by statement, and claims delivered that way cannot be disagreed with in the same manner, because they are never quite made. This is why the film produces the more coherent and the less examinable version of the concept.</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There is also a difference in interiority, though not the one a straightforward “media flattens the person” account would predict. The press conference, where Bryant answers unscripted questions in public under pressure, is in some respects the more exposed text; the documentary’s intimacy is composed. The film is more revealing in content and more controlled in form, and these pull in opposite directions.</w:t>
      </w:r>
    </w:p>
    <w:p>
      <w:pPr>
        <w:pStyle w:val="Heading2"/>
        <w:spacing w:after="160" w:before="280" w:line="480"/>
      </w:pPr>
      <w:r>
        <w:rPr>
          <w:rFonts w:ascii="Times New Roman" w:cs="Times New Roman" w:eastAsia="Times New Roman" w:hAnsi="Times New Roman"/>
          <w:b/>
          <w:bCs/>
          <w:i w:val="false"/>
          <w:iCs w:val="false"/>
          <w:sz w:val="24"/>
          <w:szCs w:val="24"/>
        </w:rPr>
        <w:t xml:space="preserve">5.3 The Extent of Each Contribution</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two text types contribute unequally and differently.</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interviews are the necessary condition. The vocabulary, the analogies, the process-over-outcome framing and the identity grammar all originate in Bryant’s speech. Without them there is no philosophy for any film to organise. Their limitation is that interview language is dispersed and occasional: it exists across scattered conversations, each shaped by an interviewer’s agenda, with no governing structure.</w:t>
      </w:r>
    </w:p>
    <w:p>
      <w:pPr>
        <w:spacing w:after="0" w:line="480"/>
        <w:ind w:firstLine="720"/>
        <w:jc w:val="both"/>
      </w:pPr>
      <w:r>
        <w:rPr>
          <w:rFonts w:ascii="Times New Roman" w:cs="Times New Roman" w:eastAsia="Times New Roman" w:hAnsi="Times New Roman"/>
          <w:b w:val="false"/>
          <w:bCs w:val="false"/>
          <w:i/>
          <w:iCs/>
          <w:sz w:val="24"/>
          <w:szCs w:val="24"/>
        </w:rPr>
        <w:t xml:space="preserve">Muse</w:t>
      </w:r>
      <w:r>
        <w:rPr>
          <w:rFonts w:ascii="Times New Roman" w:cs="Times New Roman" w:eastAsia="Times New Roman" w:hAnsi="Times New Roman"/>
          <w:b w:val="false"/>
          <w:bCs w:val="false"/>
          <w:i w:val="false"/>
          <w:iCs w:val="false"/>
          <w:sz w:val="24"/>
          <w:szCs w:val="24"/>
        </w:rPr>
        <w:t xml:space="preserve"> supplies that structure, and this is its specific contribution. It adds little propositional content that the interviews do not already contain. What it adds is coherence, emotional force and the appearance of necessity, the sense that these episodes had to mean what the film says they mean. The timing supports this reading. The </w:t>
      </w:r>
      <w:r>
        <w:rPr>
          <w:rFonts w:ascii="Times New Roman" w:cs="Times New Roman" w:eastAsia="Times New Roman" w:hAnsi="Times New Roman"/>
          <w:b w:val="false"/>
          <w:bCs w:val="false"/>
          <w:i/>
          <w:iCs/>
          <w:sz w:val="24"/>
          <w:szCs w:val="24"/>
        </w:rPr>
        <w:t xml:space="preserve">GQ</w:t>
      </w:r>
      <w:r>
        <w:rPr>
          <w:rFonts w:ascii="Times New Roman" w:cs="Times New Roman" w:eastAsia="Times New Roman" w:hAnsi="Times New Roman"/>
          <w:b w:val="false"/>
          <w:bCs w:val="false"/>
          <w:i w:val="false"/>
          <w:iCs w:val="false"/>
          <w:sz w:val="24"/>
          <w:szCs w:val="24"/>
        </w:rPr>
        <w:t xml:space="preserve"> profile appeared on 17 February 2015, Bryant appeared on </w:t>
      </w:r>
      <w:r>
        <w:rPr>
          <w:rFonts w:ascii="Times New Roman" w:cs="Times New Roman" w:eastAsia="Times New Roman" w:hAnsi="Times New Roman"/>
          <w:b w:val="false"/>
          <w:bCs w:val="false"/>
          <w:i/>
          <w:iCs/>
          <w:sz w:val="24"/>
          <w:szCs w:val="24"/>
        </w:rPr>
        <w:t xml:space="preserve">Jimmy Kimmel Live!</w:t>
      </w:r>
      <w:r>
        <w:rPr>
          <w:rFonts w:ascii="Times New Roman" w:cs="Times New Roman" w:eastAsia="Times New Roman" w:hAnsi="Times New Roman"/>
          <w:b w:val="false"/>
          <w:bCs w:val="false"/>
          <w:i w:val="false"/>
          <w:iCs w:val="false"/>
          <w:sz w:val="24"/>
          <w:szCs w:val="24"/>
        </w:rPr>
        <w:t xml:space="preserve"> on 23 February and discussed the forthcoming documentary, and the premiere followed on 28 February. Three appearances inside eleven days indicate that the interviews of early 2015 and the documentary were not independent texts arriving separately but coordinated elements of a single release.</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Two qualifications limit how far the claim can be pushed. First, Bryant’s executive-producer credit does not by itself establish authorial control, and the evidence is mixed: the credit was publicly described as honorary, while Bryant’s own account and Chopra’s both indicate substantial involvement in the film’s architecture and texture. Second, textual analysis can establish what these texts do; it cannot establish what audiences did with them. The subsequent adoption of the phrase, and especially its intensification after Bryant’s death in January 2020, involves reception processes this method cannot reach.</w:t>
      </w:r>
    </w:p>
    <w:p>
      <w:pPr>
        <w:pStyle w:val="Heading1"/>
        <w:spacing w:after="200" w:before="360" w:line="480"/>
      </w:pPr>
      <w:r>
        <w:rPr>
          <w:rFonts w:ascii="Times New Roman" w:cs="Times New Roman" w:eastAsia="Times New Roman" w:hAnsi="Times New Roman"/>
          <w:b/>
          <w:bCs/>
          <w:i w:val="false"/>
          <w:iCs w:val="false"/>
          <w:sz w:val="24"/>
          <w:szCs w:val="24"/>
        </w:rPr>
        <w:t xml:space="preserve">6. Conclusion</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Within those limits, the research question can be answered directly: the two text types contribute extensively to the public image of the “Mamba Mentality”, but they contribute different things, and the opposition between self-representation and media representation does not survive the analysis.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interviews supply what the concept consists of. Bryant builds it himself, in language. He characterises himself through analogies borrowed from outside sport, which is what lifts the philosophy clear of basketball. He concedes criticisms and returns them as category errors, which makes the identity appear earned rather than asserted. And in explaining his retirement he chooses “want” over “can”, locating the end of his career in desire rather than in the body, which detaches the philosophy from the athlete and leaves it available to anyone.</w:t>
      </w:r>
    </w:p>
    <w:p>
      <w:pPr>
        <w:spacing w:after="0" w:line="480"/>
        <w:ind w:firstLine="720"/>
        <w:jc w:val="both"/>
      </w:pPr>
      <w:r>
        <w:rPr>
          <w:rFonts w:ascii="Times New Roman" w:cs="Times New Roman" w:eastAsia="Times New Roman" w:hAnsi="Times New Roman"/>
          <w:b w:val="false"/>
          <w:bCs w:val="false"/>
          <w:i/>
          <w:iCs/>
          <w:sz w:val="24"/>
          <w:szCs w:val="24"/>
        </w:rPr>
        <w:t xml:space="preserve">Kobe Bryant’s Muse</w:t>
      </w:r>
      <w:r>
        <w:rPr>
          <w:rFonts w:ascii="Times New Roman" w:cs="Times New Roman" w:eastAsia="Times New Roman" w:hAnsi="Times New Roman"/>
          <w:b w:val="false"/>
          <w:bCs w:val="false"/>
          <w:i w:val="false"/>
          <w:iCs w:val="false"/>
          <w:sz w:val="24"/>
          <w:szCs w:val="24"/>
        </w:rPr>
        <w:t xml:space="preserve"> supplies the form in which that self-definition becomes durable. Because Bryant held a production credit, rejected a first version built on other people’s testimony, and is the film’s only interviewee, it cannot be read as an outside portrayal set against his own account. It is his account, extended into another medium. But it is not therefore unmediated. Associative chronology makes contingency look like essence, the contrast between monochrome and archive assigns interpretive authority to the private image over the public one, and Bowers’s score produces an experience of significance that an audience attributes to the events themselves. These are formal operations, and Bryant executed none of them, even if he sat in the room while they were decided.</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Mamba Mentality that circulates publicly is therefore best described as a collaboratively mediated self-portrait: largely Bryant’s in content, substantially the filmmakers’ in form, and belonging wholly to neither. Its durability is a consequence of that division of labour. Bryant gave the concept something to say; the documentary gave it a shape in which saying was no longer necessary.</w:t>
      </w:r>
    </w:p>
    <w:p>
      <w:pPr>
        <w:pStyle w:val="Heading1"/>
        <w:pageBreakBefore/>
        <w:spacing w:after="200" w:before="360" w:line="480"/>
      </w:pPr>
      <w:r>
        <w:rPr>
          <w:rFonts w:ascii="Times New Roman" w:cs="Times New Roman" w:eastAsia="Times New Roman" w:hAnsi="Times New Roman"/>
          <w:b/>
          <w:bCs/>
          <w:i w:val="false"/>
          <w:iCs w:val="false"/>
          <w:sz w:val="24"/>
          <w:szCs w:val="24"/>
        </w:rPr>
        <w:t xml:space="preserve">7. References</w:t>
      </w:r>
    </w:p>
    <w:p>
      <w:pPr>
        <w:pStyle w:val="Heading2"/>
        <w:spacing w:after="160" w:before="280" w:line="480"/>
      </w:pPr>
      <w:r>
        <w:rPr>
          <w:rFonts w:ascii="Times New Roman" w:cs="Times New Roman" w:eastAsia="Times New Roman" w:hAnsi="Times New Roman"/>
          <w:b/>
          <w:bCs/>
          <w:i w:val="false"/>
          <w:iCs w:val="false"/>
          <w:sz w:val="24"/>
          <w:szCs w:val="24"/>
        </w:rPr>
        <w:t xml:space="preserve">Primary Sources</w:t>
      </w:r>
    </w:p>
    <w:p>
      <w:pPr>
        <w:spacing w:after="0" w:line="480"/>
        <w:ind w:left="720" w:hanging="720"/>
      </w:pPr>
      <w:r>
        <w:rPr>
          <w:rFonts w:ascii="Times New Roman" w:cs="Times New Roman" w:eastAsia="Times New Roman" w:hAnsi="Times New Roman"/>
          <w:b w:val="false"/>
          <w:bCs w:val="false"/>
          <w:i w:val="false"/>
          <w:iCs w:val="false"/>
          <w:sz w:val="24"/>
          <w:szCs w:val="24"/>
        </w:rPr>
        <w:t xml:space="preserve">Bryant, K. (2015, November 29). Dear basketball. The Players’ Tribune. https://www.theplayerstribune.com/articles/dear-basketball</w:t>
      </w:r>
    </w:p>
    <w:p>
      <w:pPr>
        <w:spacing w:after="0" w:line="480"/>
        <w:ind w:left="720" w:hanging="720"/>
      </w:pPr>
      <w:r>
        <w:rPr>
          <w:rFonts w:ascii="Times New Roman" w:cs="Times New Roman" w:eastAsia="Times New Roman" w:hAnsi="Times New Roman"/>
          <w:b w:val="false"/>
          <w:bCs w:val="false"/>
          <w:i w:val="false"/>
          <w:iCs w:val="false"/>
          <w:sz w:val="24"/>
          <w:szCs w:val="24"/>
        </w:rPr>
        <w:t xml:space="preserve">Bryant, K., &amp; Bernstein, A. D. (2018). The mamba mentality: How I play. MCD/Farrar, Straus and Giroux.</w:t>
      </w:r>
    </w:p>
    <w:p>
      <w:pPr>
        <w:spacing w:after="0" w:line="480"/>
        <w:ind w:left="720" w:hanging="720"/>
      </w:pPr>
      <w:r>
        <w:rPr>
          <w:rFonts w:ascii="Times New Roman" w:cs="Times New Roman" w:eastAsia="Times New Roman" w:hAnsi="Times New Roman"/>
          <w:b w:val="false"/>
          <w:bCs w:val="false"/>
          <w:i w:val="false"/>
          <w:iCs w:val="false"/>
          <w:sz w:val="24"/>
          <w:szCs w:val="24"/>
        </w:rPr>
        <w:t xml:space="preserve">Chopra, G. (Director). (2015). Kobe Bryant’s muse [Film]. Showtime Networks.</w:t>
      </w:r>
    </w:p>
    <w:p>
      <w:pPr>
        <w:spacing w:after="0" w:line="480"/>
        <w:ind w:left="720" w:hanging="720"/>
      </w:pPr>
      <w:r>
        <w:rPr>
          <w:rFonts w:ascii="Times New Roman" w:cs="Times New Roman" w:eastAsia="Times New Roman" w:hAnsi="Times New Roman"/>
          <w:b w:val="false"/>
          <w:bCs w:val="false"/>
          <w:i w:val="false"/>
          <w:iCs w:val="false"/>
          <w:sz w:val="24"/>
          <w:szCs w:val="24"/>
        </w:rPr>
        <w:t xml:space="preserve">Jimmy Kimmel Live! (2015, February 23). Season 13, Episode 28 [TV series episode]. ABC.</w:t>
      </w:r>
    </w:p>
    <w:p>
      <w:pPr>
        <w:spacing w:after="0" w:line="480"/>
        <w:ind w:left="720" w:hanging="720"/>
      </w:pPr>
      <w:r>
        <w:rPr>
          <w:rFonts w:ascii="Times New Roman" w:cs="Times New Roman" w:eastAsia="Times New Roman" w:hAnsi="Times New Roman"/>
          <w:b w:val="false"/>
          <w:bCs w:val="false"/>
          <w:i w:val="false"/>
          <w:iCs w:val="false"/>
          <w:sz w:val="24"/>
          <w:szCs w:val="24"/>
        </w:rPr>
        <w:t xml:space="preserve">Klosterman, C. (2015, February 17). Kobe Bryant will always be an all-star of talking [Interview with K. Bryant]. GQ. [VERIFY exact headline, online date and print-issue date against GQ, and check each quotation against the original text.]</w:t>
      </w:r>
    </w:p>
    <w:p>
      <w:pPr>
        <w:pStyle w:val="Heading2"/>
        <w:spacing w:after="160" w:before="280" w:line="480"/>
      </w:pPr>
      <w:r>
        <w:rPr>
          <w:rFonts w:ascii="Times New Roman" w:cs="Times New Roman" w:eastAsia="Times New Roman" w:hAnsi="Times New Roman"/>
          <w:b/>
          <w:bCs/>
          <w:i w:val="false"/>
          <w:iCs w:val="false"/>
          <w:sz w:val="24"/>
          <w:szCs w:val="24"/>
        </w:rPr>
        <w:t xml:space="preserve">Reported Accounts of Primary Events</w:t>
      </w:r>
    </w:p>
    <w:p>
      <w:pPr>
        <w:spacing w:after="0" w:line="480"/>
        <w:ind w:left="720" w:hanging="720"/>
      </w:pPr>
      <w:r>
        <w:rPr>
          <w:rFonts w:ascii="Times New Roman" w:cs="Times New Roman" w:eastAsia="Times New Roman" w:hAnsi="Times New Roman"/>
          <w:b w:val="false"/>
          <w:bCs w:val="false"/>
          <w:i w:val="false"/>
          <w:iCs w:val="false"/>
          <w:sz w:val="24"/>
          <w:szCs w:val="24"/>
        </w:rPr>
        <w:t xml:space="preserve">CNBC. (2018, September 14). Retired NBA star Kobe Bryant still wakes up at 4 a.m. every day to work out [Report of Bryant’s remarks on The School of Greatness podcast]. https://www.cnbc.com/2018/09/14/kobe-bryant-still-wakes-up-at-4-am-every-day-to-work-out.html [VERIFY byline.]</w:t>
      </w:r>
    </w:p>
    <w:p>
      <w:pPr>
        <w:spacing w:after="0" w:line="480"/>
        <w:ind w:left="720" w:hanging="720"/>
      </w:pPr>
      <w:r>
        <w:rPr>
          <w:rFonts w:ascii="Times New Roman" w:cs="Times New Roman" w:eastAsia="Times New Roman" w:hAnsi="Times New Roman"/>
          <w:b w:val="false"/>
          <w:bCs w:val="false"/>
          <w:i w:val="false"/>
          <w:iCs w:val="false"/>
          <w:sz w:val="24"/>
          <w:szCs w:val="24"/>
        </w:rPr>
        <w:t xml:space="preserve">CNN. (2015, November 30). Kobe Bryant: NBA great to retire at end of season [Report of the 29 November 2015 press conference]. https://www.cnn.com/2015/11/30/sport/kobe-bryant-la-lakers-retirement/index.html [VERIFY byline.]</w:t>
      </w:r>
    </w:p>
    <w:p>
      <w:pPr>
        <w:spacing w:after="0" w:line="480"/>
        <w:ind w:left="720" w:hanging="720"/>
      </w:pPr>
      <w:r>
        <w:rPr>
          <w:rFonts w:ascii="Times New Roman" w:cs="Times New Roman" w:eastAsia="Times New Roman" w:hAnsi="Times New Roman"/>
          <w:b w:val="false"/>
          <w:bCs w:val="false"/>
          <w:i w:val="false"/>
          <w:iCs w:val="false"/>
          <w:sz w:val="24"/>
          <w:szCs w:val="24"/>
        </w:rPr>
        <w:t xml:space="preserve">Deadline. (2014, July). Kobe Bryant says Showtime’s “Kobe Bryant’s Muse” came out of Nike campaign [Report of Showtime’s Television Critics Association panel]. https://deadline.com/2014/07/tca-kobe-bryant-says-showtimes-kobe-bryants-muse-came-out-of-nike-campaign-mulling-806378/ [VERIFY byline and exact date.]</w:t>
      </w:r>
    </w:p>
    <w:p>
      <w:pPr>
        <w:spacing w:after="0" w:line="480"/>
        <w:ind w:left="720" w:hanging="720"/>
      </w:pPr>
      <w:r>
        <w:rPr>
          <w:rFonts w:ascii="Times New Roman" w:cs="Times New Roman" w:eastAsia="Times New Roman" w:hAnsi="Times New Roman"/>
          <w:b w:val="false"/>
          <w:bCs w:val="false"/>
          <w:i w:val="false"/>
          <w:iCs w:val="false"/>
          <w:sz w:val="24"/>
          <w:szCs w:val="24"/>
        </w:rPr>
        <w:t xml:space="preserve">Yahoo Finance. (2015, March). Kobe Bryant scrapped his original documentary and started from scratch [Report of Bryant’s remarks on The Grantland Basketball Hour, February 2015]. https://finance.yahoo.com/news/kobe-bryant-scrapped-original-documentary-165426263.html [VERIFY byline and exact date. The underlying source is the broadcast itself, archived by The Ringer; cite that directly if you can access it.]</w:t>
      </w:r>
    </w:p>
    <w:p>
      <w:pPr>
        <w:pStyle w:val="Heading2"/>
        <w:spacing w:after="160" w:before="280" w:line="480"/>
      </w:pPr>
      <w:r>
        <w:rPr>
          <w:rFonts w:ascii="Times New Roman" w:cs="Times New Roman" w:eastAsia="Times New Roman" w:hAnsi="Times New Roman"/>
          <w:b/>
          <w:bCs/>
          <w:i w:val="false"/>
          <w:iCs w:val="false"/>
          <w:sz w:val="24"/>
          <w:szCs w:val="24"/>
        </w:rPr>
        <w:t xml:space="preserve">Secondary Sources</w:t>
      </w:r>
    </w:p>
    <w:p>
      <w:pPr>
        <w:spacing w:after="0" w:line="480"/>
        <w:ind w:left="720" w:hanging="720"/>
      </w:pPr>
      <w:r>
        <w:rPr>
          <w:rFonts w:ascii="Times New Roman" w:cs="Times New Roman" w:eastAsia="Times New Roman" w:hAnsi="Times New Roman"/>
          <w:b w:val="false"/>
          <w:bCs w:val="false"/>
          <w:i w:val="false"/>
          <w:iCs w:val="false"/>
          <w:sz w:val="24"/>
          <w:szCs w:val="24"/>
        </w:rPr>
        <w:t xml:space="preserve">Barthes, R. (1972). Mythologies (A. Lavers, Trans.). Hill and Wang. (Original work published 1957)</w:t>
      </w:r>
    </w:p>
    <w:p>
      <w:pPr>
        <w:spacing w:after="0" w:line="480"/>
        <w:ind w:left="720" w:hanging="720"/>
      </w:pPr>
      <w:r>
        <w:rPr>
          <w:rFonts w:ascii="Times New Roman" w:cs="Times New Roman" w:eastAsia="Times New Roman" w:hAnsi="Times New Roman"/>
          <w:b w:val="false"/>
          <w:bCs w:val="false"/>
          <w:i w:val="false"/>
          <w:iCs w:val="false"/>
          <w:sz w:val="24"/>
          <w:szCs w:val="24"/>
        </w:rPr>
        <w:t xml:space="preserve">Chion, M. (1994). Audio-vision: Sound on screen (C. Gorbman, Ed. &amp; Trans.). Columbia University Press.</w:t>
      </w:r>
    </w:p>
    <w:p>
      <w:pPr>
        <w:spacing w:after="0" w:line="480"/>
        <w:ind w:left="720" w:hanging="720"/>
      </w:pPr>
      <w:r>
        <w:rPr>
          <w:rFonts w:ascii="Times New Roman" w:cs="Times New Roman" w:eastAsia="Times New Roman" w:hAnsi="Times New Roman"/>
          <w:b w:val="false"/>
          <w:bCs w:val="false"/>
          <w:i w:val="false"/>
          <w:iCs w:val="false"/>
          <w:sz w:val="24"/>
          <w:szCs w:val="24"/>
        </w:rPr>
        <w:t xml:space="preserve">Chopra, G. (2021). What Kobe Bryant taught me. Religion of Sports. https://religionofsports.substack.com/p/what-kobe-bryant-taught-me [VERIFY exact publication date.]</w:t>
      </w:r>
    </w:p>
    <w:p>
      <w:pPr>
        <w:spacing w:after="0" w:line="480"/>
        <w:ind w:left="720" w:hanging="720"/>
      </w:pPr>
      <w:r>
        <w:rPr>
          <w:rFonts w:ascii="Times New Roman" w:cs="Times New Roman" w:eastAsia="Times New Roman" w:hAnsi="Times New Roman"/>
          <w:b w:val="false"/>
          <w:bCs w:val="false"/>
          <w:i w:val="false"/>
          <w:iCs w:val="false"/>
          <w:sz w:val="24"/>
          <w:szCs w:val="24"/>
        </w:rPr>
        <w:t xml:space="preserve">Dyer, R. (1998). Stars (New ed., with a supplementary chapter by P. McDonald). British Film Institute. (Original work published 1979)</w:t>
      </w:r>
    </w:p>
    <w:p>
      <w:pPr>
        <w:spacing w:after="0" w:line="480"/>
        <w:ind w:left="720" w:hanging="720"/>
      </w:pPr>
      <w:r>
        <w:rPr>
          <w:rFonts w:ascii="Times New Roman" w:cs="Times New Roman" w:eastAsia="Times New Roman" w:hAnsi="Times New Roman"/>
          <w:b w:val="false"/>
          <w:bCs w:val="false"/>
          <w:i w:val="false"/>
          <w:iCs w:val="false"/>
          <w:sz w:val="24"/>
          <w:szCs w:val="24"/>
        </w:rPr>
        <w:t xml:space="preserve">Hall, S. (Ed.). (1997). Representation: Cultural representations and signifying practices. Sage.</w:t>
      </w:r>
    </w:p>
    <w:p>
      <w:pPr>
        <w:spacing w:after="0" w:line="480"/>
        <w:ind w:left="720" w:hanging="720"/>
      </w:pPr>
      <w:r>
        <w:rPr>
          <w:rFonts w:ascii="Times New Roman" w:cs="Times New Roman" w:eastAsia="Times New Roman" w:hAnsi="Times New Roman"/>
          <w:b w:val="false"/>
          <w:bCs w:val="false"/>
          <w:i w:val="false"/>
          <w:iCs w:val="false"/>
          <w:sz w:val="24"/>
          <w:szCs w:val="24"/>
        </w:rPr>
        <w:t xml:space="preserve">Lowry, B. (2015, February 26). TV review: “Kobe Bryant’s Muse.” Variety. https://variety.com/2015/tv/reviews/tv-review-kobe-bryants-muse-1201432799/ [VERIFY exact publication date.]</w:t>
      </w:r>
    </w:p>
    <w:p>
      <w:pPr>
        <w:spacing w:after="0" w:line="480"/>
        <w:ind w:left="720" w:hanging="720"/>
      </w:pPr>
      <w:r>
        <w:rPr>
          <w:rFonts w:ascii="Times New Roman" w:cs="Times New Roman" w:eastAsia="Times New Roman" w:hAnsi="Times New Roman"/>
          <w:b w:val="false"/>
          <w:bCs w:val="false"/>
          <w:i w:val="false"/>
          <w:iCs w:val="false"/>
          <w:sz w:val="24"/>
          <w:szCs w:val="24"/>
        </w:rPr>
        <w:t xml:space="preserve">Nichols, B. (2001). Introduction to documentary. Indiana University Press.</w:t>
      </w:r>
    </w:p>
    <w:sectPr>
      <w:footerReference w:type="default" r:id="rId7"/>
      <w:type w:val="continuous"/>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48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160" w:before="280" w:line="480"/>
    </w:pPr>
    <w:rPr>
      <w:rFonts w:ascii="Times New Roman" w:cs="Times New Roman" w:eastAsia="Times New Roman" w:hAnsi="Times New Roman"/>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2026-10-08T12:36:32.443Z</dcterms:created>
  <dcterms:modified xsi:type="dcterms:W3CDTF">2026-10-08T12:36:32.447Z</dcterms:modified>
</cp:coreProperties>
</file>

<file path=docProps/custom.xml><?xml version="1.0" encoding="utf-8"?>
<Properties xmlns="http://schemas.openxmlformats.org/officeDocument/2006/custom-properties" xmlns:vt="http://schemas.openxmlformats.org/officeDocument/2006/docPropsVTypes"/>
</file>