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240" w:line="480"/>
        <w:jc w:val="center"/>
      </w:pPr>
      <w:r>
        <w:rPr>
          <w:rFonts w:ascii="Times New Roman" w:cs="Times New Roman" w:eastAsia="Times New Roman" w:hAnsi="Times New Roman"/>
          <w:b/>
          <w:bCs/>
          <w:i w:val="false"/>
          <w:iCs w:val="false"/>
          <w:sz w:val="24"/>
          <w:szCs w:val="24"/>
        </w:rPr>
        <w:t xml:space="preserve">Extended Essay</w:t>
      </w:r>
    </w:p>
    <w:p>
      <w:pPr>
        <w:spacing w:line="480"/>
      </w:pPr>
      <w:r>
        <w:rPr>
          <w:rFonts w:ascii="Times New Roman" w:cs="Times New Roman" w:eastAsia="Times New Roman" w:hAnsi="Times New Roman"/>
          <w:sz w:val="24"/>
          <w:szCs w:val="24"/>
        </w:rPr>
        <w:t xml:space="preserve"/>
      </w:r>
    </w:p>
    <w:p>
      <w:pPr>
        <w:spacing w:after="240" w:line="480"/>
        <w:jc w:val="center"/>
      </w:pPr>
      <w:r>
        <w:rPr>
          <w:rFonts w:ascii="Times New Roman" w:cs="Times New Roman" w:eastAsia="Times New Roman" w:hAnsi="Times New Roman"/>
          <w:b w:val="false"/>
          <w:bCs w:val="false"/>
          <w:i w:val="false"/>
          <w:iCs w:val="false"/>
          <w:sz w:val="24"/>
          <w:szCs w:val="24"/>
        </w:rPr>
        <w:t xml:space="preserve">Subject: English A: Language and Literature</w:t>
      </w:r>
    </w:p>
    <w:p>
      <w:pPr>
        <w:spacing w:after="240" w:line="480"/>
        <w:jc w:val="center"/>
      </w:pPr>
      <w:r>
        <w:rPr>
          <w:rFonts w:ascii="Times New Roman" w:cs="Times New Roman" w:eastAsia="Times New Roman" w:hAnsi="Times New Roman"/>
          <w:b w:val="false"/>
          <w:bCs w:val="false"/>
          <w:i w:val="false"/>
          <w:iCs w:val="false"/>
          <w:sz w:val="24"/>
          <w:szCs w:val="24"/>
        </w:rPr>
        <w:t xml:space="preserve">Category 3</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240" w:line="480"/>
        <w:jc w:val="center"/>
      </w:pPr>
      <w:r>
        <w:rPr>
          <w:rFonts w:ascii="Times New Roman" w:cs="Times New Roman" w:eastAsia="Times New Roman" w:hAnsi="Times New Roman"/>
          <w:b/>
          <w:bCs/>
          <w:i w:val="false"/>
          <w:iCs w:val="false"/>
          <w:sz w:val="24"/>
          <w:szCs w:val="24"/>
        </w:rPr>
        <w:t xml:space="preserve">Title</w:t>
      </w:r>
    </w:p>
    <w:p>
      <w:pPr>
        <w:spacing w:after="240" w:line="480"/>
        <w:jc w:val="center"/>
      </w:pPr>
      <w:r>
        <w:rPr>
          <w:rFonts w:ascii="Times New Roman" w:cs="Times New Roman" w:eastAsia="Times New Roman" w:hAnsi="Times New Roman"/>
          <w:b w:val="false"/>
          <w:bCs w:val="false"/>
          <w:i w:val="false"/>
          <w:iCs w:val="false"/>
          <w:sz w:val="24"/>
          <w:szCs w:val="24"/>
        </w:rPr>
        <w:t xml:space="preserve">Constructing the “Mamba Mentality”: Self-Definition and Documentary Mediation in Kobe Bryant’s Interviews and Kobe Bryant’s Muse</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240" w:line="480"/>
        <w:jc w:val="center"/>
      </w:pPr>
      <w:r>
        <w:rPr>
          <w:rFonts w:ascii="Times New Roman" w:cs="Times New Roman" w:eastAsia="Times New Roman" w:hAnsi="Times New Roman"/>
          <w:b/>
          <w:bCs/>
          <w:i w:val="false"/>
          <w:iCs w:val="false"/>
          <w:sz w:val="24"/>
          <w:szCs w:val="24"/>
        </w:rPr>
        <w:t xml:space="preserve">Research Question</w:t>
      </w:r>
    </w:p>
    <w:p>
      <w:pPr>
        <w:spacing w:after="240" w:line="480"/>
        <w:jc w:val="center"/>
      </w:pPr>
      <w:r>
        <w:rPr>
          <w:rFonts w:ascii="Times New Roman" w:cs="Times New Roman" w:eastAsia="Times New Roman" w:hAnsi="Times New Roman"/>
          <w:b w:val="false"/>
          <w:bCs w:val="false"/>
          <w:i w:val="false"/>
          <w:iCs w:val="false"/>
          <w:sz w:val="24"/>
          <w:szCs w:val="24"/>
        </w:rPr>
        <w:t xml:space="preserve">To what extent do selected interviews and Kobe Bryant’s Muse contribute to constructing the public image of the “Mamba Mentality”?</w:t>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i w:val="false"/>
          <w:iCs w:val="false"/>
          <w:sz w:val="24"/>
          <w:szCs w:val="24"/>
        </w:rPr>
        <w:t xml:space="preserve">Word Count: 3,979 words</w:t>
      </w:r>
    </w:p>
    <w:p>
      <w:r>
        <w:br w:type="page"/>
      </w:r>
    </w:p>
    <w:p>
      <w:pPr>
        <w:spacing w:after="300" w:line="480"/>
        <w:jc w:val="center"/>
      </w:pPr>
      <w:r>
        <w:rPr>
          <w:rFonts w:ascii="Times New Roman" w:cs="Times New Roman" w:eastAsia="Times New Roman" w:hAnsi="Times New Roman"/>
          <w:b/>
          <w:bCs/>
          <w:i w:val="false"/>
          <w:iCs w:val="false"/>
          <w:sz w:val="24"/>
          <w:szCs w:val="24"/>
        </w:rPr>
        <w:t xml:space="preserve">Table of Contents</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1. Introduction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3</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2. The “Mamba Mentality” as a Constructed Concept</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4</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2.1 Origins and the Problem of Definition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4</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2.2 Why “Self” and “Media” Cannot Be Cleanly Separated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5</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3. Constructing the Concept in the Interviews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6</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3.1 Analogy as Self-Characterisation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6</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3.2 Converting Behaviour into Identity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7</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3.3 Controlling the Account: The Grantland Interview</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3.4 Vulnerability and the Retirement Press Conference</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8</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4. Constructing the Concept in </w:t>
      </w:r>
      <w:r>
        <w:rPr>
          <w:rFonts w:ascii="Times New Roman" w:cs="Times New Roman" w:eastAsia="Times New Roman" w:hAnsi="Times New Roman"/>
          <w:b/>
          <w:bCs/>
          <w:i/>
          <w:iCs/>
          <w:sz w:val="24"/>
          <w:szCs w:val="24"/>
        </w:rPr>
        <w:t xml:space="preserve">Kobe Bryant’s Muse</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10</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4.1 Voice, and the Problem of Documentary Authority</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10</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4.2 Three Sequences: Chronology, Image and Sound</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11</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5. Comparison and Synthesis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12</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5.1 Continuities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5.2 Divergences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12</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5.3 The Extent of Each Contribution</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13</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6. Conclusion</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14</w:t>
      </w:r>
    </w:p>
    <w:p>
      <w:pPr>
        <w:tabs>
          <w:tab w:val="right" w:pos="9360" w:leader="dot"/>
        </w:tabs>
        <w:spacing w:after="80" w:line="276"/>
        <w:ind w:left="0" w:right="0"/>
      </w:pPr>
      <w:r>
        <w:rPr>
          <w:rFonts w:ascii="Times New Roman" w:cs="Times New Roman" w:eastAsia="Times New Roman" w:hAnsi="Times New Roman"/>
          <w:b/>
          <w:bCs/>
          <w:i w:val="false"/>
          <w:iCs w:val="false"/>
          <w:sz w:val="24"/>
          <w:szCs w:val="24"/>
        </w:rPr>
        <w:t xml:space="preserve">7. References</w:t>
      </w: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 xml:space="preserve">15</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Primary Sources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Reported Accounts of Primary Events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15</w:t>
      </w:r>
    </w:p>
    <w:p>
      <w:pPr>
        <w:tabs>
          <w:tab w:val="right" w:pos="9360" w:leader="dot"/>
        </w:tabs>
        <w:spacing w:after="80" w:line="276"/>
        <w:ind w:left="431" w:right="0"/>
      </w:pPr>
      <w:r>
        <w:rPr>
          <w:rFonts w:ascii="Times New Roman" w:cs="Times New Roman" w:eastAsia="Times New Roman" w:hAnsi="Times New Roman"/>
          <w:b w:val="false"/>
          <w:bCs w:val="false"/>
          <w:i w:val="false"/>
          <w:iCs w:val="false"/>
          <w:sz w:val="24"/>
          <w:szCs w:val="24"/>
        </w:rPr>
        <w:t xml:space="preserve">Secondary Sources</w:t>
      </w:r>
      <w:r>
        <w:rPr>
          <w:rFonts w:ascii="Times New Roman" w:cs="Times New Roman" w:eastAsia="Times New Roman" w:hAnsi="Times New Roman"/>
          <w:b w:val="false"/>
          <w:bCs w:val="false"/>
          <w:sz w:val="24"/>
          <w:szCs w:val="24"/>
        </w:rPr>
        <w:tab/>
      </w:r>
      <w:r>
        <w:rPr>
          <w:rFonts w:ascii="Times New Roman" w:cs="Times New Roman" w:eastAsia="Times New Roman" w:hAnsi="Times New Roman"/>
          <w:b w:val="false"/>
          <w:bCs w:val="false"/>
          <w:sz w:val="24"/>
          <w:szCs w:val="24"/>
        </w:rPr>
        <w:t xml:space="preserve">16</w:t>
      </w:r>
    </w:p>
    <w:p>
      <w:r>
        <w:br w:type="page"/>
      </w:r>
    </w:p>
    <w:p>
      <w:pPr>
        <w:pStyle w:val="Heading1"/>
        <w:spacing w:after="200" w:before="360" w:line="480"/>
      </w:pPr>
      <w:r>
        <w:rPr>
          <w:rFonts w:ascii="Times New Roman" w:cs="Times New Roman" w:eastAsia="Times New Roman" w:hAnsi="Times New Roman"/>
          <w:b/>
          <w:bCs/>
          <w:i w:val="false"/>
          <w:iCs w:val="false"/>
          <w:sz w:val="24"/>
          <w:szCs w:val="24"/>
        </w:rPr>
        <w:t xml:space="preserve">1. Introduction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 philosophy attributed to a public figure never reaches an audience raw. It arrives inside an interview, a broadcast, a book or a film, and each of those forms sets conditions on what can be said and how it will be taken. Kobe Bryant is a useful case because the phrase associated with him has outlived both his career and his life. “Mamba Mentality” is now used far outside basketball as a general name for disciplined self-improvement. Bryant supplied the phrase and most of its content. He did not, by himself, give it the shape in which it circulates.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This essay analyses two kinds of text. The first is three interviews: the profile Chuck Klosterman conducted for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published in February 2015; Bryant’s appearance on </w:t>
      </w:r>
      <w:r>
        <w:rPr>
          <w:rFonts w:ascii="Times New Roman" w:cs="Times New Roman" w:eastAsia="Times New Roman" w:hAnsi="Times New Roman"/>
          <w:b w:val="false"/>
          <w:bCs w:val="false"/>
          <w:i/>
          <w:iCs/>
          <w:sz w:val="24"/>
          <w:szCs w:val="24"/>
        </w:rPr>
        <w:t xml:space="preserve">The Grantland Basketball Hour</w:t>
      </w:r>
      <w:r>
        <w:rPr>
          <w:rFonts w:ascii="Times New Roman" w:cs="Times New Roman" w:eastAsia="Times New Roman" w:hAnsi="Times New Roman"/>
          <w:b w:val="false"/>
          <w:bCs w:val="false"/>
          <w:i w:val="false"/>
          <w:iCs w:val="false"/>
          <w:sz w:val="24"/>
          <w:szCs w:val="24"/>
        </w:rPr>
        <w:t xml:space="preserve"> with Bill Simmons and Jalen Rose, also February 2015; and the press conference he gave on 29 November 2015, the day he announced his retirement. The second is </w:t>
      </w:r>
      <w:r>
        <w:rPr>
          <w:rFonts w:ascii="Times New Roman" w:cs="Times New Roman" w:eastAsia="Times New Roman" w:hAnsi="Times New Roman"/>
          <w:b w:val="false"/>
          <w:bCs w:val="false"/>
          <w:i/>
          <w:iCs/>
          <w:sz w:val="24"/>
          <w:szCs w:val="24"/>
        </w:rPr>
        <w:t xml:space="preserve">Kobe Bryant’s Muse</w:t>
      </w:r>
      <w:r>
        <w:rPr>
          <w:rFonts w:ascii="Times New Roman" w:cs="Times New Roman" w:eastAsia="Times New Roman" w:hAnsi="Times New Roman"/>
          <w:b w:val="false"/>
          <w:bCs w:val="false"/>
          <w:i w:val="false"/>
          <w:iCs w:val="false"/>
          <w:sz w:val="24"/>
          <w:szCs w:val="24"/>
        </w:rPr>
        <w:t xml:space="preserve">, the feature documentary directed by Gotham Chopra, which premiered on Showtime on 28 February 2015.</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These four texts were chosen for reasons that matter to the analysis. Each interview belongs to a different genre and catches the concept at a different moment. The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profile is long-form print journalism, where an interviewer can press a point and Bryant has room to answer in extended analogy, so it shows the philosophy argued. The Grantland conversation is broadcast talk among former players, and the only text in which Bryant discusses the making of the documentary, so it is where his language about authorship can be examined directly. The press conference is unscripted, public and conducted under visible emotional pressure at the end of his career, so it shows the philosophy under strain rather than on display. </w:t>
      </w: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is the only sustained audiovisual account Bryant produced and the only text in which he holds a production credit, which lets the essay test whether image, sequence and sound do different work from language. Taken together the four give two media, two moments, and one text in which the speaker is also a producer.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obvious framing, self-representation against media portrayal, collapses on contact with the evidence. Bryant is credited as an executive producer of </w:t>
      </w: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(Chopra, 2015), and the released film contains no new interviews with anyone else, so his is the only testimonial voice in it. Nor are the interviews unmediated: the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profile appeared eleven days before the premiere, inside the same promotional operation as the film.</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What follows therefore treats </w:t>
      </w: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as a </w:t>
      </w:r>
      <w:r>
        <w:rPr>
          <w:rFonts w:ascii="Times New Roman" w:cs="Times New Roman" w:eastAsia="Times New Roman" w:hAnsi="Times New Roman"/>
          <w:b/>
          <w:bCs/>
          <w:i w:val="false"/>
          <w:iCs w:val="false"/>
          <w:sz w:val="24"/>
          <w:szCs w:val="24"/>
        </w:rPr>
        <w:t xml:space="preserve">mediated self-portrait</w:t>
      </w:r>
      <w:r>
        <w:rPr>
          <w:rFonts w:ascii="Times New Roman" w:cs="Times New Roman" w:eastAsia="Times New Roman" w:hAnsi="Times New Roman"/>
          <w:b w:val="false"/>
          <w:bCs w:val="false"/>
          <w:i w:val="false"/>
          <w:iCs w:val="false"/>
          <w:sz w:val="24"/>
          <w:szCs w:val="24"/>
        </w:rPr>
        <w:t xml:space="preserve"> rather than an external portrayal, and asks a sharper version of the research question: if both text types carry Bryant’s self-definition, what does each one actually contribute to constructing it? My argument is that the division is one of content against form. The interviews supply the vocabulary, the analogies and the grammatical habits out of which the Mamba Mentality is built. </w:t>
      </w: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adds almost no new propositions, but it gives those propositions coherence, emotional weight and an appearance of inevitability through chronology, archival juxtaposition, cinematography and score.</w:t>
      </w:r>
    </w:p>
    <w:p>
      <w:pPr>
        <w:pStyle w:val="Heading1"/>
        <w:spacing w:after="200" w:before="360" w:line="480"/>
      </w:pPr>
      <w:r>
        <w:rPr>
          <w:rFonts w:ascii="Times New Roman" w:cs="Times New Roman" w:eastAsia="Times New Roman" w:hAnsi="Times New Roman"/>
          <w:b/>
          <w:bCs/>
          <w:i w:val="false"/>
          <w:iCs w:val="false"/>
          <w:sz w:val="24"/>
          <w:szCs w:val="24"/>
        </w:rPr>
        <w:t xml:space="preserve">2. The “Mamba Mentality” as a Constructed Concept</w:t>
      </w:r>
    </w:p>
    <w:p>
      <w:pPr>
        <w:pStyle w:val="Heading2"/>
        <w:spacing w:after="160" w:before="280" w:line="480"/>
      </w:pPr>
      <w:r>
        <w:rPr>
          <w:rFonts w:ascii="Times New Roman" w:cs="Times New Roman" w:eastAsia="Times New Roman" w:hAnsi="Times New Roman"/>
          <w:b/>
          <w:bCs/>
          <w:i w:val="false"/>
          <w:iCs w:val="false"/>
          <w:sz w:val="24"/>
          <w:szCs w:val="24"/>
        </w:rPr>
        <w:t xml:space="preserve">2.1 Origins and the Problem of Definition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Bryant adopted “Black Mamba” around 2003, during the Colorado sexual assault case, and describes the persona on camera in </w:t>
      </w: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as a deliberate separation of his playing self from the damage being done to his name (Chopra, 2015). The alter ego came first; the philosophy was attached afterwards. By the time he published </w:t>
      </w:r>
      <w:r>
        <w:rPr>
          <w:rFonts w:ascii="Times New Roman" w:cs="Times New Roman" w:eastAsia="Times New Roman" w:hAnsi="Times New Roman"/>
          <w:b w:val="false"/>
          <w:bCs w:val="false"/>
          <w:i/>
          <w:iCs/>
          <w:sz w:val="24"/>
          <w:szCs w:val="24"/>
        </w:rPr>
        <w:t xml:space="preserve">The Mamba Mentality: How I Play</w:t>
      </w:r>
      <w:r>
        <w:rPr>
          <w:rFonts w:ascii="Times New Roman" w:cs="Times New Roman" w:eastAsia="Times New Roman" w:hAnsi="Times New Roman"/>
          <w:b w:val="false"/>
          <w:bCs w:val="false"/>
          <w:i w:val="false"/>
          <w:iCs w:val="false"/>
          <w:sz w:val="24"/>
          <w:szCs w:val="24"/>
        </w:rPr>
        <w:t xml:space="preserve"> in October 2018, the phrase named a method rather than a nickname: daily improvement measured against one’s own previous standard, and process valued over result.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book is revealing about the definitional problem. It is organised around technique, covering footwork, preparation and the reading of opponents, and offers no single sentence defining the mentality (Bryant &amp; Bernstein, 2018). The concept is demonstrated rather than stated.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Two features matter here. The concept was retrofitted, lived first and named later, so its definition was always retrospective interpretation; and it is loose, never fixed by Bryant in one formulation. A concept this under-specified depends unusually on the texts that circulate it, because each must decide, in effect, what it means.</w:t>
      </w:r>
    </w:p>
    <w:p>
      <w:pPr>
        <w:pStyle w:val="Heading2"/>
        <w:spacing w:after="160" w:before="280" w:line="480"/>
      </w:pPr>
      <w:r>
        <w:rPr>
          <w:rFonts w:ascii="Times New Roman" w:cs="Times New Roman" w:eastAsia="Times New Roman" w:hAnsi="Times New Roman"/>
          <w:b/>
          <w:bCs/>
          <w:i w:val="false"/>
          <w:iCs w:val="false"/>
          <w:sz w:val="24"/>
          <w:szCs w:val="24"/>
        </w:rPr>
        <w:t xml:space="preserve">2.2 Why “Self” and “Media” Cannot Be Cleanly Separated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Hall (1997) argues that representation does not transmit a meaning that already exists but participates in producing it. This rules out asking whether the public Mamba Mentality is the real Bryant or a media invention, since it denies there is a version outside representation to compare against. The answerable question is which resources each text brings.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Dyer’s (1979/1998) account sharpens this. For Dyer a star image is not located in any single text but assembled across many, and its coherence is an achievement of that assembly rather than a property of the person. That is the condition of the Mamba Mentality, which exists across a profile, a broadcast conversation, a press conference, a documentary and a book.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Bryant’s production role makes the point concrete, and the evidence pulls in two directions. At Showtime’s presentation to television critics in July 2014 he minimised his executive-producer credit, calling it his “only in title alone” and professing uncertainty about what producers do; the Associated Press described the credit as honorary, and Chopra denied it carried creative control (</w:t>
      </w:r>
      <w:r>
        <w:rPr>
          <w:rFonts w:ascii="Times New Roman" w:cs="Times New Roman" w:eastAsia="Times New Roman" w:hAnsi="Times New Roman"/>
          <w:b w:val="false"/>
          <w:bCs w:val="false"/>
          <w:i/>
          <w:iCs/>
          <w:sz w:val="24"/>
          <w:szCs w:val="24"/>
        </w:rPr>
        <w:t xml:space="preserve">Deadline</w:t>
      </w:r>
      <w:r>
        <w:rPr>
          <w:rFonts w:ascii="Times New Roman" w:cs="Times New Roman" w:eastAsia="Times New Roman" w:hAnsi="Times New Roman"/>
          <w:b w:val="false"/>
          <w:bCs w:val="false"/>
          <w:i w:val="false"/>
          <w:iCs w:val="false"/>
          <w:sz w:val="24"/>
          <w:szCs w:val="24"/>
        </w:rPr>
        <w:t xml:space="preserve">, 2014). Against that, Chopra’s own later account records that an editing suite was built in Newport Beach at Bryant’s insistence, close to his home so that he could stay inside the process, and that Bryant took a close interest in the cutting, the choice of shots, the score, the colour correction and the audio mix (Chopra, 2021). The two accounts are differently scoped rather than contradictory: Bryant may have held no formal editorial authority while shaping the film’s architecture and sitting in the room where its texture was decided. Throughout what follows I distinguish four things that “self-representation” tends to blur: Bryant’s participation, his self-presentation, the filmmakers’ construction, and the finished text.</w:t>
      </w:r>
    </w:p>
    <w:p>
      <w:pPr>
        <w:pStyle w:val="Heading1"/>
        <w:spacing w:after="200" w:before="360" w:line="480"/>
      </w:pPr>
      <w:r>
        <w:rPr>
          <w:rFonts w:ascii="Times New Roman" w:cs="Times New Roman" w:eastAsia="Times New Roman" w:hAnsi="Times New Roman"/>
          <w:b/>
          <w:bCs/>
          <w:i w:val="false"/>
          <w:iCs w:val="false"/>
          <w:sz w:val="24"/>
          <w:szCs w:val="24"/>
        </w:rPr>
        <w:t xml:space="preserve">3. Constructing the Concept in the Interviews</w:t>
      </w:r>
    </w:p>
    <w:p>
      <w:pPr>
        <w:pStyle w:val="Heading2"/>
        <w:spacing w:after="160" w:before="280" w:line="480"/>
      </w:pPr>
      <w:r>
        <w:rPr>
          <w:rFonts w:ascii="Times New Roman" w:cs="Times New Roman" w:eastAsia="Times New Roman" w:hAnsi="Times New Roman"/>
          <w:b/>
          <w:bCs/>
          <w:i w:val="false"/>
          <w:iCs w:val="false"/>
          <w:sz w:val="24"/>
          <w:szCs w:val="24"/>
        </w:rPr>
        <w:t xml:space="preserve">3.1 Analogy as Self-Characterisation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most distinctive feature of Bryant’s interview language is that he characterises himself almost entirely through analogy with figures outside basketball. Three examples from the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profile carry most of the work.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first is equine. Describing his years under Phil Jackson, Bryant says that he “was like a wild horse that had the potential to become Secretariat” (Klosterman, 2015). The simile turns on a split between present and conditional: </w:t>
      </w:r>
      <w:r>
        <w:rPr>
          <w:rFonts w:ascii="Times New Roman" w:cs="Times New Roman" w:eastAsia="Times New Roman" w:hAnsi="Times New Roman"/>
          <w:b w:val="false"/>
          <w:bCs w:val="false"/>
          <w:i/>
          <w:iCs/>
          <w:sz w:val="24"/>
          <w:szCs w:val="24"/>
        </w:rPr>
        <w:t xml:space="preserve">wild horse</w:t>
      </w:r>
      <w:r>
        <w:rPr>
          <w:rFonts w:ascii="Times New Roman" w:cs="Times New Roman" w:eastAsia="Times New Roman" w:hAnsi="Times New Roman"/>
          <w:b w:val="false"/>
          <w:bCs w:val="false"/>
          <w:i w:val="false"/>
          <w:iCs w:val="false"/>
          <w:sz w:val="24"/>
          <w:szCs w:val="24"/>
        </w:rPr>
        <w:t xml:space="preserve"> is what he was, </w:t>
      </w:r>
      <w:r>
        <w:rPr>
          <w:rFonts w:ascii="Times New Roman" w:cs="Times New Roman" w:eastAsia="Times New Roman" w:hAnsi="Times New Roman"/>
          <w:b w:val="false"/>
          <w:bCs w:val="false"/>
          <w:i/>
          <w:iCs/>
          <w:sz w:val="24"/>
          <w:szCs w:val="24"/>
        </w:rPr>
        <w:t xml:space="preserve">Secretariat</w:t>
      </w:r>
      <w:r>
        <w:rPr>
          <w:rFonts w:ascii="Times New Roman" w:cs="Times New Roman" w:eastAsia="Times New Roman" w:hAnsi="Times New Roman"/>
          <w:b w:val="false"/>
          <w:bCs w:val="false"/>
          <w:i w:val="false"/>
          <w:iCs w:val="false"/>
          <w:sz w:val="24"/>
          <w:szCs w:val="24"/>
        </w:rPr>
        <w:t xml:space="preserve"> what he might become. The verb phrase “had the potential to become” does the whole job, because it concedes that the wildness was real while reclassifying it as unrealised quality rather than defect. The comparison also redistributes responsibility, since a horse is not accountable for its own training but requires a trainer, and Jackson occupies that position in the sentence. The effect on a reader is that Bryant appears to admit a flaw while surrendering nothing: difficulty is recoded as thoroughbred quality. For the research question this matters because it shows the concept being built out of concession rather than boast, which is what allows the Mamba Mentality to read as earned.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second is musical. Asked whether he shot too often, he answers that “Some people thought Mozart had too many notes in his compositions,” and that “There were as many as necessary” (Klosterman, 2015). The device is substitution: a historical judgement long settled in Mozart’s favour replaces a contemporary judgement still open, and the reader is left to draw the inference. The second sentence is also grammatically evasive, since “There were as many as necessary” has no agent. Nobody decided the number; it simply was correct. The effect is that a claim which would sound arrogant in the first person becomes close to unarguable once the person is removed from it, so the reader is positioned to accept a defence that was never explicitly made. This contributes to the construction of the concept by making excess look like necessity, which is the same move the philosophy performs on obsessive work.</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third appears in the profile’s footnotes, where Bryant resists the suggestion that every brand carries a calculated purpose: “That’s like saying every wizard with Slytherin House is a villain” (Klosterman, 2015). The device is reductio: the critic’s premise is restated in a form that is obviously false, so the reader rejects the premise without Bryant having to argue against it.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What unites the three is one manoeuvre, in which a criticism is returned as a category error on the critic’s part. They also share a register that is conspicuously not athletic, drawn from classical music, horse racing and children’s fiction. By arguing about himself in borrowed terms, Bryant lifts the philosophy out of the setting that produced it, and the text thereby addresses a reader who need know nothing about basketball. This is the clearest textual mechanism by which the Mamba Mentality is constructed as transferable rather than sport-specific.</w:t>
      </w:r>
    </w:p>
    <w:p>
      <w:pPr>
        <w:pStyle w:val="Heading2"/>
        <w:spacing w:after="160" w:before="280" w:line="480"/>
      </w:pPr>
      <w:r>
        <w:rPr>
          <w:rFonts w:ascii="Times New Roman" w:cs="Times New Roman" w:eastAsia="Times New Roman" w:hAnsi="Times New Roman"/>
          <w:b/>
          <w:bCs/>
          <w:i w:val="false"/>
          <w:iCs w:val="false"/>
          <w:sz w:val="24"/>
          <w:szCs w:val="24"/>
        </w:rPr>
        <w:t xml:space="preserve">3.2 Converting Behaviour into Identity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 second pattern runs through the interview material: Bryant describes habits in terms that make them constitutive of who he is rather than things he does.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clearest case is his treatment of friendship. Pressed in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on whether his intensity leaves room for friends, he first tilts towards no, then corrects himself: “I have friends” (Klosterman, 2015). What follows is the significant part. He distinguishes between being a good friend and a great one, defines the greater standard as daily contact and remembered birthdays, and concedes that his absorption in work makes him forget such things. The device is subordination: the cost is grammatically placed beneath the purpose it served. The sequence admits the charge, supplies a standard he fails, and attributes the failure to a commitment rather than a character defect. The effect is that a reader encounters sacrifice as a choice with a known price rather than as something taken from him, which is how the concept acquires its moral weight.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same conversion operates on pre-dawn training. The “4 a.m.” motif recurs across Bryant’s public statements, including his account of a routine kept into retirement (CNBC, 2018). The device is concrete specificity. Unlike “dedication”, a clock time can be pictured, and it can be repeated by someone else without modification. The effect is to convert an abstract claim about commitment into an apparently checkable fact, so that the text offers the listener a standard rather than an impression. Here the construction of the concept depends less on what Bryant argues than on the kind of detail he selects.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Taken together, these moves present the Mamba Mentality not as a strategy Bryant employs but as a description of what he is, and the distinction governs what the text invites: a strategy invites evaluation, an identity invites emulation.</w:t>
      </w:r>
    </w:p>
    <w:p>
      <w:pPr>
        <w:pStyle w:val="Heading2"/>
        <w:spacing w:after="160" w:before="280" w:line="480"/>
      </w:pPr>
      <w:r>
        <w:rPr>
          <w:rFonts w:ascii="Times New Roman" w:cs="Times New Roman" w:eastAsia="Times New Roman" w:hAnsi="Times New Roman"/>
          <w:b/>
          <w:bCs/>
          <w:i w:val="false"/>
          <w:iCs w:val="false"/>
          <w:sz w:val="24"/>
          <w:szCs w:val="24"/>
        </w:rPr>
        <w:t xml:space="preserve">3.3 Controlling the Account: The Grantland Interview</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Grantland conversation is the only interview in which Bryant speaks about the documentary as a made object. Asked why Phil Jackson does not appear in the finished film, he explains that he rejected a completed version built on roughly forty outside interviews and had the project begun again, summarising his approach in four words: “control what you can control” (as reported in Yahoo Finance, 2015).</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phrase does two incompatible things at once. Syntactically it is a maxim: imperative mood, no subject, a form belonging to proverbs and coaching slogans rather than personal statements, and the repetition of “control” across verb and noun makes it sound like received wisdom rather than a decision he took. Yet the context is an account of extensive editorial intervention. The effect is that an act of authorial control arrives in the register of stoic acceptance, so that rebuilding a film around his own voice sounds like a principle of self-discipline rather than a production decision. This is the most revealing moment in the interview corpus, because it shows the Mamba Mentality being used, in the act of speech, to characterise the process by which the documentary was shaped.</w:t>
      </w:r>
    </w:p>
    <w:p>
      <w:pPr>
        <w:pStyle w:val="Heading2"/>
        <w:spacing w:after="160" w:before="280" w:line="480"/>
      </w:pPr>
      <w:r>
        <w:rPr>
          <w:rFonts w:ascii="Times New Roman" w:cs="Times New Roman" w:eastAsia="Times New Roman" w:hAnsi="Times New Roman"/>
          <w:b/>
          <w:bCs/>
          <w:i w:val="false"/>
          <w:iCs w:val="false"/>
          <w:sz w:val="24"/>
          <w:szCs w:val="24"/>
        </w:rPr>
        <w:t xml:space="preserve">3.4 Vulnerability and the Retirement Press Conference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press conference on 29 November 2015, given after a home defeat to Indiana in which Bryant shot 4 of 20, is the text where the self-characterisation is placed under most visible strain. Bryant announced his retirement that day through “Dear Basketball”, a letter published on </w:t>
      </w:r>
      <w:r>
        <w:rPr>
          <w:rFonts w:ascii="Times New Roman" w:cs="Times New Roman" w:eastAsia="Times New Roman" w:hAnsi="Times New Roman"/>
          <w:b w:val="false"/>
          <w:bCs w:val="false"/>
          <w:i/>
          <w:iCs/>
          <w:sz w:val="24"/>
          <w:szCs w:val="24"/>
        </w:rPr>
        <w:t xml:space="preserve">The Players’ Tribune</w:t>
      </w:r>
      <w:r>
        <w:rPr>
          <w:rFonts w:ascii="Times New Roman" w:cs="Times New Roman" w:eastAsia="Times New Roman" w:hAnsi="Times New Roman"/>
          <w:b w:val="false"/>
          <w:bCs w:val="false"/>
          <w:i w:val="false"/>
          <w:iCs w:val="false"/>
          <w:sz w:val="24"/>
          <w:szCs w:val="24"/>
        </w:rPr>
        <w:t xml:space="preserve"> (Bryant, 2015), and then took questions.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Asked why he was stopping, he answered by posing the question himself:</w:t>
      </w:r>
    </w:p>
    <w:p>
      <w:pPr>
        <w:spacing w:after="120" w:before="120" w:line="480"/>
        <w:ind w:left="720"/>
        <w:jc w:val="both"/>
      </w:pPr>
      <w:r>
        <w:rPr>
          <w:rFonts w:ascii="Times New Roman" w:cs="Times New Roman" w:eastAsia="Times New Roman" w:hAnsi="Times New Roman"/>
          <w:b w:val="false"/>
          <w:bCs w:val="false"/>
          <w:i w:val="false"/>
          <w:iCs w:val="false"/>
          <w:sz w:val="24"/>
          <w:szCs w:val="24"/>
        </w:rPr>
        <w:t xml:space="preserve">Do I want to play again or don’t I? It’s a very simple question, but it’s a hard question to look in the mirror and ask yourself. The reality is: No, I don’t. (as reported in </w:t>
      </w:r>
      <w:r>
        <w:rPr>
          <w:rFonts w:ascii="Times New Roman" w:cs="Times New Roman" w:eastAsia="Times New Roman" w:hAnsi="Times New Roman"/>
          <w:b w:val="false"/>
          <w:bCs w:val="false"/>
          <w:i/>
          <w:iCs/>
          <w:sz w:val="24"/>
          <w:szCs w:val="24"/>
        </w:rPr>
        <w:t xml:space="preserve">CNN</w:t>
      </w:r>
      <w:r>
        <w:rPr>
          <w:rFonts w:ascii="Times New Roman" w:cs="Times New Roman" w:eastAsia="Times New Roman" w:hAnsi="Times New Roman"/>
          <w:b w:val="false"/>
          <w:bCs w:val="false"/>
          <w:i w:val="false"/>
          <w:iCs w:val="false"/>
          <w:sz w:val="24"/>
          <w:szCs w:val="24"/>
        </w:rPr>
        <w:t xml:space="preserve">, 2015)</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Four features do the work. First, he takes the interrogative away from the reporter and asks it himself, which converts an interrogation into an act of self-examination. Second, the antithesis of “simple” and “hard” inside one sentence relocates the difficulty: the question is not hard to understand, only hard to put to oneself. Third, the pronouns shift. “Yourself” is generic, inviting anyone listening to imagine the same confrontation, and only then does he return to “I” for the answer, so that a shared difficulty is resolved by a particular decision. Fourth, after two long clauses the reply contracts to three monosyllables, “No, I don’t”, so that the syntax enacts the decisiveness the content claims, while “The reality is” frames what follows as a fact discovered rather than a preference chosen.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most consequential word is “want”. Bryant does not say he cannot play; he says he does not wish to. Had he retired because his body failed, the Mamba Mentality would be a philosophy with an expiry date tied to one athlete’s physical peak. By grounding the decision in the absence of desire he leaves the philosophy intact: the mentality did not run out, the appetite did. This single lexical choice is what detaches the concept from the career that produced it, and it is therefore central to how the interviews construct it as something available beyond sport.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Even so, this is a press conference, not a soliloquy: the answers are shaped by the questions asked and by a format in which a public figure speaks under pressure. The most apparently direct text in the corpus is still a joint production.</w:t>
      </w:r>
    </w:p>
    <w:p>
      <w:pPr>
        <w:pStyle w:val="Heading1"/>
        <w:spacing w:after="200" w:before="360" w:line="480"/>
      </w:pPr>
      <w:r>
        <w:rPr>
          <w:rFonts w:ascii="Times New Roman" w:cs="Times New Roman" w:eastAsia="Times New Roman" w:hAnsi="Times New Roman"/>
          <w:b/>
          <w:bCs/>
          <w:i w:val="false"/>
          <w:iCs w:val="false"/>
          <w:sz w:val="24"/>
          <w:szCs w:val="24"/>
        </w:rPr>
        <w:t xml:space="preserve">4. Constructing the Concept in </w:t>
      </w:r>
      <w:r>
        <w:rPr>
          <w:rFonts w:ascii="Times New Roman" w:cs="Times New Roman" w:eastAsia="Times New Roman" w:hAnsi="Times New Roman"/>
          <w:b/>
          <w:bCs/>
          <w:i/>
          <w:iCs/>
          <w:sz w:val="24"/>
          <w:szCs w:val="24"/>
        </w:rPr>
        <w:t xml:space="preserve">Kobe Bryant’s Muse</w:t>
      </w:r>
    </w:p>
    <w:p>
      <w:pPr>
        <w:pStyle w:val="Heading2"/>
        <w:spacing w:after="160" w:before="280" w:line="480"/>
      </w:pPr>
      <w:r>
        <w:rPr>
          <w:rFonts w:ascii="Times New Roman" w:cs="Times New Roman" w:eastAsia="Times New Roman" w:hAnsi="Times New Roman"/>
          <w:b/>
          <w:bCs/>
          <w:i w:val="false"/>
          <w:iCs w:val="false"/>
          <w:sz w:val="24"/>
          <w:szCs w:val="24"/>
        </w:rPr>
        <w:t xml:space="preserve">4.1 Voice, and the Problem of Documentary Authority</w:t>
      </w:r>
    </w:p>
    <w:p>
      <w:pPr>
        <w:spacing w:after="0" w:line="480"/>
        <w:ind w:firstLine="720"/>
        <w:jc w:val="both"/>
      </w:pP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is unusual in that Bryant is its only interviewee. The film is carried by his direct address to camera and his narration, while other figures, including Shaquille O’Neal, Phil Jackson and Michael Jordan, appear only in archival footage. This was not the original design: Chopra had spent months assembling a conventional documentary built on interviews with around forty people before Bryant rejected that version (as reported in Yahoo Finance, 2015).</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Nichols (2001) distinguishes the voice of a documentary’s subject from the voice of the documentary itself, the perspective a film expresses through its organisation, selections and silences. Removing competing interviewees does not remove the film’s voice; it removes the most visible evidence that there is one. When a documentary cuts between witnesses, an audience can see an argument being assembled from differing accounts; when a single speaker is heard throughout, the organising work becomes invisible and the film’s interpretations are received as the subject’s own. The structure converts a constructed argument into what looks like testimony: nothing contradicts Bryant, because the form provides no position from which it could be voiced.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film does not avoid difficult material. Bryant addresses the 2003 Colorado case on camera, and in speaking of its aftermath says that he “lost sight of what is the most important thing, and that’s family” (Chopra, 2015). The device is confession delivered in the subject’s own voice and in close-up. The effect is to invite an audience to read the episode as a turning point in a life rather than as a matter still open, since the grammar of the sentence (“lost sight”) frames the failing as a lapse of attention subsequently corrected. Lowry (2015) judged the film “largely whitewashed” and thought it passed over the episode too quickly. The point for this analysis is not whether the coverage was adequate but how it functions: the episode enters as a crisis survived and learned from, which is the position a hardship occupies in a narrative of formation, and the Mamba Mentality is thereby constructed as something forged by difficulty rather than merely asserted.</w:t>
      </w:r>
    </w:p>
    <w:p>
      <w:pPr>
        <w:pStyle w:val="Heading2"/>
        <w:spacing w:after="160" w:before="280" w:line="480"/>
      </w:pPr>
      <w:r>
        <w:rPr>
          <w:rFonts w:ascii="Times New Roman" w:cs="Times New Roman" w:eastAsia="Times New Roman" w:hAnsi="Times New Roman"/>
          <w:b/>
          <w:bCs/>
          <w:i w:val="false"/>
          <w:iCs w:val="false"/>
          <w:sz w:val="24"/>
          <w:szCs w:val="24"/>
        </w:rPr>
        <w:t xml:space="preserve">4.2 Three Sequences: Chronology, Image and Sound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If Bryant supplies the propositions, the film’s contribution lies in the apparatus around them. Three sequences show this most clearly.</w:t>
      </w:r>
    </w:p>
    <w:p>
      <w:pPr>
        <w:spacing w:after="0" w:line="480"/>
        <w:ind w:firstLine="720"/>
        <w:jc w:val="both"/>
      </w:pPr>
      <w:r>
        <w:rPr>
          <w:rFonts w:ascii="Times New Roman" w:cs="Times New Roman" w:eastAsia="Times New Roman" w:hAnsi="Times New Roman"/>
          <w:b/>
          <w:bCs/>
          <w:i w:val="false"/>
          <w:iCs w:val="false"/>
          <w:sz w:val="24"/>
          <w:szCs w:val="24"/>
        </w:rPr>
        <w:t xml:space="preserve">(i) The Italian childhood.</w:t>
      </w:r>
      <w:r>
        <w:rPr>
          <w:rFonts w:ascii="Times New Roman" w:cs="Times New Roman" w:eastAsia="Times New Roman" w:hAnsi="Times New Roman"/>
          <w:b w:val="false"/>
          <w:bCs w:val="false"/>
          <w:i w:val="false"/>
          <w:iCs w:val="false"/>
          <w:sz w:val="24"/>
          <w:szCs w:val="24"/>
        </w:rPr>
        <w:t xml:space="preserve"> The account of Bryant’s early years in Italy is built from archival photographs and period footage rather than present-day testimony (Chopra, 2015), a stretch Lowry (2015) calls the film’s strongest. The device is archival montage. Because such images carry the authority of documentary record, an interpretation offered in narration, that isolation abroad produced self-reliance, is received as something the footage proves rather than something the film proposes. This is work the interviews cannot do: it supplies apparent evidence for a claim about origins.</w:t>
      </w:r>
    </w:p>
    <w:p>
      <w:pPr>
        <w:spacing w:after="0" w:line="480"/>
        <w:ind w:firstLine="720"/>
        <w:jc w:val="both"/>
      </w:pPr>
      <w:r>
        <w:rPr>
          <w:rFonts w:ascii="Times New Roman" w:cs="Times New Roman" w:eastAsia="Times New Roman" w:hAnsi="Times New Roman"/>
          <w:b/>
          <w:bCs/>
          <w:i w:val="false"/>
          <w:iCs w:val="false"/>
          <w:sz w:val="24"/>
          <w:szCs w:val="24"/>
        </w:rPr>
        <w:t xml:space="preserve">(ii) The shoulder injury.</w:t>
      </w:r>
      <w:r>
        <w:rPr>
          <w:rFonts w:ascii="Times New Roman" w:cs="Times New Roman" w:eastAsia="Times New Roman" w:hAnsi="Times New Roman"/>
          <w:b w:val="false"/>
          <w:bCs w:val="false"/>
          <w:i w:val="false"/>
          <w:iCs w:val="false"/>
          <w:sz w:val="24"/>
          <w:szCs w:val="24"/>
        </w:rPr>
        <w:t xml:space="preserve"> The film includes observational footage of Bryant being told the extent of the rotator-cuff tear that ended his 2014-15 season (Chopra, 2015). The device is present-tense observational camerawork, with no retrospective narration. The effect is suspense in a story whose outcome is already public: the audience watches a man receiving news rather than a legend recalling it. This supplies what testimony cannot, since the concept is shown being tested in real time rather than described afterwards.</w:t>
      </w:r>
    </w:p>
    <w:p>
      <w:pPr>
        <w:spacing w:after="0" w:line="480"/>
        <w:ind w:firstLine="720"/>
        <w:jc w:val="both"/>
      </w:pPr>
      <w:r>
        <w:rPr>
          <w:rFonts w:ascii="Times New Roman" w:cs="Times New Roman" w:eastAsia="Times New Roman" w:hAnsi="Times New Roman"/>
          <w:b/>
          <w:bCs/>
          <w:i w:val="false"/>
          <w:iCs w:val="false"/>
          <w:sz w:val="24"/>
          <w:szCs w:val="24"/>
        </w:rPr>
        <w:t xml:space="preserve">(iii) The Achilles rehabilitation.</w:t>
      </w:r>
      <w:r>
        <w:rPr>
          <w:rFonts w:ascii="Times New Roman" w:cs="Times New Roman" w:eastAsia="Times New Roman" w:hAnsi="Times New Roman"/>
          <w:b w:val="false"/>
          <w:bCs w:val="false"/>
          <w:i w:val="false"/>
          <w:iCs w:val="false"/>
          <w:sz w:val="24"/>
          <w:szCs w:val="24"/>
        </w:rPr>
        <w:t xml:space="preserve"> The rupture of April 2013 and the recovery that followed are not presented in sequence. The film moves associatively, placing the rehabilitation beside earlier material so that it reads as confirmation of a disposition already established. The rehabilitation footage is also shot in monochrome, visually distinct from archival game footage that arrives in the colour and texture of broadcast television, a contrast Lowry (2015) also notes. Two devices operate together here: associative editing and tonal separation. Barthes (1957/1972) describes myth as the operation by which the contingent is made to appear natural and essential, and the editing performs exactly that, since an injury is an accident but, placed in this order, becomes an occasion on which an essential quality was revealed. The monochrome does parallel work by establishing two orders of image, the public televised past and a private, composed present, and granting the second interpretive authority over the first. The viewer is thereby offered a privileged interior, itself lit and framed, and the proposition that the Mamba Mentality is not a method Bryant adopted but what he fundamentally is gets asserted through arrangement without ever being stated.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Across all three, Kris Bowers’s score accompanies the turning points rather than the game action. Chion (1994) uses the term </w:t>
      </w:r>
      <w:r>
        <w:rPr>
          <w:rFonts w:ascii="Times New Roman" w:cs="Times New Roman" w:eastAsia="Times New Roman" w:hAnsi="Times New Roman"/>
          <w:b w:val="false"/>
          <w:bCs w:val="false"/>
          <w:i/>
          <w:iCs/>
          <w:sz w:val="24"/>
          <w:szCs w:val="24"/>
        </w:rPr>
        <w:t xml:space="preserve">added value</w:t>
      </w:r>
      <w:r>
        <w:rPr>
          <w:rFonts w:ascii="Times New Roman" w:cs="Times New Roman" w:eastAsia="Times New Roman" w:hAnsi="Times New Roman"/>
          <w:b w:val="false"/>
          <w:bCs w:val="false"/>
          <w:i w:val="false"/>
          <w:iCs w:val="false"/>
          <w:sz w:val="24"/>
          <w:szCs w:val="24"/>
        </w:rPr>
        <w:t xml:space="preserve"> for the way sound invests an image with meaning the viewer experiences as belonging to the image itself. The score does not tell an audience a moment is significant; it makes the moment feel significant, and the feeling is attributed to the event on screen. Where Bryant’s language argues that his discipline was meaningful, the music produces the experience of meaning directly, below the level at which a claim can be assessed.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Attributing these effects is less simple than it appears. Bryant did not photograph, cut or score the film; Chopra, the editors, the cinematographers and Bowers did. Yet Chopra places him in the edit suite while those decisions were settled (Chopra, 2021). The form was neither imposed on his material nor dictated by him, but negotiated in a room he had built beside his house.</w:t>
      </w:r>
    </w:p>
    <w:p>
      <w:pPr>
        <w:pStyle w:val="Heading1"/>
        <w:spacing w:after="200" w:before="360" w:line="480"/>
      </w:pPr>
      <w:r>
        <w:rPr>
          <w:rFonts w:ascii="Times New Roman" w:cs="Times New Roman" w:eastAsia="Times New Roman" w:hAnsi="Times New Roman"/>
          <w:b/>
          <w:bCs/>
          <w:i w:val="false"/>
          <w:iCs w:val="false"/>
          <w:sz w:val="24"/>
          <w:szCs w:val="24"/>
        </w:rPr>
        <w:t xml:space="preserve">5. Comparison and Synthesis</w:t>
      </w:r>
    </w:p>
    <w:p>
      <w:pPr>
        <w:pStyle w:val="Heading2"/>
        <w:spacing w:after="160" w:before="280" w:line="480"/>
      </w:pPr>
      <w:r>
        <w:rPr>
          <w:rFonts w:ascii="Times New Roman" w:cs="Times New Roman" w:eastAsia="Times New Roman" w:hAnsi="Times New Roman"/>
          <w:b/>
          <w:bCs/>
          <w:i w:val="false"/>
          <w:iCs w:val="false"/>
          <w:sz w:val="24"/>
          <w:szCs w:val="24"/>
        </w:rPr>
        <w:t xml:space="preserve">5.1 Continuities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Both text types construct the concept from the same materials. Both organise Bryant’s life around discipline, sacrifice and mastery; both prefer concrete detail, such as training times and hours of film study, to general statements, which makes an abstract disposition look documented; and both present the Mamba Mentality as an identity rather than a technique.</w:t>
      </w:r>
    </w:p>
    <w:p>
      <w:pPr>
        <w:pStyle w:val="Heading2"/>
        <w:spacing w:after="160" w:before="280" w:line="480"/>
      </w:pPr>
      <w:r>
        <w:rPr>
          <w:rFonts w:ascii="Times New Roman" w:cs="Times New Roman" w:eastAsia="Times New Roman" w:hAnsi="Times New Roman"/>
          <w:b/>
          <w:bCs/>
          <w:i w:val="false"/>
          <w:iCs w:val="false"/>
          <w:sz w:val="24"/>
          <w:szCs w:val="24"/>
        </w:rPr>
        <w:t xml:space="preserve">5.2 Divergences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divergence is one of mode. The interviews are argumentative: Bryant responds, defends, concedes and reframes, so the reasoning is visible and can be examined. A reader can notice that the Mozart analogy evades the question it answers.</w:t>
      </w:r>
    </w:p>
    <w:p>
      <w:pPr>
        <w:spacing w:after="0" w:line="480"/>
        <w:ind w:firstLine="720"/>
        <w:jc w:val="both"/>
      </w:pP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is not argumentative. Its claims are carried by sequence, image and score rather than statement, and claims delivered that way cannot be disagreed with, because they are never quite made. This is why the film produces the more coherent and less examinable version of the concept. The difference in interiority is not the one a “media flattens the person” account would predict: the press conference is the more exposed text, while the documentary’s intimacy is composed.</w:t>
      </w:r>
    </w:p>
    <w:p>
      <w:pPr>
        <w:pStyle w:val="Heading2"/>
        <w:spacing w:after="160" w:before="280" w:line="480"/>
      </w:pPr>
      <w:r>
        <w:rPr>
          <w:rFonts w:ascii="Times New Roman" w:cs="Times New Roman" w:eastAsia="Times New Roman" w:hAnsi="Times New Roman"/>
          <w:b/>
          <w:bCs/>
          <w:i w:val="false"/>
          <w:iCs w:val="false"/>
          <w:sz w:val="24"/>
          <w:szCs w:val="24"/>
        </w:rPr>
        <w:t xml:space="preserve">5.3 The Extent of Each Contribution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two text types contribute unequally and differently.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interviews are the necessary condition. The analogies, the process-over-outcome framing and the identity grammar all originate in Bryant’s speech, and without them there is no philosophy for a film to organise. Their limitation is that interview language is dispersed, existing across scattered conversations each shaped by an interviewer’s agenda, with no governing structure.</w:t>
      </w:r>
    </w:p>
    <w:p>
      <w:pPr>
        <w:spacing w:after="0" w:line="480"/>
        <w:ind w:firstLine="720"/>
        <w:jc w:val="both"/>
      </w:pPr>
      <w:r>
        <w:rPr>
          <w:rFonts w:ascii="Times New Roman" w:cs="Times New Roman" w:eastAsia="Times New Roman" w:hAnsi="Times New Roman"/>
          <w:b w:val="false"/>
          <w:bCs w:val="false"/>
          <w:i/>
          <w:iCs/>
          <w:sz w:val="24"/>
          <w:szCs w:val="24"/>
        </w:rPr>
        <w:t xml:space="preserve">Muse</w:t>
      </w:r>
      <w:r>
        <w:rPr>
          <w:rFonts w:ascii="Times New Roman" w:cs="Times New Roman" w:eastAsia="Times New Roman" w:hAnsi="Times New Roman"/>
          <w:b w:val="false"/>
          <w:bCs w:val="false"/>
          <w:i w:val="false"/>
          <w:iCs w:val="false"/>
          <w:sz w:val="24"/>
          <w:szCs w:val="24"/>
        </w:rPr>
        <w:t xml:space="preserve"> supplies that structure. It adds little propositional content the interviews do not already contain; what it adds is coherence, emotional force and the appearance of necessity. The timing supports this. The </w:t>
      </w:r>
      <w:r>
        <w:rPr>
          <w:rFonts w:ascii="Times New Roman" w:cs="Times New Roman" w:eastAsia="Times New Roman" w:hAnsi="Times New Roman"/>
          <w:b w:val="false"/>
          <w:bCs w:val="false"/>
          <w:i/>
          <w:iCs/>
          <w:sz w:val="24"/>
          <w:szCs w:val="24"/>
        </w:rPr>
        <w:t xml:space="preserve">GQ</w:t>
      </w:r>
      <w:r>
        <w:rPr>
          <w:rFonts w:ascii="Times New Roman" w:cs="Times New Roman" w:eastAsia="Times New Roman" w:hAnsi="Times New Roman"/>
          <w:b w:val="false"/>
          <w:bCs w:val="false"/>
          <w:i w:val="false"/>
          <w:iCs w:val="false"/>
          <w:sz w:val="24"/>
          <w:szCs w:val="24"/>
        </w:rPr>
        <w:t xml:space="preserve"> profile appeared on 17 February 2015, Bryant discussed the forthcoming documentary on </w:t>
      </w:r>
      <w:r>
        <w:rPr>
          <w:rFonts w:ascii="Times New Roman" w:cs="Times New Roman" w:eastAsia="Times New Roman" w:hAnsi="Times New Roman"/>
          <w:b w:val="false"/>
          <w:bCs w:val="false"/>
          <w:i/>
          <w:iCs/>
          <w:sz w:val="24"/>
          <w:szCs w:val="24"/>
        </w:rPr>
        <w:t xml:space="preserve">Jimmy Kimmel Live!</w:t>
      </w:r>
      <w:r>
        <w:rPr>
          <w:rFonts w:ascii="Times New Roman" w:cs="Times New Roman" w:eastAsia="Times New Roman" w:hAnsi="Times New Roman"/>
          <w:b w:val="false"/>
          <w:bCs w:val="false"/>
          <w:i w:val="false"/>
          <w:iCs w:val="false"/>
          <w:sz w:val="24"/>
          <w:szCs w:val="24"/>
        </w:rPr>
        <w:t xml:space="preserve"> on 23 February, and the premiere followed on 28 February. Three appearances inside eleven days indicate coordinated elements of a single release rather than independent texts.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Two qualifications limit the claim. First, the executive-producer credit does not by itself establish authorial control: it was publicly described as honorary, while Bryant’s own account and Chopra’s both indicate substantial involvement. Second, textual analysis can establish what these texts do; it cannot establish how audiences received them, and that limit is why this essay confines itself to construction rather than reception.</w:t>
      </w:r>
    </w:p>
    <w:p>
      <w:pPr>
        <w:pStyle w:val="Heading1"/>
        <w:spacing w:after="200" w:before="360" w:line="480"/>
      </w:pPr>
      <w:r>
        <w:rPr>
          <w:rFonts w:ascii="Times New Roman" w:cs="Times New Roman" w:eastAsia="Times New Roman" w:hAnsi="Times New Roman"/>
          <w:b/>
          <w:bCs/>
          <w:i w:val="false"/>
          <w:iCs w:val="false"/>
          <w:sz w:val="24"/>
          <w:szCs w:val="24"/>
        </w:rPr>
        <w:t xml:space="preserve">6. Conclusion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Within those limits the research question can be answered directly: both text types contribute extensively to constructing the “Mamba Mentality”, but they contribute different things, and the opposition between self-representation and media representation does not survive the analysis.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interviews supply what the concept consists of. Bryant builds it in language: analogies borrowed from outside sport lift the philosophy clear of basketball; criticisms conceded and returned as category errors make the identity appear earned rather than asserted; in the Grantland conversation an act of editorial control is delivered in the register of a maxim, absorbing authorship into the philosophy; and in explaining his retirement he chooses “want” over “can”, locating the end of his career in desire rather than the body.</w:t>
      </w:r>
    </w:p>
    <w:p>
      <w:pPr>
        <w:spacing w:after="0" w:line="480"/>
        <w:ind w:firstLine="720"/>
        <w:jc w:val="both"/>
      </w:pPr>
      <w:r>
        <w:rPr>
          <w:rFonts w:ascii="Times New Roman" w:cs="Times New Roman" w:eastAsia="Times New Roman" w:hAnsi="Times New Roman"/>
          <w:b w:val="false"/>
          <w:bCs w:val="false"/>
          <w:i/>
          <w:iCs/>
          <w:sz w:val="24"/>
          <w:szCs w:val="24"/>
        </w:rPr>
        <w:t xml:space="preserve">Kobe Bryant’s Muse</w:t>
      </w:r>
      <w:r>
        <w:rPr>
          <w:rFonts w:ascii="Times New Roman" w:cs="Times New Roman" w:eastAsia="Times New Roman" w:hAnsi="Times New Roman"/>
          <w:b w:val="false"/>
          <w:bCs w:val="false"/>
          <w:i w:val="false"/>
          <w:iCs w:val="false"/>
          <w:sz w:val="24"/>
          <w:szCs w:val="24"/>
        </w:rPr>
        <w:t xml:space="preserve"> supplies the form in which that self-definition becomes durable. Because Bryant held a production credit, rejected a first version built on other people’s testimony, and is the film’s only interviewee, it cannot be read as an outside portrayal set against his own account. It is his account, extended into another medium, but it is not therefore unmediated. Archival montage lends the authority of record to a claim about origins, observational footage of the shoulder diagnosis shows the concept being tested rather than recalled, associative chronology and monochrome make contingency look like essence, and Bowers’s score produces an experience of significance attributed to the events themselves. Bryant executed none of these operations, even if he sat in the room while they were decided.</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Mamba Mentality is therefore best described as a collaboratively mediated self-portrait: largely Bryant’s in content, substantially the filmmakers’ in form, and belonging wholly to neither. Its durability follows from that division of labour. Bryant gave the concept something to say; the documentary gave it a shape in which saying was no longer necessary.</w:t>
      </w:r>
    </w:p>
    <w:p>
      <w:pPr>
        <w:pStyle w:val="Heading1"/>
        <w:pageBreakBefore/>
        <w:spacing w:after="200" w:before="360" w:line="480"/>
      </w:pPr>
      <w:r>
        <w:rPr>
          <w:rFonts w:ascii="Times New Roman" w:cs="Times New Roman" w:eastAsia="Times New Roman" w:hAnsi="Times New Roman"/>
          <w:b/>
          <w:bCs/>
          <w:i w:val="false"/>
          <w:iCs w:val="false"/>
          <w:sz w:val="24"/>
          <w:szCs w:val="24"/>
        </w:rPr>
        <w:t xml:space="preserve">7. References</w:t>
      </w:r>
    </w:p>
    <w:p>
      <w:pPr>
        <w:pStyle w:val="Heading2"/>
        <w:spacing w:after="160" w:before="280" w:line="480"/>
      </w:pPr>
      <w:r>
        <w:rPr>
          <w:rFonts w:ascii="Times New Roman" w:cs="Times New Roman" w:eastAsia="Times New Roman" w:hAnsi="Times New Roman"/>
          <w:b/>
          <w:bCs/>
          <w:i w:val="false"/>
          <w:iCs w:val="false"/>
          <w:sz w:val="24"/>
          <w:szCs w:val="24"/>
        </w:rPr>
        <w:t xml:space="preserve">Primary Sources</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Bryant, K. (2015, November 29). Dear basketball. The Players’ Tribune. https://www.theplayerstribune.com/articles/dear-basketball</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Bryant, K., &amp; Bernstein, A. D. (2018). The mamba mentality: How I play. MCD/Farrar, Straus and Giroux.</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Chopra, G. (Director). (2015). Kobe Bryant’s muse [Film]. Showtime Networks.</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Jimmy Kimmel Live! (2015, February 23). Season 13, Episode 28 [TV series episode]. ABC.</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The Grantland Basketball Hour. (2015, February). Episode with Kobe Bryant, Bill Simmons and Jalen Rose [Television programme]. Grantland/ESPN. [Archived as a podcast by The Ringer. Quotations below are taken from the Yahoo Finance report listed under Reported Accounts; cite the recording directly if you can access it.]</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Klosterman, C. (2015, February 17). Kobe Bryant will always be an all-star of talking [Interview with K. Bryant]. GQ. [VERIFY exact headline, online date and print-issue date against GQ, and check each quotation against the original text.]</w:t>
      </w:r>
    </w:p>
    <w:p>
      <w:pPr>
        <w:pStyle w:val="Heading2"/>
        <w:spacing w:after="160" w:before="280" w:line="480"/>
      </w:pPr>
      <w:r>
        <w:rPr>
          <w:rFonts w:ascii="Times New Roman" w:cs="Times New Roman" w:eastAsia="Times New Roman" w:hAnsi="Times New Roman"/>
          <w:b/>
          <w:bCs/>
          <w:i w:val="false"/>
          <w:iCs w:val="false"/>
          <w:sz w:val="24"/>
          <w:szCs w:val="24"/>
        </w:rPr>
        <w:t xml:space="preserve">Reported Accounts of Primary Events</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CNBC. (2018, September 14). Retired NBA star Kobe Bryant still wakes up at 4 a.m. every day to work out [Report of Bryant’s remarks on The School of Greatness podcast]. https://www.cnbc.com/2018/09/14/kobe-bryant-still-wakes-up-at-4-am-every-day-to-work-out.html [VERIFY byline.]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CNN. (2015, November 30). Kobe Bryant: NBA great to retire at end of season [Report of the 29 November 2015 press conference]. https://www.cnn.com/2015/11/30/sport/kobe-bryant-la-lakers-retirement/index.html [VERIFY byline.]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Deadline. (2014, July). Kobe Bryant says Showtime’s “Kobe Bryant’s Muse” came out of Nike campaign [Report of Showtime’s Television Critics Association panel]. https://deadline.com/2014/07/tca-kobe-bryant-says-showtimes-kobe-bryants-muse-came-out-of-nike-campaign-mulling-806378/ [VERIFY byline and exact date.]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Yahoo Finance. (2015, March). Kobe Bryant scrapped his original documentary and started from scratch [Report of Bryant’s remarks on The Grantland Basketball Hour, February 2015]. https://finance.yahoo.com/news/kobe-bryant-scrapped-original-documentary-165426263.html [VERIFY byline and exact date. The underlying source is the broadcast itself, archived by The Ringer; cite that directly if you can access it.]</w:t>
      </w:r>
    </w:p>
    <w:p>
      <w:pPr>
        <w:pStyle w:val="Heading2"/>
        <w:spacing w:after="160" w:before="280" w:line="480"/>
      </w:pPr>
      <w:r>
        <w:rPr>
          <w:rFonts w:ascii="Times New Roman" w:cs="Times New Roman" w:eastAsia="Times New Roman" w:hAnsi="Times New Roman"/>
          <w:b/>
          <w:bCs/>
          <w:i w:val="false"/>
          <w:iCs w:val="false"/>
          <w:sz w:val="24"/>
          <w:szCs w:val="24"/>
        </w:rPr>
        <w:t xml:space="preserve">Secondary Sources</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Barthes, R. (1972). Mythologies (A. Lavers, Trans.). Hill and Wang. (Original work published 1957)</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Chion, M. (1994). Audio-vision: Sound on screen (C. Gorbman, Ed. &amp; Trans.). Columbia University Press.</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Chopra, G. (2021). What Kobe Bryant taught me. Religion of Sports. https://religionofsports.substack.com/p/what-kobe-bryant-taught-me [VERIFY exact publication date.]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Dyer, R. (1998). Stars (New ed., with a supplementary chapter by P. McDonald). British Film Institute. (Original work published 1979)</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Hall, S. (Ed.). (1997). Representation: Cultural representations and signifying practices. Sage.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Lowry, B. (2015, February 26). TV review: “Kobe Bryant’s Muse.” Variety. https://variety.com/2015/tv/reviews/tv-review-kobe-bryants-muse-1201432799/ [VERIFY exact publication date.]</w:t>
      </w:r>
    </w:p>
    <w:p>
      <w:pPr>
        <w:spacing w:after="0" w:line="480"/>
        <w:ind w:left="720" w:hanging="720"/>
      </w:pPr>
      <w:r>
        <w:rPr>
          <w:rFonts w:ascii="Times New Roman" w:cs="Times New Roman" w:eastAsia="Times New Roman" w:hAnsi="Times New Roman"/>
          <w:b w:val="false"/>
          <w:bCs w:val="false"/>
          <w:i w:val="false"/>
          <w:iCs w:val="false"/>
          <w:sz w:val="24"/>
          <w:szCs w:val="24"/>
        </w:rPr>
        <w:t xml:space="preserve">Nichols, B. (2001). Introduction to documentary. Indiana University Press.</w:t>
      </w:r>
    </w:p>
    <w:sectPr>
      <w:footerReference w:type="default" r:id="rId7"/>
      <w:type w:val="continuous"/>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48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280" w:line="480"/>
    </w:pPr>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2026-10-14T06:03:32.549Z</dcterms:created>
  <dcterms:modified xsi:type="dcterms:W3CDTF">2026-10-14T06:03:32.549Z</dcterms:modified>
</cp:coreProperties>
</file>

<file path=docProps/custom.xml><?xml version="1.0" encoding="utf-8"?>
<Properties xmlns="http://schemas.openxmlformats.org/officeDocument/2006/custom-properties" xmlns:vt="http://schemas.openxmlformats.org/officeDocument/2006/docPropsVTypes"/>
</file>