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36"/>
          <w:szCs w:val="36"/>
        </w:rPr>
        <w:t xml:space="preserve">ENVIRONMENTAL SYSTEMS AND SOCIETIES</w:t>
      </w:r>
    </w:p>
    <w:p>
      <w:pPr>
        <w:spacing w:after="1000" w:before="0"/>
        <w:jc w:val="center"/>
      </w:pPr>
      <w:r>
        <w:rPr>
          <w:rFonts w:ascii="Arial" w:cs="Arial" w:eastAsia="Arial" w:hAnsi="Arial"/>
          <w:b/>
          <w:bCs/>
          <w:sz w:val="32"/>
          <w:szCs w:val="32"/>
        </w:rPr>
        <w:t xml:space="preserve">INTERNAL ASSESSMENT</w:t>
      </w:r>
    </w:p>
    <w:p>
      <w:pPr>
        <w:spacing w:after="120" w:before="0"/>
        <w:jc w:val="center"/>
      </w:pPr>
      <w:r>
        <w:rPr>
          <w:rFonts w:ascii="Arial" w:cs="Arial" w:eastAsia="Arial" w:hAnsi="Arial"/>
          <w:b/>
          <w:bCs/>
          <w:sz w:val="24"/>
          <w:szCs w:val="24"/>
        </w:rPr>
        <w:t xml:space="preserve">Research Question:</w:t>
      </w:r>
    </w:p>
    <w:p>
      <w:pPr>
        <w:spacing w:after="1400" w:before="0"/>
        <w:jc w:val="center"/>
      </w:pPr>
      <w:r>
        <w:rPr>
          <w:rFonts w:ascii="Arial" w:cs="Arial" w:eastAsia="Arial" w:hAnsi="Arial"/>
          <w:i/>
          <w:iCs/>
          <w:sz w:val="26"/>
          <w:szCs w:val="26"/>
        </w:rPr>
        <w:t xml:space="preserve">“To what extent is annual tree-cover loss associated with annual CO</w:t>
      </w:r>
      <w:r>
        <w:rPr>
          <w:rFonts w:ascii="Arial" w:cs="Arial" w:eastAsia="Arial" w:hAnsi="Arial"/>
          <w:i/>
          <w:iCs/>
          <w:sz w:val="26"/>
          <w:szCs w:val="26"/>
          <w:vertAlign w:val="subscript"/>
        </w:rPr>
        <w:t xml:space="preserve">2</w:t>
      </w:r>
      <w:r>
        <w:rPr>
          <w:rFonts w:ascii="Arial" w:cs="Arial" w:eastAsia="Arial" w:hAnsi="Arial"/>
          <w:i/>
          <w:iCs/>
          <w:sz w:val="26"/>
          <w:szCs w:val="26"/>
        </w:rPr>
        <w:t xml:space="preserve"> emissions in Cameroon from 2001 to 2024?”</w:t>
      </w:r>
    </w:p>
    <w:p>
      <w:pPr>
        <w:spacing w:after="200" w:before="0"/>
        <w:jc w:val="center"/>
      </w:pPr>
      <w:r>
        <w:rPr>
          <w:rFonts w:ascii="Arial" w:cs="Arial" w:eastAsia="Arial" w:hAnsi="Arial"/>
          <w:b/>
          <w:bCs/>
          <w:sz w:val="24"/>
          <w:szCs w:val="24"/>
        </w:rPr>
        <w:t xml:space="preserve">Candidate:</w:t>
      </w:r>
      <w:r>
        <w:rPr>
          <w:rFonts w:ascii="Arial" w:cs="Arial" w:eastAsia="Arial" w:hAnsi="Arial"/>
          <w:sz w:val="24"/>
          <w:szCs w:val="24"/>
        </w:rPr>
        <w:t xml:space="preserve"> [MY NAME]</w:t>
      </w:r>
    </w:p>
    <w:p>
      <w:pPr>
        <w:spacing w:after="200" w:before="0"/>
        <w:jc w:val="center"/>
      </w:pPr>
      <w:r>
        <w:rPr>
          <w:rFonts w:ascii="Arial" w:cs="Arial" w:eastAsia="Arial" w:hAnsi="Arial"/>
          <w:b/>
          <w:bCs/>
          <w:sz w:val="24"/>
          <w:szCs w:val="24"/>
        </w:rPr>
        <w:t xml:space="preserve">Candidate Number:</w:t>
      </w:r>
      <w:r>
        <w:rPr>
          <w:rFonts w:ascii="Arial" w:cs="Arial" w:eastAsia="Arial" w:hAnsi="Arial"/>
          <w:sz w:val="24"/>
          <w:szCs w:val="24"/>
        </w:rPr>
        <w:t xml:space="preserve"> [MY CANDIDATE NUMBER]</w:t>
      </w:r>
    </w:p>
    <w:p>
      <w:pPr>
        <w:spacing w:after="200" w:before="0"/>
        <w:jc w:val="center"/>
      </w:pPr>
      <w:r>
        <w:rPr>
          <w:rFonts w:ascii="Arial" w:cs="Arial" w:eastAsia="Arial" w:hAnsi="Arial"/>
          <w:b/>
          <w:bCs/>
          <w:sz w:val="24"/>
          <w:szCs w:val="24"/>
        </w:rPr>
        <w:t xml:space="preserve">School:</w:t>
      </w:r>
      <w:r>
        <w:rPr>
          <w:rFonts w:ascii="Arial" w:cs="Arial" w:eastAsia="Arial" w:hAnsi="Arial"/>
          <w:sz w:val="24"/>
          <w:szCs w:val="24"/>
        </w:rPr>
        <w:t xml:space="preserve"> [MY SCHOOL]</w:t>
      </w:r>
    </w:p>
    <w:p>
      <w:pPr>
        <w:spacing w:after="200" w:before="0"/>
        <w:jc w:val="center"/>
      </w:pPr>
      <w:r>
        <w:rPr>
          <w:rFonts w:ascii="Arial" w:cs="Arial" w:eastAsia="Arial" w:hAnsi="Arial"/>
          <w:b/>
          <w:bCs/>
          <w:sz w:val="24"/>
          <w:szCs w:val="24"/>
        </w:rPr>
        <w:t xml:space="preserve">Examination Session:</w:t>
      </w:r>
      <w:r>
        <w:rPr>
          <w:rFonts w:ascii="Arial" w:cs="Arial" w:eastAsia="Arial" w:hAnsi="Arial"/>
          <w:sz w:val="24"/>
          <w:szCs w:val="24"/>
        </w:rPr>
        <w:t xml:space="preserve"> [MY EXAMINATION SESSION]</w:t>
      </w:r>
    </w:p>
    <w:p>
      <w:r>
        <w:br w:type="page"/>
      </w:r>
    </w:p>
    <w:p>
      <w:pPr>
        <w:spacing w:after="240"/>
      </w:pPr>
      <w:r>
        <w:rPr>
          <w:rFonts w:ascii="Arial" w:cs="Arial" w:eastAsia="Arial" w:hAnsi="Arial"/>
          <w:b/>
          <w:bCs/>
          <w:sz w:val="28"/>
          <w:szCs w:val="28"/>
        </w:rPr>
        <w:t xml:space="preserve">TABLE OF CONTENTS</w:t>
      </w:r>
    </w:p>
    <w:p>
      <w:pPr>
        <w:pStyle w:val="TOC1"/>
        <w:tabs>
          <w:tab w:val="right" w:pos="9026" w:leader="dot"/>
        </w:tabs>
      </w:pPr>
      <w:r>
        <w:fldChar w:fldCharType="begin"/>
      </w:r>
      <w:r>
        <w:instrText xml:space="preserve"> TOC \o "1-2" \h \z \u </w:instrText>
      </w:r>
      <w:r>
        <w:fldChar w:fldCharType="separate"/>
      </w:r>
      <w:hyperlink w:history="1" w:anchor="_Toc_01">
        <w:r>
          <w:rPr>
            <w:rFonts w:ascii="Arial" w:cs="Arial" w:eastAsia="Arial" w:hAnsi="Arial"/>
            <w:b/>
            <w:bCs/>
          </w:rPr>
          <w:t xml:space="preserve">1. Introduction and context</w:t>
        </w:r>
        <w:r>
          <w:rPr>
            <w:rFonts w:ascii="Arial" w:cs="Arial" w:eastAsia="Arial" w:hAnsi="Arial"/>
            <w:b/>
            <w:bCs/>
          </w:rPr>
          <w:tab/>
          <w:t xml:space="preserve">3</w:t>
        </w:r>
      </w:hyperlink>
    </w:p>
    <w:p>
      <w:pPr>
        <w:pStyle w:val="TOC2"/>
        <w:tabs>
          <w:tab w:val="right" w:pos="9026" w:leader="dot"/>
        </w:tabs>
      </w:pPr>
      <w:hyperlink w:history="1" w:anchor="_Toc_02">
        <w:r>
          <w:rPr>
            <w:rFonts w:ascii="Arial" w:cs="Arial" w:eastAsia="Arial" w:hAnsi="Arial"/>
          </w:rPr>
          <w:t xml:space="preserve">1.1 Forests in the carbon cycle</w:t>
        </w:r>
        <w:r>
          <w:rPr>
            <w:rFonts w:ascii="Arial" w:cs="Arial" w:eastAsia="Arial" w:hAnsi="Arial"/>
          </w:rPr>
          <w:tab/>
          <w:t xml:space="preserve">3</w:t>
        </w:r>
      </w:hyperlink>
    </w:p>
    <w:p>
      <w:pPr>
        <w:pStyle w:val="TOC2"/>
        <w:tabs>
          <w:tab w:val="right" w:pos="9026" w:leader="dot"/>
        </w:tabs>
      </w:pPr>
      <w:hyperlink w:history="1" w:anchor="_Toc_03">
        <w:r>
          <w:rPr>
            <w:rFonts w:ascii="Arial" w:cs="Arial" w:eastAsia="Arial" w:hAnsi="Arial"/>
          </w:rPr>
          <w:t xml:space="preserve">1.2 Cameroon’s forests and emissions</w:t>
        </w:r>
        <w:r>
          <w:rPr>
            <w:rFonts w:ascii="Arial" w:cs="Arial" w:eastAsia="Arial" w:hAnsi="Arial"/>
          </w:rPr>
          <w:tab/>
          <w:t xml:space="preserve">3</w:t>
        </w:r>
      </w:hyperlink>
    </w:p>
    <w:p>
      <w:pPr>
        <w:pStyle w:val="TOC2"/>
        <w:tabs>
          <w:tab w:val="right" w:pos="9026" w:leader="dot"/>
        </w:tabs>
      </w:pPr>
      <w:hyperlink w:history="1" w:anchor="_Toc_04">
        <w:r>
          <w:rPr>
            <w:rFonts w:ascii="Arial" w:cs="Arial" w:eastAsia="Arial" w:hAnsi="Arial"/>
          </w:rPr>
          <w:t xml:space="preserve">1.3 Existing strategy: REDD+ and competing perspectives</w:t>
        </w:r>
        <w:r>
          <w:rPr>
            <w:rFonts w:ascii="Arial" w:cs="Arial" w:eastAsia="Arial" w:hAnsi="Arial"/>
          </w:rPr>
          <w:tab/>
          <w:t xml:space="preserve">3</w:t>
        </w:r>
      </w:hyperlink>
    </w:p>
    <w:p>
      <w:pPr>
        <w:pStyle w:val="TOC1"/>
        <w:tabs>
          <w:tab w:val="right" w:pos="9026" w:leader="dot"/>
        </w:tabs>
      </w:pPr>
      <w:hyperlink w:history="1" w:anchor="_Toc_05">
        <w:r>
          <w:rPr>
            <w:rFonts w:ascii="Arial" w:cs="Arial" w:eastAsia="Arial" w:hAnsi="Arial"/>
            <w:b/>
            <w:bCs/>
          </w:rPr>
          <w:t xml:space="preserve">2. Scientific rationale</w:t>
        </w:r>
        <w:r>
          <w:rPr>
            <w:rFonts w:ascii="Arial" w:cs="Arial" w:eastAsia="Arial" w:hAnsi="Arial"/>
            <w:b/>
            <w:bCs/>
          </w:rPr>
          <w:tab/>
          <w:t xml:space="preserve">4</w:t>
        </w:r>
      </w:hyperlink>
    </w:p>
    <w:p>
      <w:pPr>
        <w:pStyle w:val="TOC1"/>
        <w:tabs>
          <w:tab w:val="right" w:pos="9026" w:leader="dot"/>
        </w:tabs>
      </w:pPr>
      <w:hyperlink w:history="1" w:anchor="_Toc_06">
        <w:r>
          <w:rPr>
            <w:rFonts w:ascii="Arial" w:cs="Arial" w:eastAsia="Arial" w:hAnsi="Arial"/>
            <w:b/>
            <w:bCs/>
          </w:rPr>
          <w:t xml:space="preserve">3. Research question</w:t>
        </w:r>
        <w:r>
          <w:rPr>
            <w:rFonts w:ascii="Arial" w:cs="Arial" w:eastAsia="Arial" w:hAnsi="Arial"/>
            <w:b/>
            <w:bCs/>
          </w:rPr>
          <w:tab/>
          <w:t xml:space="preserve">4</w:t>
        </w:r>
      </w:hyperlink>
    </w:p>
    <w:p>
      <w:pPr>
        <w:pStyle w:val="TOC2"/>
        <w:tabs>
          <w:tab w:val="right" w:pos="9026" w:leader="dot"/>
        </w:tabs>
      </w:pPr>
      <w:hyperlink w:history="1" w:anchor="_Toc_07">
        <w:r>
          <w:rPr>
            <w:rFonts w:ascii="Arial" w:cs="Arial" w:eastAsia="Arial" w:hAnsi="Arial"/>
          </w:rPr>
          <w:t xml:space="preserve">3.1 Research question and definitions</w:t>
        </w:r>
        <w:r>
          <w:rPr>
            <w:rFonts w:ascii="Arial" w:cs="Arial" w:eastAsia="Arial" w:hAnsi="Arial"/>
          </w:rPr>
          <w:tab/>
          <w:t xml:space="preserve">4</w:t>
        </w:r>
      </w:hyperlink>
    </w:p>
    <w:p>
      <w:pPr>
        <w:pStyle w:val="TOC2"/>
        <w:tabs>
          <w:tab w:val="right" w:pos="9026" w:leader="dot"/>
        </w:tabs>
      </w:pPr>
      <w:hyperlink w:history="1" w:anchor="_Toc_08">
        <w:r>
          <w:rPr>
            <w:rFonts w:ascii="Arial" w:cs="Arial" w:eastAsia="Arial" w:hAnsi="Arial"/>
          </w:rPr>
          <w:t xml:space="preserve">3.2 Variables</w:t>
        </w:r>
        <w:r>
          <w:rPr>
            <w:rFonts w:ascii="Arial" w:cs="Arial" w:eastAsia="Arial" w:hAnsi="Arial"/>
          </w:rPr>
          <w:tab/>
          <w:t xml:space="preserve">4</w:t>
        </w:r>
      </w:hyperlink>
    </w:p>
    <w:p>
      <w:pPr>
        <w:pStyle w:val="TOC2"/>
        <w:tabs>
          <w:tab w:val="right" w:pos="9026" w:leader="dot"/>
        </w:tabs>
      </w:pPr>
      <w:hyperlink w:history="1" w:anchor="_Toc_09">
        <w:r>
          <w:rPr>
            <w:rFonts w:ascii="Arial" w:cs="Arial" w:eastAsia="Arial" w:hAnsi="Arial"/>
          </w:rPr>
          <w:t xml:space="preserve">3.3 Hypotheses</w:t>
        </w:r>
        <w:r>
          <w:rPr>
            <w:rFonts w:ascii="Arial" w:cs="Arial" w:eastAsia="Arial" w:hAnsi="Arial"/>
          </w:rPr>
          <w:tab/>
          <w:t xml:space="preserve">4</w:t>
        </w:r>
      </w:hyperlink>
    </w:p>
    <w:p>
      <w:pPr>
        <w:pStyle w:val="TOC1"/>
        <w:tabs>
          <w:tab w:val="right" w:pos="9026" w:leader="dot"/>
        </w:tabs>
      </w:pPr>
      <w:hyperlink w:history="1" w:anchor="_Toc_10">
        <w:r>
          <w:rPr>
            <w:rFonts w:ascii="Arial" w:cs="Arial" w:eastAsia="Arial" w:hAnsi="Arial"/>
            <w:b/>
            <w:bCs/>
          </w:rPr>
          <w:t xml:space="preserve">4. Methodology: secondary data collection</w:t>
        </w:r>
        <w:r>
          <w:rPr>
            <w:rFonts w:ascii="Arial" w:cs="Arial" w:eastAsia="Arial" w:hAnsi="Arial"/>
            <w:b/>
            <w:bCs/>
          </w:rPr>
          <w:tab/>
          <w:t xml:space="preserve">5</w:t>
        </w:r>
      </w:hyperlink>
    </w:p>
    <w:p>
      <w:pPr>
        <w:pStyle w:val="TOC2"/>
        <w:tabs>
          <w:tab w:val="right" w:pos="9026" w:leader="dot"/>
        </w:tabs>
      </w:pPr>
      <w:hyperlink w:history="1" w:anchor="_Toc_11">
        <w:r>
          <w:rPr>
            <w:rFonts w:ascii="Arial" w:cs="Arial" w:eastAsia="Arial" w:hAnsi="Arial"/>
          </w:rPr>
          <w:t xml:space="preserve">4.1 Selection of sources</w:t>
        </w:r>
        <w:r>
          <w:rPr>
            <w:rFonts w:ascii="Arial" w:cs="Arial" w:eastAsia="Arial" w:hAnsi="Arial"/>
          </w:rPr>
          <w:tab/>
          <w:t xml:space="preserve">5</w:t>
        </w:r>
      </w:hyperlink>
    </w:p>
    <w:p>
      <w:pPr>
        <w:pStyle w:val="TOC2"/>
        <w:tabs>
          <w:tab w:val="right" w:pos="9026" w:leader="dot"/>
        </w:tabs>
      </w:pPr>
      <w:hyperlink w:history="1" w:anchor="_Toc_12">
        <w:r>
          <w:rPr>
            <w:rFonts w:ascii="Arial" w:cs="Arial" w:eastAsia="Arial" w:hAnsi="Arial"/>
          </w:rPr>
          <w:t xml:space="preserve">4.2 Dataset verification</w:t>
        </w:r>
        <w:r>
          <w:rPr>
            <w:rFonts w:ascii="Arial" w:cs="Arial" w:eastAsia="Arial" w:hAnsi="Arial"/>
          </w:rPr>
          <w:tab/>
          <w:t xml:space="preserve">5</w:t>
        </w:r>
      </w:hyperlink>
    </w:p>
    <w:p>
      <w:pPr>
        <w:pStyle w:val="TOC2"/>
        <w:tabs>
          <w:tab w:val="right" w:pos="9026" w:leader="dot"/>
        </w:tabs>
      </w:pPr>
      <w:hyperlink w:history="1" w:anchor="_Toc_13">
        <w:r>
          <w:rPr>
            <w:rFonts w:ascii="Arial" w:cs="Arial" w:eastAsia="Arial" w:hAnsi="Arial"/>
          </w:rPr>
          <w:t xml:space="preserve">4.3 Extraction, matching and organisation</w:t>
        </w:r>
        <w:r>
          <w:rPr>
            <w:rFonts w:ascii="Arial" w:cs="Arial" w:eastAsia="Arial" w:hAnsi="Arial"/>
          </w:rPr>
          <w:tab/>
          <w:t xml:space="preserve">5</w:t>
        </w:r>
      </w:hyperlink>
    </w:p>
    <w:p>
      <w:pPr>
        <w:pStyle w:val="TOC2"/>
        <w:tabs>
          <w:tab w:val="right" w:pos="9026" w:leader="dot"/>
        </w:tabs>
      </w:pPr>
      <w:hyperlink w:history="1" w:anchor="_Toc_14">
        <w:r>
          <w:rPr>
            <w:rFonts w:ascii="Arial" w:cs="Arial" w:eastAsia="Arial" w:hAnsi="Arial"/>
          </w:rPr>
          <w:t xml:space="preserve">4.4 Statistical methods</w:t>
        </w:r>
        <w:r>
          <w:rPr>
            <w:rFonts w:ascii="Arial" w:cs="Arial" w:eastAsia="Arial" w:hAnsi="Arial"/>
          </w:rPr>
          <w:tab/>
          <w:t xml:space="preserve">6</w:t>
        </w:r>
      </w:hyperlink>
    </w:p>
    <w:p>
      <w:pPr>
        <w:pStyle w:val="TOC2"/>
        <w:tabs>
          <w:tab w:val="right" w:pos="9026" w:leader="dot"/>
        </w:tabs>
      </w:pPr>
      <w:hyperlink w:history="1" w:anchor="_Toc_15">
        <w:r>
          <w:rPr>
            <w:rFonts w:ascii="Arial" w:cs="Arial" w:eastAsia="Arial" w:hAnsi="Arial"/>
          </w:rPr>
          <w:t xml:space="preserve">4.5 Reliability, validity and ethics</w:t>
        </w:r>
        <w:r>
          <w:rPr>
            <w:rFonts w:ascii="Arial" w:cs="Arial" w:eastAsia="Arial" w:hAnsi="Arial"/>
          </w:rPr>
          <w:tab/>
          <w:t xml:space="preserve">6</w:t>
        </w:r>
      </w:hyperlink>
    </w:p>
    <w:p>
      <w:pPr>
        <w:pStyle w:val="TOC1"/>
        <w:tabs>
          <w:tab w:val="right" w:pos="9026" w:leader="dot"/>
        </w:tabs>
      </w:pPr>
      <w:hyperlink w:history="1" w:anchor="_Toc_16">
        <w:r>
          <w:rPr>
            <w:rFonts w:ascii="Arial" w:cs="Arial" w:eastAsia="Arial" w:hAnsi="Arial"/>
            <w:b/>
            <w:bCs/>
          </w:rPr>
          <w:t xml:space="preserve">5. Data presentation and processing</w:t>
        </w:r>
        <w:r>
          <w:rPr>
            <w:rFonts w:ascii="Arial" w:cs="Arial" w:eastAsia="Arial" w:hAnsi="Arial"/>
            <w:b/>
            <w:bCs/>
          </w:rPr>
          <w:tab/>
          <w:t xml:space="preserve">6</w:t>
        </w:r>
      </w:hyperlink>
    </w:p>
    <w:p>
      <w:pPr>
        <w:pStyle w:val="TOC2"/>
        <w:tabs>
          <w:tab w:val="right" w:pos="9026" w:leader="dot"/>
        </w:tabs>
      </w:pPr>
      <w:hyperlink w:history="1" w:anchor="_Toc_17">
        <w:r>
          <w:rPr>
            <w:rFonts w:ascii="Arial" w:cs="Arial" w:eastAsia="Arial" w:hAnsi="Arial"/>
          </w:rPr>
          <w:t xml:space="preserve">5.1 Raw data</w:t>
        </w:r>
        <w:r>
          <w:rPr>
            <w:rFonts w:ascii="Arial" w:cs="Arial" w:eastAsia="Arial" w:hAnsi="Arial"/>
          </w:rPr>
          <w:tab/>
          <w:t xml:space="preserve">6</w:t>
        </w:r>
      </w:hyperlink>
    </w:p>
    <w:p>
      <w:pPr>
        <w:pStyle w:val="TOC2"/>
        <w:tabs>
          <w:tab w:val="right" w:pos="9026" w:leader="dot"/>
        </w:tabs>
      </w:pPr>
      <w:hyperlink w:history="1" w:anchor="_Toc_18">
        <w:r>
          <w:rPr>
            <w:rFonts w:ascii="Arial" w:cs="Arial" w:eastAsia="Arial" w:hAnsi="Arial"/>
          </w:rPr>
          <w:t xml:space="preserve">5.2 Processed data: descriptive statistics</w:t>
        </w:r>
        <w:r>
          <w:rPr>
            <w:rFonts w:ascii="Arial" w:cs="Arial" w:eastAsia="Arial" w:hAnsi="Arial"/>
          </w:rPr>
          <w:tab/>
          <w:t xml:space="preserve">7</w:t>
        </w:r>
      </w:hyperlink>
    </w:p>
    <w:p>
      <w:pPr>
        <w:pStyle w:val="TOC2"/>
        <w:tabs>
          <w:tab w:val="right" w:pos="9026" w:leader="dot"/>
        </w:tabs>
      </w:pPr>
      <w:hyperlink w:history="1" w:anchor="_Toc_19">
        <w:r>
          <w:rPr>
            <w:rFonts w:ascii="Arial" w:cs="Arial" w:eastAsia="Arial" w:hAnsi="Arial"/>
          </w:rPr>
          <w:t xml:space="preserve">5.3 Trends over time</w:t>
        </w:r>
        <w:r>
          <w:rPr>
            <w:rFonts w:ascii="Arial" w:cs="Arial" w:eastAsia="Arial" w:hAnsi="Arial"/>
          </w:rPr>
          <w:tab/>
          <w:t xml:space="preserve">7</w:t>
        </w:r>
      </w:hyperlink>
    </w:p>
    <w:p>
      <w:pPr>
        <w:pStyle w:val="TOC1"/>
        <w:tabs>
          <w:tab w:val="right" w:pos="9026" w:leader="dot"/>
        </w:tabs>
      </w:pPr>
      <w:hyperlink w:history="1" w:anchor="_Toc_20">
        <w:r>
          <w:rPr>
            <w:rFonts w:ascii="Arial" w:cs="Arial" w:eastAsia="Arial" w:hAnsi="Arial"/>
            <w:b/>
            <w:bCs/>
          </w:rPr>
          <w:t xml:space="preserve">6. Statistical analysis</w:t>
        </w:r>
        <w:r>
          <w:rPr>
            <w:rFonts w:ascii="Arial" w:cs="Arial" w:eastAsia="Arial" w:hAnsi="Arial"/>
            <w:b/>
            <w:bCs/>
          </w:rPr>
          <w:tab/>
          <w:t xml:space="preserve">8</w:t>
        </w:r>
      </w:hyperlink>
    </w:p>
    <w:p>
      <w:pPr>
        <w:pStyle w:val="TOC2"/>
        <w:tabs>
          <w:tab w:val="right" w:pos="9026" w:leader="dot"/>
        </w:tabs>
      </w:pPr>
      <w:hyperlink w:history="1" w:anchor="_Toc_21">
        <w:r>
          <w:rPr>
            <w:rFonts w:ascii="Arial" w:cs="Arial" w:eastAsia="Arial" w:hAnsi="Arial"/>
          </w:rPr>
          <w:t xml:space="preserve">6.1 Normality: Shapiro–Wilk test</w:t>
        </w:r>
        <w:r>
          <w:rPr>
            <w:rFonts w:ascii="Arial" w:cs="Arial" w:eastAsia="Arial" w:hAnsi="Arial"/>
          </w:rPr>
          <w:tab/>
          <w:t xml:space="preserve">8</w:t>
        </w:r>
      </w:hyperlink>
    </w:p>
    <w:p>
      <w:pPr>
        <w:pStyle w:val="TOC2"/>
        <w:tabs>
          <w:tab w:val="right" w:pos="9026" w:leader="dot"/>
        </w:tabs>
      </w:pPr>
      <w:hyperlink w:history="1" w:anchor="_Toc_22">
        <w:r>
          <w:rPr>
            <w:rFonts w:ascii="Arial" w:cs="Arial" w:eastAsia="Arial" w:hAnsi="Arial"/>
          </w:rPr>
          <w:t xml:space="preserve">6.2 Spearman’s rank correlation (main test)</w:t>
        </w:r>
        <w:r>
          <w:rPr>
            <w:rFonts w:ascii="Arial" w:cs="Arial" w:eastAsia="Arial" w:hAnsi="Arial"/>
          </w:rPr>
          <w:tab/>
          <w:t xml:space="preserve">8</w:t>
        </w:r>
      </w:hyperlink>
    </w:p>
    <w:p>
      <w:pPr>
        <w:pStyle w:val="TOC2"/>
        <w:tabs>
          <w:tab w:val="right" w:pos="9026" w:leader="dot"/>
        </w:tabs>
      </w:pPr>
      <w:hyperlink w:history="1" w:anchor="_Toc_23">
        <w:r>
          <w:rPr>
            <w:rFonts w:ascii="Arial" w:cs="Arial" w:eastAsia="Arial" w:hAnsi="Arial"/>
          </w:rPr>
          <w:t xml:space="preserve">6.3 Scatter graph and least-squares line</w:t>
        </w:r>
        <w:r>
          <w:rPr>
            <w:rFonts w:ascii="Arial" w:cs="Arial" w:eastAsia="Arial" w:hAnsi="Arial"/>
          </w:rPr>
          <w:tab/>
          <w:t xml:space="preserve">10</w:t>
        </w:r>
      </w:hyperlink>
    </w:p>
    <w:p>
      <w:pPr>
        <w:pStyle w:val="TOC2"/>
        <w:tabs>
          <w:tab w:val="right" w:pos="9026" w:leader="dot"/>
        </w:tabs>
      </w:pPr>
      <w:hyperlink w:history="1" w:anchor="_Toc_24">
        <w:r>
          <w:rPr>
            <w:rFonts w:ascii="Arial" w:cs="Arial" w:eastAsia="Arial" w:hAnsi="Arial"/>
          </w:rPr>
          <w:t xml:space="preserve">6.4 Sensitivity tests</w:t>
        </w:r>
        <w:r>
          <w:rPr>
            <w:rFonts w:ascii="Arial" w:cs="Arial" w:eastAsia="Arial" w:hAnsi="Arial"/>
          </w:rPr>
          <w:tab/>
          <w:t xml:space="preserve">10</w:t>
        </w:r>
      </w:hyperlink>
    </w:p>
    <w:p>
      <w:pPr>
        <w:pStyle w:val="TOC2"/>
        <w:tabs>
          <w:tab w:val="right" w:pos="9026" w:leader="dot"/>
        </w:tabs>
      </w:pPr>
      <w:hyperlink w:history="1" w:anchor="_Toc_25">
        <w:r>
          <w:rPr>
            <w:rFonts w:ascii="Arial" w:cs="Arial" w:eastAsia="Arial" w:hAnsi="Arial"/>
          </w:rPr>
          <w:t xml:space="preserve">6.5 Summary of results</w:t>
        </w:r>
        <w:r>
          <w:rPr>
            <w:rFonts w:ascii="Arial" w:cs="Arial" w:eastAsia="Arial" w:hAnsi="Arial"/>
          </w:rPr>
          <w:tab/>
          <w:t xml:space="preserve">12</w:t>
        </w:r>
      </w:hyperlink>
    </w:p>
    <w:p>
      <w:pPr>
        <w:pStyle w:val="TOC1"/>
        <w:tabs>
          <w:tab w:val="right" w:pos="9026" w:leader="dot"/>
        </w:tabs>
      </w:pPr>
      <w:hyperlink w:history="1" w:anchor="_Toc_26">
        <w:r>
          <w:rPr>
            <w:rFonts w:ascii="Arial" w:cs="Arial" w:eastAsia="Arial" w:hAnsi="Arial"/>
            <w:b/>
            <w:bCs/>
          </w:rPr>
          <w:t xml:space="preserve">7. Analysis and discussion</w:t>
        </w:r>
        <w:r>
          <w:rPr>
            <w:rFonts w:ascii="Arial" w:cs="Arial" w:eastAsia="Arial" w:hAnsi="Arial"/>
            <w:b/>
            <w:bCs/>
          </w:rPr>
          <w:tab/>
          <w:t xml:space="preserve">12</w:t>
        </w:r>
      </w:hyperlink>
    </w:p>
    <w:p>
      <w:pPr>
        <w:pStyle w:val="TOC2"/>
        <w:tabs>
          <w:tab w:val="right" w:pos="9026" w:leader="dot"/>
        </w:tabs>
      </w:pPr>
      <w:hyperlink w:history="1" w:anchor="_Toc_27">
        <w:r>
          <w:rPr>
            <w:rFonts w:ascii="Arial" w:cs="Arial" w:eastAsia="Arial" w:hAnsi="Arial"/>
          </w:rPr>
          <w:t xml:space="preserve">7.1 What the data directly show</w:t>
        </w:r>
        <w:r>
          <w:rPr>
            <w:rFonts w:ascii="Arial" w:cs="Arial" w:eastAsia="Arial" w:hAnsi="Arial"/>
          </w:rPr>
          <w:tab/>
          <w:t xml:space="preserve">12</w:t>
        </w:r>
      </w:hyperlink>
    </w:p>
    <w:p>
      <w:pPr>
        <w:pStyle w:val="TOC2"/>
        <w:tabs>
          <w:tab w:val="right" w:pos="9026" w:leader="dot"/>
        </w:tabs>
      </w:pPr>
      <w:hyperlink w:history="1" w:anchor="_Toc_28">
        <w:r>
          <w:rPr>
            <w:rFonts w:ascii="Arial" w:cs="Arial" w:eastAsia="Arial" w:hAnsi="Arial"/>
          </w:rPr>
          <w:t xml:space="preserve">7.2 What can reasonably be inferred</w:t>
        </w:r>
        <w:r>
          <w:rPr>
            <w:rFonts w:ascii="Arial" w:cs="Arial" w:eastAsia="Arial" w:hAnsi="Arial"/>
          </w:rPr>
          <w:tab/>
          <w:t xml:space="preserve">12</w:t>
        </w:r>
      </w:hyperlink>
    </w:p>
    <w:p>
      <w:pPr>
        <w:pStyle w:val="TOC2"/>
        <w:tabs>
          <w:tab w:val="right" w:pos="9026" w:leader="dot"/>
        </w:tabs>
      </w:pPr>
      <w:hyperlink w:history="1" w:anchor="_Toc_29">
        <w:r>
          <w:rPr>
            <w:rFonts w:ascii="Arial" w:cs="Arial" w:eastAsia="Arial" w:hAnsi="Arial"/>
          </w:rPr>
          <w:t xml:space="preserve">7.3 What cannot be concluded</w:t>
        </w:r>
        <w:r>
          <w:rPr>
            <w:rFonts w:ascii="Arial" w:cs="Arial" w:eastAsia="Arial" w:hAnsi="Arial"/>
          </w:rPr>
          <w:tab/>
          <w:t xml:space="preserve">13</w:t>
        </w:r>
      </w:hyperlink>
    </w:p>
    <w:p>
      <w:pPr>
        <w:pStyle w:val="TOC2"/>
        <w:tabs>
          <w:tab w:val="right" w:pos="9026" w:leader="dot"/>
        </w:tabs>
      </w:pPr>
      <w:hyperlink w:history="1" w:anchor="_Toc_30">
        <w:r>
          <w:rPr>
            <w:rFonts w:ascii="Arial" w:cs="Arial" w:eastAsia="Arial" w:hAnsi="Arial"/>
          </w:rPr>
          <w:t xml:space="preserve">7.4 Links to the rationale and to REDD+</w:t>
        </w:r>
        <w:r>
          <w:rPr>
            <w:rFonts w:ascii="Arial" w:cs="Arial" w:eastAsia="Arial" w:hAnsi="Arial"/>
          </w:rPr>
          <w:tab/>
          <w:t xml:space="preserve">13</w:t>
        </w:r>
      </w:hyperlink>
    </w:p>
    <w:p>
      <w:pPr>
        <w:pStyle w:val="TOC1"/>
        <w:tabs>
          <w:tab w:val="right" w:pos="9026" w:leader="dot"/>
        </w:tabs>
      </w:pPr>
      <w:hyperlink w:history="1" w:anchor="_Toc_31">
        <w:r>
          <w:rPr>
            <w:rFonts w:ascii="Arial" w:cs="Arial" w:eastAsia="Arial" w:hAnsi="Arial"/>
            <w:b/>
            <w:bCs/>
          </w:rPr>
          <w:t xml:space="preserve">8. Conclusion</w:t>
        </w:r>
        <w:r>
          <w:rPr>
            <w:rFonts w:ascii="Arial" w:cs="Arial" w:eastAsia="Arial" w:hAnsi="Arial"/>
            <w:b/>
            <w:bCs/>
          </w:rPr>
          <w:tab/>
          <w:t xml:space="preserve">13</w:t>
        </w:r>
      </w:hyperlink>
    </w:p>
    <w:p>
      <w:pPr>
        <w:pStyle w:val="TOC1"/>
        <w:tabs>
          <w:tab w:val="right" w:pos="9026" w:leader="dot"/>
        </w:tabs>
      </w:pPr>
      <w:hyperlink w:history="1" w:anchor="_Toc_32">
        <w:r>
          <w:rPr>
            <w:rFonts w:ascii="Arial" w:cs="Arial" w:eastAsia="Arial" w:hAnsi="Arial"/>
            <w:b/>
            <w:bCs/>
          </w:rPr>
          <w:t xml:space="preserve">9. Evaluation</w:t>
        </w:r>
        <w:r>
          <w:rPr>
            <w:rFonts w:ascii="Arial" w:cs="Arial" w:eastAsia="Arial" w:hAnsi="Arial"/>
            <w:b/>
            <w:bCs/>
          </w:rPr>
          <w:tab/>
          <w:t xml:space="preserve">13</w:t>
        </w:r>
      </w:hyperlink>
    </w:p>
    <w:p>
      <w:pPr>
        <w:pStyle w:val="TOC2"/>
        <w:tabs>
          <w:tab w:val="right" w:pos="9026" w:leader="dot"/>
        </w:tabs>
      </w:pPr>
      <w:hyperlink w:history="1" w:anchor="_Toc_33">
        <w:r>
          <w:rPr>
            <w:rFonts w:ascii="Arial" w:cs="Arial" w:eastAsia="Arial" w:hAnsi="Arial"/>
          </w:rPr>
          <w:t xml:space="preserve">9.1 Strengths</w:t>
        </w:r>
        <w:r>
          <w:rPr>
            <w:rFonts w:ascii="Arial" w:cs="Arial" w:eastAsia="Arial" w:hAnsi="Arial"/>
          </w:rPr>
          <w:tab/>
          <w:t xml:space="preserve">13</w:t>
        </w:r>
      </w:hyperlink>
    </w:p>
    <w:p>
      <w:pPr>
        <w:pStyle w:val="TOC2"/>
        <w:tabs>
          <w:tab w:val="right" w:pos="9026" w:leader="dot"/>
        </w:tabs>
      </w:pPr>
      <w:hyperlink w:history="1" w:anchor="_Toc_34">
        <w:r>
          <w:rPr>
            <w:rFonts w:ascii="Arial" w:cs="Arial" w:eastAsia="Arial" w:hAnsi="Arial"/>
          </w:rPr>
          <w:t xml:space="preserve">9.2 Limitations and improvements</w:t>
        </w:r>
        <w:r>
          <w:rPr>
            <w:rFonts w:ascii="Arial" w:cs="Arial" w:eastAsia="Arial" w:hAnsi="Arial"/>
          </w:rPr>
          <w:tab/>
          <w:t xml:space="preserve">14</w:t>
        </w:r>
      </w:hyperlink>
    </w:p>
    <w:p>
      <w:pPr>
        <w:pStyle w:val="TOC1"/>
        <w:tabs>
          <w:tab w:val="right" w:pos="9026" w:leader="dot"/>
        </w:tabs>
      </w:pPr>
      <w:hyperlink w:history="1" w:anchor="_Toc_35">
        <w:r>
          <w:rPr>
            <w:rFonts w:ascii="Arial" w:cs="Arial" w:eastAsia="Arial" w:hAnsi="Arial"/>
            <w:b/>
            <w:bCs/>
          </w:rPr>
          <w:t xml:space="preserve">References</w:t>
        </w:r>
        <w:r>
          <w:rPr>
            <w:rFonts w:ascii="Arial" w:cs="Arial" w:eastAsia="Arial" w:hAnsi="Arial"/>
            <w:b/>
            <w:bCs/>
          </w:rPr>
          <w:tab/>
          <w:t xml:space="preserve">15</w:t>
        </w:r>
      </w:hyperlink>
    </w:p>
    <w:p>
      <w:pPr>
        <w:pStyle w:val="TOC1"/>
        <w:tabs>
          <w:tab w:val="right" w:pos="9026" w:leader="dot"/>
        </w:tabs>
      </w:pPr>
      <w:hyperlink w:history="1" w:anchor="_Toc_36">
        <w:r>
          <w:rPr>
            <w:rFonts w:ascii="Arial" w:cs="Arial" w:eastAsia="Arial" w:hAnsi="Arial"/>
            <w:b/>
            <w:bCs/>
          </w:rPr>
          <w:t xml:space="preserve">Declaration of AI assistance</w:t>
        </w:r>
        <w:r>
          <w:rPr>
            <w:rFonts w:ascii="Arial" w:cs="Arial" w:eastAsia="Arial" w:hAnsi="Arial"/>
            <w:b/>
            <w:bCs/>
          </w:rPr>
          <w:tab/>
          <w:t xml:space="preserve">16</w:t>
        </w:r>
      </w:hyperlink>
    </w:p>
    <w:p>
      <w:pPr>
        <w:pStyle w:val="TOC1"/>
        <w:tabs>
          <w:tab w:val="right" w:pos="9026" w:leader="dot"/>
        </w:tabs>
      </w:pPr>
      <w:hyperlink w:history="1" w:anchor="_Toc_37">
        <w:r>
          <w:rPr>
            <w:rFonts w:ascii="Arial" w:cs="Arial" w:eastAsia="Arial" w:hAnsi="Arial"/>
            <w:b/>
            <w:bCs/>
          </w:rPr>
          <w:t xml:space="preserve">Appendix A: Data provenance and independent checks</w:t>
        </w:r>
        <w:r>
          <w:rPr>
            <w:rFonts w:ascii="Arial" w:cs="Arial" w:eastAsia="Arial" w:hAnsi="Arial"/>
            <w:b/>
            <w:bCs/>
          </w:rPr>
          <w:tab/>
          <w:t xml:space="preserve">16</w:t>
        </w:r>
      </w:hyperlink>
    </w:p>
    <w:p>
      <w:pPr>
        <w:pStyle w:val="TOC1"/>
        <w:tabs>
          <w:tab w:val="right" w:pos="9026" w:leader="dot"/>
        </w:tabs>
      </w:pPr>
      <w:hyperlink w:history="1" w:anchor="_Toc_38">
        <w:r>
          <w:rPr>
            <w:rFonts w:ascii="Arial" w:cs="Arial" w:eastAsia="Arial" w:hAnsi="Arial"/>
            <w:b/>
            <w:bCs/>
          </w:rPr>
          <w:t xml:space="preserve">Word-count statement</w:t>
        </w:r>
        <w:r>
          <w:rPr>
            <w:rFonts w:ascii="Arial" w:cs="Arial" w:eastAsia="Arial" w:hAnsi="Arial"/>
            <w:b/>
            <w:bCs/>
          </w:rPr>
          <w:tab/>
          <w:t xml:space="preserve">16</w:t>
        </w:r>
      </w:hyperlink>
      <w:r>
        <w:fldChar w:fldCharType="end"/>
      </w:r>
    </w:p>
    <w:p>
      <w:r>
        <w:br w:type="page"/>
      </w:r>
    </w:p>
    <w:p>
      <w:pPr>
        <w:pStyle w:val="Heading1"/>
      </w:pPr>
      <w:bookmarkStart w:name="_Toc_01" w:id="1"/>
      <w:r>
        <w:rPr>
          <w:rFonts w:ascii="Arial" w:cs="Arial" w:eastAsia="Arial" w:hAnsi="Arial"/>
        </w:rPr>
        <w:t xml:space="preserve">1. Introduction and context</w:t>
      </w:r>
      <w:bookmarkEnd w:id="1"/>
    </w:p>
    <w:p>
      <w:pPr>
        <w:pStyle w:val="Heading2"/>
      </w:pPr>
      <w:bookmarkStart w:name="_Toc_02" w:id="2"/>
      <w:r>
        <w:rPr>
          <w:rFonts w:ascii="Arial" w:cs="Arial" w:eastAsia="Arial" w:hAnsi="Arial"/>
        </w:rPr>
        <w:t xml:space="preserve">1.1 Forests in the carbon cycle</w:t>
      </w:r>
      <w:bookmarkEnd w:id="2"/>
    </w:p>
    <w:p>
      <w:r>
        <w:rPr>
          <w:rFonts w:ascii="Arial" w:cs="Arial" w:eastAsia="Arial" w:hAnsi="Arial"/>
        </w:rPr>
        <w:t xml:space="preserve">In the carbon cycle, forests act as a store: carbon enters through photosynthesis, is held in biomass and soil, and returns to the atmosphere through respiration, decomposition and burning. Between 2001 and 2019, the world’s forests were a net sink of 7.6 GtCO</w:t>
      </w:r>
      <w:r>
        <w:rPr>
          <w:rFonts w:ascii="Arial" w:cs="Arial" w:eastAsia="Arial" w:hAnsi="Arial"/>
          <w:vertAlign w:val="subscript"/>
        </w:rPr>
        <w:t xml:space="preserve">2</w:t>
      </w:r>
      <w:r>
        <w:rPr>
          <w:rFonts w:ascii="Arial" w:cs="Arial" w:eastAsia="Arial" w:hAnsi="Arial"/>
        </w:rPr>
        <w:t xml:space="preserve">e yr</w:t>
      </w:r>
      <w:r>
        <w:rPr>
          <w:rFonts w:ascii="Arial" w:cs="Arial" w:eastAsia="Arial" w:hAnsi="Arial"/>
          <w:vertAlign w:val="superscript"/>
        </w:rPr>
        <w:t xml:space="preserve">−1</w:t>
      </w:r>
      <w:r>
        <w:rPr>
          <w:rFonts w:ascii="Arial" w:cs="Arial" w:eastAsia="Arial" w:hAnsi="Arial"/>
        </w:rPr>
        <w:t xml:space="preserve">, although disturbances such as deforestation still released 8.1 GtCO</w:t>
      </w:r>
      <w:r>
        <w:rPr>
          <w:rFonts w:ascii="Arial" w:cs="Arial" w:eastAsia="Arial" w:hAnsi="Arial"/>
          <w:vertAlign w:val="subscript"/>
        </w:rPr>
        <w:t xml:space="preserve">2</w:t>
      </w:r>
      <w:r>
        <w:rPr>
          <w:rFonts w:ascii="Arial" w:cs="Arial" w:eastAsia="Arial" w:hAnsi="Arial"/>
        </w:rPr>
        <w:t xml:space="preserve">e yr</w:t>
      </w:r>
      <w:r>
        <w:rPr>
          <w:rFonts w:ascii="Arial" w:cs="Arial" w:eastAsia="Arial" w:hAnsi="Arial"/>
          <w:vertAlign w:val="superscript"/>
        </w:rPr>
        <w:t xml:space="preserve">−1</w:t>
      </w:r>
      <w:r>
        <w:rPr>
          <w:rFonts w:ascii="Arial" w:cs="Arial" w:eastAsia="Arial" w:hAnsi="Arial"/>
        </w:rPr>
        <w:t xml:space="preserve"> (Harris et al., 2021). Carbon storage is a regulating ecosystem service, whereas timber, food and farmland are provisioning services (Millennium Ecosystem Assessment, 2005), so clearing forest exchanges one type of service for another.</w:t>
      </w:r>
    </w:p>
    <w:p>
      <w:pPr>
        <w:pStyle w:val="Heading2"/>
      </w:pPr>
      <w:bookmarkStart w:name="_Toc_03" w:id="3"/>
      <w:r>
        <w:rPr>
          <w:rFonts w:ascii="Arial" w:cs="Arial" w:eastAsia="Arial" w:hAnsi="Arial"/>
        </w:rPr>
        <w:t xml:space="preserve">1.2 Cameroon’s forests and emissions</w:t>
      </w:r>
      <w:bookmarkEnd w:id="3"/>
    </w:p>
    <w:p>
      <w:r>
        <w:rPr>
          <w:rFonts w:ascii="Arial" w:cs="Arial" w:eastAsia="Arial" w:hAnsi="Arial"/>
        </w:rPr>
        <w:t xml:space="preserve">In 2000, 31.5 million ha (67.5%) of Cameroon had more than 30% tree-canopy cover, and 2.23 million ha of this tree cover (7.1%) was lost between 2001 and 2024 (calculated from Global Forest Watch, 2026). Globally, fossil fuels and industry released 10.3 GtC in 2024, compared with 1.3 GtC from land-use change (Friedlingstein et al., 2026). In Cameroon the balance is reversed: land-use-change CO</w:t>
      </w:r>
      <w:r>
        <w:rPr>
          <w:rFonts w:ascii="Arial" w:cs="Arial" w:eastAsia="Arial" w:hAnsi="Arial"/>
          <w:vertAlign w:val="subscript"/>
        </w:rPr>
        <w:t xml:space="preserve">2</w:t>
      </w:r>
      <w:r>
        <w:rPr>
          <w:rFonts w:ascii="Arial" w:cs="Arial" w:eastAsia="Arial" w:hAnsi="Arial"/>
        </w:rPr>
        <w:t xml:space="preserve"> was 2.4–9.6 times fossil and industrial CO</w:t>
      </w:r>
      <w:r>
        <w:rPr>
          <w:rFonts w:ascii="Arial" w:cs="Arial" w:eastAsia="Arial" w:hAnsi="Arial"/>
          <w:vertAlign w:val="subscript"/>
        </w:rPr>
        <w:t xml:space="preserve">2</w:t>
      </w:r>
      <w:r>
        <w:rPr>
          <w:rFonts w:ascii="Arial" w:cs="Arial" w:eastAsia="Arial" w:hAnsi="Arial"/>
        </w:rPr>
        <w:t xml:space="preserve"> in every year from 2001 to 2024 (calculated from Our World in Data, 2026). Yet headline national CO</w:t>
      </w:r>
      <w:r>
        <w:rPr>
          <w:rFonts w:ascii="Arial" w:cs="Arial" w:eastAsia="Arial" w:hAnsi="Arial"/>
          <w:vertAlign w:val="subscript"/>
        </w:rPr>
        <w:t xml:space="preserve">2</w:t>
      </w:r>
      <w:r>
        <w:rPr>
          <w:rFonts w:ascii="Arial" w:cs="Arial" w:eastAsia="Arial" w:hAnsi="Arial"/>
        </w:rPr>
        <w:t xml:space="preserve"> figures, such as the World Bank indicator, exclude land use, land-use change and forestry (World Bank, n.d.), so they may not reflect forest loss at all.</w:t>
      </w:r>
    </w:p>
    <w:p>
      <w:pPr>
        <w:pStyle w:val="Heading2"/>
      </w:pPr>
      <w:bookmarkStart w:name="_Toc_04" w:id="4"/>
      <w:r>
        <w:rPr>
          <w:rFonts w:ascii="Arial" w:cs="Arial" w:eastAsia="Arial" w:hAnsi="Arial"/>
        </w:rPr>
        <w:t xml:space="preserve">1.3 Existing strategy: REDD+ and competing perspectives</w:t>
      </w:r>
      <w:bookmarkEnd w:id="4"/>
    </w:p>
    <w:p>
      <w:r>
        <w:rPr>
          <w:rFonts w:ascii="Arial" w:cs="Arial" w:eastAsia="Arial" w:hAnsi="Arial"/>
        </w:rPr>
        <w:t xml:space="preserve">REDD+ (reducing emissions from deforestation and forest degradation, plus conservation and enhancement of forest carbon stocks) gives forest carbon a financial value: forest countries can be paid for verified reductions in forest emissions (Dkamela, 2011). Cameroon began REDD+ readiness work in 2008 and validated a national REDD+ strategy in June 2018 (Republic of Cameroon, 2019), and forestry has the largest emission-reduction potential of any sector in its updated Nationally Determined Contribution (World Bank Group, 2022). The outcome of REDD+ depends on tensions between perspectives:</w:t>
      </w:r>
    </w:p>
    <w:p>
      <w:pPr>
        <w:pStyle w:val="ListParagraph"/>
        <w:numPr>
          <w:ilvl w:val="0"/>
          <w:numId w:val="2"/>
        </w:numPr>
      </w:pPr>
      <w:r>
        <w:rPr>
          <w:rFonts w:ascii="Arial" w:cs="Arial" w:eastAsia="Arial" w:hAnsi="Arial"/>
          <w:b/>
          <w:bCs/>
        </w:rPr>
        <w:t xml:space="preserve">Smallholder farmers:</w:t>
      </w:r>
      <w:r>
        <w:rPr>
          <w:rFonts w:ascii="Arial" w:cs="Arial" w:eastAsia="Arial" w:hAnsi="Arial"/>
        </w:rPr>
        <w:t xml:space="preserve"> 91% of tree-cover loss with an identified driver came from agriculture, mainly shifting cultivation (50.9%) and permanent agriculture (40.1%) (Sims et al., 2025, via Global Forest Watch, 2026). Cleared land provides food and income, so restrictions without fair benefit-sharing could lose farmers’ support or move clearing elsewhere.</w:t>
      </w:r>
    </w:p>
    <w:p>
      <w:pPr>
        <w:pStyle w:val="ListParagraph"/>
        <w:numPr>
          <w:ilvl w:val="0"/>
          <w:numId w:val="2"/>
        </w:numPr>
      </w:pPr>
      <w:r>
        <w:rPr>
          <w:rFonts w:ascii="Arial" w:cs="Arial" w:eastAsia="Arial" w:hAnsi="Arial"/>
          <w:b/>
          <w:bCs/>
        </w:rPr>
        <w:t xml:space="preserve">Government and investors:</w:t>
      </w:r>
      <w:r>
        <w:rPr>
          <w:rFonts w:ascii="Arial" w:cs="Arial" w:eastAsia="Arial" w:hAnsi="Arial"/>
        </w:rPr>
        <w:t xml:space="preserve"> oil-palm, mining, oil, infrastructure and energy investments are likely to increase forest loss (Dkamela, 2011), and the REDD+ process has included few domestic actors (Dkamela et al., 2014).</w:t>
      </w:r>
    </w:p>
    <w:p>
      <w:pPr>
        <w:pStyle w:val="ListParagraph"/>
        <w:numPr>
          <w:ilvl w:val="0"/>
          <w:numId w:val="2"/>
        </w:numPr>
      </w:pPr>
      <w:r>
        <w:rPr>
          <w:rFonts w:ascii="Arial" w:cs="Arial" w:eastAsia="Arial" w:hAnsi="Arial"/>
          <w:b/>
          <w:bCs/>
        </w:rPr>
        <w:t xml:space="preserve">International donors and NGOs:</w:t>
      </w:r>
      <w:r>
        <w:rPr>
          <w:rFonts w:ascii="Arial" w:cs="Arial" w:eastAsia="Arial" w:hAnsi="Arial"/>
        </w:rPr>
        <w:t xml:space="preserve"> payments require measurement, reporting and verification (MRV), but weak MRV, weak financing and inadequate stakeholder participation have constrained REDD+ in Cameroon (Alemagi et al., 2014).</w:t>
      </w:r>
    </w:p>
    <w:p>
      <w:r>
        <w:rPr>
          <w:rFonts w:ascii="Arial" w:cs="Arial" w:eastAsia="Arial" w:hAnsi="Arial"/>
        </w:rPr>
        <w:t xml:space="preserve">If these groups are excluded or reductions cannot be measured, payments may not flow and forest loss may continue. My investigation tests whether national CO</w:t>
      </w:r>
      <w:r>
        <w:rPr>
          <w:rFonts w:ascii="Arial" w:cs="Arial" w:eastAsia="Arial" w:hAnsi="Arial"/>
          <w:vertAlign w:val="subscript"/>
        </w:rPr>
        <w:t xml:space="preserve">2</w:t>
      </w:r>
      <w:r>
        <w:rPr>
          <w:rFonts w:ascii="Arial" w:cs="Arial" w:eastAsia="Arial" w:hAnsi="Arial"/>
        </w:rPr>
        <w:t xml:space="preserve"> data can show the effect of forest loss, and therefore of such strategies.</w:t>
      </w:r>
    </w:p>
    <w:p>
      <w:pPr>
        <w:pStyle w:val="Heading1"/>
      </w:pPr>
      <w:bookmarkStart w:name="_Toc_05" w:id="5"/>
      <w:r>
        <w:rPr>
          <w:rFonts w:ascii="Arial" w:cs="Arial" w:eastAsia="Arial" w:hAnsi="Arial"/>
        </w:rPr>
        <w:t xml:space="preserve">2. Scientific rationale</w:t>
      </w:r>
      <w:bookmarkEnd w:id="5"/>
    </w:p>
    <w:p>
      <w:r>
        <w:rPr>
          <w:rFonts w:ascii="Arial" w:cs="Arial" w:eastAsia="Arial" w:hAnsi="Arial"/>
        </w:rPr>
        <w:t xml:space="preserve">Cameroon’s extensive forest ecosystems store carbon, and loss of tree cover can release this carbon as CO</w:t>
      </w:r>
      <w:r>
        <w:rPr>
          <w:rFonts w:ascii="Arial" w:cs="Arial" w:eastAsia="Arial" w:hAnsi="Arial"/>
          <w:vertAlign w:val="subscript"/>
        </w:rPr>
        <w:t xml:space="preserve">2</w:t>
      </w:r>
      <w:r>
        <w:rPr>
          <w:rFonts w:ascii="Arial" w:cs="Arial" w:eastAsia="Arial" w:hAnsi="Arial"/>
        </w:rPr>
        <w:t xml:space="preserve"> through burning and decomposition (Harris et al., 2021). This investigation therefore examines the relationship between annual tree-cover loss and annual CO</w:t>
      </w:r>
      <w:r>
        <w:rPr>
          <w:rFonts w:ascii="Arial" w:cs="Arial" w:eastAsia="Arial" w:hAnsi="Arial"/>
          <w:vertAlign w:val="subscript"/>
        </w:rPr>
        <w:t xml:space="preserve">2</w:t>
      </w:r>
      <w:r>
        <w:rPr>
          <w:rFonts w:ascii="Arial" w:cs="Arial" w:eastAsia="Arial" w:hAnsi="Arial"/>
        </w:rPr>
        <w:t xml:space="preserve"> emissions in Cameroon from 2001 to 2024, using secondary data from Global Forest Watch and the Global Carbon Budget. By analysing this relationship statistically, it aims to determine whether years with greater tree-cover loss are associated with higher CO</w:t>
      </w:r>
      <w:r>
        <w:rPr>
          <w:rFonts w:ascii="Arial" w:cs="Arial" w:eastAsia="Arial" w:hAnsi="Arial"/>
          <w:vertAlign w:val="subscript"/>
        </w:rPr>
        <w:t xml:space="preserve">2</w:t>
      </w:r>
      <w:r>
        <w:rPr>
          <w:rFonts w:ascii="Arial" w:cs="Arial" w:eastAsia="Arial" w:hAnsi="Arial"/>
        </w:rPr>
        <w:t xml:space="preserve"> emissions, while considering other factors that influence emissions, such as fossil-fuel use and population growth. It is relevant to SDG 13 (Climate Action) and SDG 15 (Life on Land), which includes the sustainable management of forests (United Nations, 2015).</w:t>
      </w:r>
    </w:p>
    <w:p>
      <w:pPr>
        <w:pStyle w:val="Heading1"/>
      </w:pPr>
      <w:bookmarkStart w:name="_Toc_06" w:id="6"/>
      <w:r>
        <w:rPr>
          <w:rFonts w:ascii="Arial" w:cs="Arial" w:eastAsia="Arial" w:hAnsi="Arial"/>
        </w:rPr>
        <w:t xml:space="preserve">3. Research question</w:t>
      </w:r>
      <w:bookmarkEnd w:id="6"/>
    </w:p>
    <w:p>
      <w:pPr>
        <w:pStyle w:val="Heading2"/>
      </w:pPr>
      <w:bookmarkStart w:name="_Toc_07" w:id="7"/>
      <w:r>
        <w:rPr>
          <w:rFonts w:ascii="Arial" w:cs="Arial" w:eastAsia="Arial" w:hAnsi="Arial"/>
        </w:rPr>
        <w:t xml:space="preserve">3.1 Research question and definitions</w:t>
      </w:r>
      <w:bookmarkEnd w:id="7"/>
    </w:p>
    <w:p>
      <w:pPr>
        <w:jc w:val="center"/>
      </w:pPr>
      <w:r>
        <w:rPr>
          <w:rFonts w:ascii="Arial" w:cs="Arial" w:eastAsia="Arial" w:hAnsi="Arial"/>
          <w:i/>
          <w:iCs/>
        </w:rPr>
        <w:t xml:space="preserve">To what extent is annual tree-cover loss associated with annual CO</w:t>
      </w:r>
      <w:r>
        <w:rPr>
          <w:rFonts w:ascii="Arial" w:cs="Arial" w:eastAsia="Arial" w:hAnsi="Arial"/>
          <w:i/>
          <w:iCs/>
          <w:vertAlign w:val="subscript"/>
        </w:rPr>
        <w:t xml:space="preserve">2</w:t>
      </w:r>
      <w:r>
        <w:rPr>
          <w:rFonts w:ascii="Arial" w:cs="Arial" w:eastAsia="Arial" w:hAnsi="Arial"/>
          <w:i/>
          <w:iCs/>
        </w:rPr>
        <w:t xml:space="preserve"> emissions in Cameroon from 2001 to 2024?</w:t>
      </w:r>
    </w:p>
    <w:p>
      <w:r>
        <w:rPr>
          <w:rFonts w:ascii="Arial" w:cs="Arial" w:eastAsia="Arial" w:hAnsi="Arial"/>
        </w:rPr>
        <w:t xml:space="preserve">“Tree-cover loss” is used exactly as defined by Global Forest Watch (Table 2); it is not permanent deforestation. “Annual CO</w:t>
      </w:r>
      <w:r>
        <w:rPr>
          <w:rFonts w:ascii="Arial" w:cs="Arial" w:eastAsia="Arial" w:hAnsi="Arial"/>
          <w:vertAlign w:val="subscript"/>
        </w:rPr>
        <w:t xml:space="preserve">2</w:t>
      </w:r>
      <w:r>
        <w:rPr>
          <w:rFonts w:ascii="Arial" w:cs="Arial" w:eastAsia="Arial" w:hAnsi="Arial"/>
        </w:rPr>
        <w:t xml:space="preserve"> emissions” means Cameroon’s CO</w:t>
      </w:r>
      <w:r>
        <w:rPr>
          <w:rFonts w:ascii="Arial" w:cs="Arial" w:eastAsia="Arial" w:hAnsi="Arial"/>
          <w:vertAlign w:val="subscript"/>
        </w:rPr>
        <w:t xml:space="preserve">2</w:t>
      </w:r>
      <w:r>
        <w:rPr>
          <w:rFonts w:ascii="Arial" w:cs="Arial" w:eastAsia="Arial" w:hAnsi="Arial"/>
        </w:rPr>
        <w:t xml:space="preserve"> from fossil fuels and industry, excluding land-use change, from the Global Carbon Budget 2025 (Friedlingstein et al., 2026): the standard headline measure. Because this excludes CO</w:t>
      </w:r>
      <w:r>
        <w:rPr>
          <w:rFonts w:ascii="Arial" w:cs="Arial" w:eastAsia="Arial" w:hAnsi="Arial"/>
          <w:vertAlign w:val="subscript"/>
        </w:rPr>
        <w:t xml:space="preserve">2</w:t>
      </w:r>
      <w:r>
        <w:rPr>
          <w:rFonts w:ascii="Arial" w:cs="Arial" w:eastAsia="Arial" w:hAnsi="Arial"/>
        </w:rPr>
        <w:t xml:space="preserve"> released directly by forest clearance, land-use-change CO</w:t>
      </w:r>
      <w:r>
        <w:rPr>
          <w:rFonts w:ascii="Arial" w:cs="Arial" w:eastAsia="Arial" w:hAnsi="Arial"/>
          <w:vertAlign w:val="subscript"/>
        </w:rPr>
        <w:t xml:space="preserve">2</w:t>
      </w:r>
      <w:r>
        <w:rPr>
          <w:rFonts w:ascii="Arial" w:cs="Arial" w:eastAsia="Arial" w:hAnsi="Arial"/>
        </w:rPr>
        <w:t xml:space="preserve"> was analysed as a supplementary check. “Associated” means a monotonic statistical relationship; causation cannot be established.</w:t>
      </w:r>
    </w:p>
    <w:p>
      <w:pPr>
        <w:pStyle w:val="Heading2"/>
      </w:pPr>
      <w:bookmarkStart w:name="_Toc_08" w:id="8"/>
      <w:r>
        <w:rPr>
          <w:rFonts w:ascii="Arial" w:cs="Arial" w:eastAsia="Arial" w:hAnsi="Arial"/>
        </w:rPr>
        <w:t xml:space="preserve">3.2 Variables</w:t>
      </w:r>
      <w:bookmarkEnd w:id="8"/>
    </w:p>
    <w:p>
      <w:pPr>
        <w:keepNext/>
        <w:spacing w:after="60" w:before="160"/>
      </w:pPr>
      <w:r>
        <w:rPr>
          <w:rFonts w:ascii="Arial" w:cs="Arial" w:eastAsia="Arial" w:hAnsi="Arial"/>
          <w:b/>
          <w:bCs/>
          <w:color w:val="333333"/>
          <w:sz w:val="18"/>
          <w:szCs w:val="18"/>
        </w:rPr>
        <w:t xml:space="preserve">Table 1.</w:t>
      </w:r>
      <w:r>
        <w:rPr>
          <w:rFonts w:ascii="Arial" w:cs="Arial" w:eastAsia="Arial" w:hAnsi="Arial"/>
          <w:color w:val="333333"/>
          <w:sz w:val="18"/>
          <w:szCs w:val="18"/>
        </w:rPr>
        <w:t xml:space="preserve">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926"/>
        <w:gridCol w:w="2200"/>
      </w:tblGrid>
      <w:tr>
        <w:trPr>
          <w:cantSplit/>
          <w:tblHeader/>
        </w:trPr>
        <w:tc>
          <w:tcPr>
            <w:tcW w:type="dxa" w:w="19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8"/>
                <w:szCs w:val="18"/>
              </w:rPr>
              <w:t xml:space="preserve">Type</w:t>
            </w:r>
          </w:p>
        </w:tc>
        <w:tc>
          <w:tcPr>
            <w:tcW w:type="dxa" w:w="4926"/>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8"/>
                <w:szCs w:val="18"/>
              </w:rPr>
              <w:t xml:space="preserve">Variable and unit</w:t>
            </w:r>
          </w:p>
        </w:tc>
        <w:tc>
          <w:tcPr>
            <w:tcW w:type="dxa" w:w="22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8"/>
                <w:szCs w:val="18"/>
              </w:rPr>
              <w:t xml:space="preserve">Source / treatment</w:t>
            </w:r>
          </w:p>
        </w:tc>
      </w:tr>
      <w:tr>
        <w:trPr>
          <w:cantSplit/>
        </w:trPr>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Independent</w:t>
            </w:r>
          </w:p>
        </w:tc>
        <w:tc>
          <w:tcPr>
            <w:tcW w:type="dxa" w:w="49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Annual tree-cover loss (ha yr</w:t>
            </w:r>
            <w:r>
              <w:rPr>
                <w:rFonts w:ascii="Arial" w:cs="Arial" w:eastAsia="Arial" w:hAnsi="Arial"/>
                <w:sz w:val="18"/>
                <w:szCs w:val="18"/>
                <w:vertAlign w:val="superscript"/>
              </w:rPr>
              <w:t xml:space="preserve">−1</w:t>
            </w:r>
            <w:r>
              <w:rPr>
                <w:rFonts w:ascii="Arial" w:cs="Arial" w:eastAsia="Arial" w:hAnsi="Arial"/>
                <w:sz w:val="18"/>
                <w:szCs w:val="18"/>
              </w:rPr>
              <w:t xml:space="preserve">), areas with &gt;30% canopy cover in 2000</w:t>
            </w:r>
          </w:p>
        </w:tc>
        <w:tc>
          <w:tcPr>
            <w:tcW w:type="dxa" w:w="2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Global Forest Watch (2026)</w:t>
            </w:r>
          </w:p>
        </w:tc>
      </w:tr>
      <w:tr>
        <w:trPr>
          <w:cantSplit/>
        </w:trPr>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Dependent</w:t>
            </w:r>
          </w:p>
        </w:tc>
        <w:tc>
          <w:tcPr>
            <w:tcW w:type="dxa" w:w="49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Annual CO</w:t>
            </w:r>
            <w:r>
              <w:rPr>
                <w:rFonts w:ascii="Arial" w:cs="Arial" w:eastAsia="Arial" w:hAnsi="Arial"/>
                <w:sz w:val="18"/>
                <w:szCs w:val="18"/>
                <w:vertAlign w:val="subscript"/>
              </w:rPr>
              <w:t xml:space="preserve">2</w:t>
            </w:r>
            <w:r>
              <w:rPr>
                <w:rFonts w:ascii="Arial" w:cs="Arial" w:eastAsia="Arial" w:hAnsi="Arial"/>
                <w:sz w:val="18"/>
                <w:szCs w:val="18"/>
              </w:rPr>
              <w:t xml:space="preserve"> emissions excluding land-use change (Mt CO</w:t>
            </w:r>
            <w:r>
              <w:rPr>
                <w:rFonts w:ascii="Arial" w:cs="Arial" w:eastAsia="Arial" w:hAnsi="Arial"/>
                <w:sz w:val="18"/>
                <w:szCs w:val="18"/>
                <w:vertAlign w:val="subscript"/>
              </w:rPr>
              <w:t xml:space="preserve">2</w:t>
            </w:r>
            <w:r>
              <w:rPr>
                <w:rFonts w:ascii="Arial" w:cs="Arial" w:eastAsia="Arial" w:hAnsi="Arial"/>
                <w:sz w:val="18"/>
                <w:szCs w:val="18"/>
              </w:rPr>
              <w:t xml:space="preserve"> yr</w:t>
            </w:r>
            <w:r>
              <w:rPr>
                <w:rFonts w:ascii="Arial" w:cs="Arial" w:eastAsia="Arial" w:hAnsi="Arial"/>
                <w:sz w:val="18"/>
                <w:szCs w:val="18"/>
                <w:vertAlign w:val="superscript"/>
              </w:rPr>
              <w:t xml:space="preserve">−1</w:t>
            </w:r>
            <w:r>
              <w:rPr>
                <w:rFonts w:ascii="Arial" w:cs="Arial" w:eastAsia="Arial" w:hAnsi="Arial"/>
                <w:sz w:val="18"/>
                <w:szCs w:val="18"/>
              </w:rPr>
              <w:t xml:space="preserve">)</w:t>
            </w:r>
          </w:p>
        </w:tc>
        <w:tc>
          <w:tcPr>
            <w:tcW w:type="dxa" w:w="2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Friedlingstein et al. (2026)</w:t>
            </w:r>
          </w:p>
        </w:tc>
      </w:tr>
      <w:tr>
        <w:trPr>
          <w:cantSplit/>
        </w:trPr>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Controlled in processing</w:t>
            </w:r>
          </w:p>
        </w:tc>
        <w:tc>
          <w:tcPr>
            <w:tcW w:type="dxa" w:w="49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Same national boundary; matched calendar years; one canopy threshold; one release of each dataset</w:t>
            </w:r>
          </w:p>
        </w:tc>
        <w:tc>
          <w:tcPr>
            <w:tcW w:type="dxa" w:w="2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Section 4.3</w:t>
            </w:r>
          </w:p>
        </w:tc>
      </w:tr>
      <w:tr>
        <w:trPr>
          <w:cantSplit/>
        </w:trPr>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8"/>
                <w:szCs w:val="18"/>
              </w:rPr>
              <w:t xml:space="preserve">Possible confounders</w:t>
            </w:r>
          </w:p>
        </w:tc>
        <w:tc>
          <w:tcPr>
            <w:tcW w:type="dxa" w:w="49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8"/>
                <w:szCs w:val="18"/>
              </w:rPr>
              <w:t xml:space="preserve">Fossil-fuel use and energy production; industrial and economic growth; population; agriculture; logging and fire; changes in satellite methods</w:t>
            </w:r>
          </w:p>
        </w:tc>
        <w:tc>
          <w:tcPr>
            <w:tcW w:type="dxa" w:w="2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8"/>
                <w:szCs w:val="18"/>
              </w:rPr>
              <w:t xml:space="preserve">Sections 7 and 9</w:t>
            </w:r>
          </w:p>
        </w:tc>
      </w:tr>
    </w:tbl>
    <w:p>
      <w:pPr>
        <w:spacing w:after="80"/>
      </w:pPr>
    </w:p>
    <w:p>
      <w:pPr>
        <w:pStyle w:val="Heading2"/>
      </w:pPr>
      <w:bookmarkStart w:name="_Toc_09" w:id="9"/>
      <w:r>
        <w:rPr>
          <w:rFonts w:ascii="Arial" w:cs="Arial" w:eastAsia="Arial" w:hAnsi="Arial"/>
        </w:rPr>
        <w:t xml:space="preserve">3.3 Hypotheses</w:t>
      </w:r>
      <w:bookmarkEnd w:id="9"/>
    </w:p>
    <w:p>
      <w:r>
        <w:rPr>
          <w:rFonts w:ascii="Arial" w:cs="Arial" w:eastAsia="Arial" w:hAnsi="Arial"/>
        </w:rPr>
        <w:t xml:space="preserve">H</w:t>
      </w:r>
      <w:r>
        <w:rPr>
          <w:rFonts w:ascii="Arial" w:cs="Arial" w:eastAsia="Arial" w:hAnsi="Arial"/>
          <w:vertAlign w:val="subscript"/>
        </w:rPr>
        <w:t xml:space="preserve">0</w:t>
      </w:r>
      <w:r>
        <w:rPr>
          <w:rFonts w:ascii="Arial" w:cs="Arial" w:eastAsia="Arial" w:hAnsi="Arial"/>
        </w:rPr>
        <w:t xml:space="preserve">: there is no monotonic association between annual tree-cover loss and annual CO</w:t>
      </w:r>
      <w:r>
        <w:rPr>
          <w:rFonts w:ascii="Arial" w:cs="Arial" w:eastAsia="Arial" w:hAnsi="Arial"/>
          <w:vertAlign w:val="subscript"/>
        </w:rPr>
        <w:t xml:space="preserve">2</w:t>
      </w:r>
      <w:r>
        <w:rPr>
          <w:rFonts w:ascii="Arial" w:cs="Arial" w:eastAsia="Arial" w:hAnsi="Arial"/>
        </w:rPr>
        <w:t xml:space="preserve"> emissions (ρ</w:t>
      </w:r>
      <w:r>
        <w:rPr>
          <w:rFonts w:ascii="Arial" w:cs="Arial" w:eastAsia="Arial" w:hAnsi="Arial"/>
          <w:vertAlign w:val="subscript"/>
        </w:rPr>
        <w:t xml:space="preserve">s</w:t>
      </w:r>
      <w:r>
        <w:rPr>
          <w:rFonts w:ascii="Arial" w:cs="Arial" w:eastAsia="Arial" w:hAnsi="Arial"/>
        </w:rPr>
        <w:t xml:space="preserve"> = 0).</w:t>
      </w:r>
    </w:p>
    <w:p>
      <w:r>
        <w:rPr>
          <w:rFonts w:ascii="Arial" w:cs="Arial" w:eastAsia="Arial" w:hAnsi="Arial"/>
        </w:rPr>
        <w:t xml:space="preserve">H</w:t>
      </w:r>
      <w:r>
        <w:rPr>
          <w:rFonts w:ascii="Arial" w:cs="Arial" w:eastAsia="Arial" w:hAnsi="Arial"/>
          <w:vertAlign w:val="subscript"/>
        </w:rPr>
        <w:t xml:space="preserve">1</w:t>
      </w:r>
      <w:r>
        <w:rPr>
          <w:rFonts w:ascii="Arial" w:cs="Arial" w:eastAsia="Arial" w:hAnsi="Arial"/>
        </w:rPr>
        <w:t xml:space="preserve">: there is a monotonic association (ρ</w:t>
      </w:r>
      <w:r>
        <w:rPr>
          <w:rFonts w:ascii="Arial" w:cs="Arial" w:eastAsia="Arial" w:hAnsi="Arial"/>
          <w:vertAlign w:val="subscript"/>
        </w:rPr>
        <w:t xml:space="preserve">s</w:t>
      </w:r>
      <w:r>
        <w:rPr>
          <w:rFonts w:ascii="Arial" w:cs="Arial" w:eastAsia="Arial" w:hAnsi="Arial"/>
        </w:rPr>
        <w:t xml:space="preserve"> ≠ 0); two-tailed test, α = 0.05.</w:t>
      </w:r>
    </w:p>
    <w:p>
      <w:r>
        <w:rPr>
          <w:rFonts w:ascii="Arial" w:cs="Arial" w:eastAsia="Arial" w:hAnsi="Arial"/>
        </w:rPr>
        <w:t xml:space="preserve">A positive association was expected, as land clearing and fossil-fuel use both tend to grow with population and the economy; this would not show that loss produces the measured emissions.</w:t>
      </w:r>
    </w:p>
    <w:p>
      <w:pPr>
        <w:pStyle w:val="Heading1"/>
      </w:pPr>
      <w:bookmarkStart w:name="_Toc_10" w:id="10"/>
      <w:r>
        <w:rPr>
          <w:rFonts w:ascii="Arial" w:cs="Arial" w:eastAsia="Arial" w:hAnsi="Arial"/>
        </w:rPr>
        <w:t xml:space="preserve">4. Methodology: secondary data collection</w:t>
      </w:r>
      <w:bookmarkEnd w:id="10"/>
    </w:p>
    <w:p>
      <w:pPr>
        <w:pStyle w:val="Heading2"/>
      </w:pPr>
      <w:bookmarkStart w:name="_Toc_11" w:id="11"/>
      <w:r>
        <w:rPr>
          <w:rFonts w:ascii="Arial" w:cs="Arial" w:eastAsia="Arial" w:hAnsi="Arial"/>
        </w:rPr>
        <w:t xml:space="preserve">4.1 Selection of sources</w:t>
      </w:r>
      <w:bookmarkEnd w:id="11"/>
    </w:p>
    <w:p>
      <w:r>
        <w:rPr>
          <w:rFonts w:ascii="Arial" w:cs="Arial" w:eastAsia="Arial" w:hAnsi="Arial"/>
        </w:rPr>
        <w:t xml:space="preserve">Secondary data were used because national annual tree-cover loss can only be measured by satellite, and national CO</w:t>
      </w:r>
      <w:r>
        <w:rPr>
          <w:rFonts w:ascii="Arial" w:cs="Arial" w:eastAsia="Arial" w:hAnsi="Arial"/>
          <w:vertAlign w:val="subscript"/>
        </w:rPr>
        <w:t xml:space="preserve">2</w:t>
      </w:r>
      <w:r>
        <w:rPr>
          <w:rFonts w:ascii="Arial" w:cs="Arial" w:eastAsia="Arial" w:hAnsi="Arial"/>
        </w:rPr>
        <w:t xml:space="preserve"> emissions are estimates built from energy and land-use statistics. Global Forest Watch (GFW) distributes the University of Maryland’s loss data, produced with a peer-reviewed method (Hansen et al., 2013), as annual national totals. The peer-reviewed Global Carbon Budget (Friedlingstein et al., 2026) was preferred to the World Bank series (World Bank, n.d.) because one release gives both fossil and land-use-change CO</w:t>
      </w:r>
      <w:r>
        <w:rPr>
          <w:rFonts w:ascii="Arial" w:cs="Arial" w:eastAsia="Arial" w:hAnsi="Arial"/>
          <w:vertAlign w:val="subscript"/>
        </w:rPr>
        <w:t xml:space="preserve">2</w:t>
      </w:r>
      <w:r>
        <w:rPr>
          <w:rFonts w:ascii="Arial" w:cs="Arial" w:eastAsia="Arial" w:hAnsi="Arial"/>
        </w:rPr>
        <w:t xml:space="preserve"> for all 24 years. The period 2001–2024 was chosen because GFW’s record starts in 2001 and 2024 is the latest year in both datasets.</w:t>
      </w:r>
    </w:p>
    <w:p>
      <w:pPr>
        <w:pStyle w:val="Heading2"/>
      </w:pPr>
      <w:bookmarkStart w:name="_Toc_12" w:id="12"/>
      <w:r>
        <w:rPr>
          <w:rFonts w:ascii="Arial" w:cs="Arial" w:eastAsia="Arial" w:hAnsi="Arial"/>
        </w:rPr>
        <w:t xml:space="preserve">4.2 Dataset verification</w:t>
      </w:r>
      <w:bookmarkEnd w:id="12"/>
    </w:p>
    <w:p>
      <w:pPr>
        <w:keepNext/>
        <w:spacing w:after="60" w:before="160"/>
      </w:pPr>
      <w:r>
        <w:rPr>
          <w:rFonts w:ascii="Arial" w:cs="Arial" w:eastAsia="Arial" w:hAnsi="Arial"/>
          <w:b/>
          <w:bCs/>
          <w:color w:val="333333"/>
          <w:sz w:val="18"/>
          <w:szCs w:val="18"/>
        </w:rPr>
        <w:t xml:space="preserve">Table 2.</w:t>
      </w:r>
      <w:r>
        <w:rPr>
          <w:rFonts w:ascii="Arial" w:cs="Arial" w:eastAsia="Arial" w:hAnsi="Arial"/>
          <w:color w:val="333333"/>
          <w:sz w:val="18"/>
          <w:szCs w:val="18"/>
        </w:rPr>
        <w:t xml:space="preserve"> Verified characteristics of the two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763"/>
        <w:gridCol w:w="3763"/>
      </w:tblGrid>
      <w:tr>
        <w:trPr>
          <w:cantSplit/>
          <w:tblHeader/>
        </w:trPr>
        <w:tc>
          <w:tcPr>
            <w:tcW w:type="dxa" w:w="15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7"/>
                <w:szCs w:val="17"/>
              </w:rPr>
              <w:t xml:space="preserve">Feature</w:t>
            </w:r>
          </w:p>
        </w:tc>
        <w:tc>
          <w:tcPr>
            <w:tcW w:type="dxa" w:w="3763"/>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7"/>
                <w:szCs w:val="17"/>
              </w:rPr>
              <w:t xml:space="preserve">Tree-cover loss (independent variable)</w:t>
            </w:r>
          </w:p>
        </w:tc>
        <w:tc>
          <w:tcPr>
            <w:tcW w:type="dxa" w:w="3763"/>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7"/>
                <w:szCs w:val="17"/>
              </w:rPr>
              <w:t xml:space="preserve">CO</w:t>
            </w:r>
            <w:r>
              <w:rPr>
                <w:rFonts w:ascii="Arial" w:cs="Arial" w:eastAsia="Arial" w:hAnsi="Arial"/>
                <w:b/>
                <w:bCs/>
                <w:sz w:val="17"/>
                <w:szCs w:val="17"/>
                <w:vertAlign w:val="subscript"/>
              </w:rPr>
              <w:t xml:space="preserve">2</w:t>
            </w:r>
            <w:r>
              <w:rPr>
                <w:rFonts w:ascii="Arial" w:cs="Arial" w:eastAsia="Arial" w:hAnsi="Arial"/>
                <w:b/>
                <w:bCs/>
                <w:sz w:val="17"/>
                <w:szCs w:val="17"/>
              </w:rPr>
              <w:t xml:space="preserve"> emissions (dependent variable)</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Organisation</w:t>
            </w:r>
          </w:p>
        </w:tc>
        <w:tc>
          <w:tcPr>
            <w:tcW w:type="dxa" w:w="37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University of Maryland GLAD laboratory and Google; distributed by GFW</w:t>
            </w:r>
          </w:p>
        </w:tc>
        <w:tc>
          <w:tcPr>
            <w:tcW w:type="dxa" w:w="37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Global Carbon Project; distributed by Our World in Data (OWID)</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Dataset and version</w:t>
            </w:r>
          </w:p>
        </w:tc>
        <w:tc>
          <w:tcPr>
            <w:tcW w:type="dxa" w:w="37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GFW country statistics for Cameroon (CMR.xlsx), version v20260427</w:t>
            </w:r>
          </w:p>
        </w:tc>
        <w:tc>
          <w:tcPr>
            <w:tcW w:type="dxa" w:w="37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Global Carbon Budget 2025, in owid-co2-data.csv (updated 1 June 2026)</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URL</w:t>
            </w:r>
          </w:p>
        </w:tc>
        <w:tc>
          <w:tcPr>
            <w:tcW w:type="dxa" w:w="37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gfw2-data.s3.amazonaws.com/country-pages/country_stats/download/2025/CMR.xlsx</w:t>
            </w:r>
          </w:p>
        </w:tc>
        <w:tc>
          <w:tcPr>
            <w:tcW w:type="dxa" w:w="37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github.com/owid/co2-data</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Years; coverage</w:t>
            </w:r>
          </w:p>
        </w:tc>
        <w:tc>
          <w:tcPr>
            <w:tcW w:type="dxa" w:w="37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2001–2025; national and regional</w:t>
            </w:r>
          </w:p>
        </w:tc>
        <w:tc>
          <w:tcPr>
            <w:tcW w:type="dxa" w:w="37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1950–2024; national</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Unit</w:t>
            </w:r>
          </w:p>
        </w:tc>
        <w:tc>
          <w:tcPr>
            <w:tcW w:type="dxa" w:w="37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Hectares (whole numbers)</w:t>
            </w:r>
          </w:p>
        </w:tc>
        <w:tc>
          <w:tcPr>
            <w:tcW w:type="dxa" w:w="37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Million tonnes CO</w:t>
            </w:r>
            <w:r>
              <w:rPr>
                <w:rFonts w:ascii="Arial" w:cs="Arial" w:eastAsia="Arial" w:hAnsi="Arial"/>
                <w:sz w:val="17"/>
                <w:szCs w:val="17"/>
                <w:vertAlign w:val="subscript"/>
              </w:rPr>
              <w:t xml:space="preserve">2</w:t>
            </w:r>
            <w:r>
              <w:rPr>
                <w:rFonts w:ascii="Arial" w:cs="Arial" w:eastAsia="Arial" w:hAnsi="Arial"/>
                <w:sz w:val="17"/>
                <w:szCs w:val="17"/>
              </w:rPr>
              <w:t xml:space="preserve"> (Mt), 3 decimal places</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Definition</w:t>
            </w:r>
          </w:p>
        </w:tc>
        <w:tc>
          <w:tcPr>
            <w:tcW w:type="dxa" w:w="37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“Tree cover”: vegetation over 5 m tall. “Loss”: stand-replacing disturbance (at least half the tree cover removed in a 30 m Landsat pixel)</w:t>
            </w:r>
          </w:p>
        </w:tc>
        <w:tc>
          <w:tcPr>
            <w:tcW w:type="dxa" w:w="37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“co2”: CO</w:t>
            </w:r>
            <w:r>
              <w:rPr>
                <w:rFonts w:ascii="Arial" w:cs="Arial" w:eastAsia="Arial" w:hAnsi="Arial"/>
                <w:sz w:val="17"/>
                <w:szCs w:val="17"/>
                <w:vertAlign w:val="subscript"/>
              </w:rPr>
              <w:t xml:space="preserve">2</w:t>
            </w:r>
            <w:r>
              <w:rPr>
                <w:rFonts w:ascii="Arial" w:cs="Arial" w:eastAsia="Arial" w:hAnsi="Arial"/>
                <w:sz w:val="17"/>
                <w:szCs w:val="17"/>
              </w:rPr>
              <w:t xml:space="preserve"> excl. land-use change (Cameroon: oil, gas, cement, flaring). “land_use_change_co2”: bookkeeping-model estimates</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Limitations</w:t>
            </w:r>
          </w:p>
        </w:tc>
        <w:tc>
          <w:tcPr>
            <w:tcW w:type="dxa" w:w="37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Loss is not deforestation; method changes in 2011–2015 (Global Forest Watch, 2026)</w:t>
            </w:r>
          </w:p>
        </w:tc>
        <w:tc>
          <w:tcPr>
            <w:tcW w:type="dxa" w:w="3763"/>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Modelled estimates; no country-level uncertainty given</w:t>
            </w:r>
          </w:p>
        </w:tc>
      </w:tr>
    </w:tbl>
    <w:p>
      <w:pPr>
        <w:spacing w:after="80"/>
      </w:pPr>
    </w:p>
    <w:p>
      <w:pPr>
        <w:pStyle w:val="Heading2"/>
      </w:pPr>
      <w:bookmarkStart w:name="_Toc_13" w:id="13"/>
      <w:r>
        <w:rPr>
          <w:rFonts w:ascii="Arial" w:cs="Arial" w:eastAsia="Arial" w:hAnsi="Arial"/>
        </w:rPr>
        <w:t xml:space="preserve">4.3 Extraction, matching and organisation</w:t>
      </w:r>
      <w:bookmarkEnd w:id="13"/>
    </w:p>
    <w:p>
      <w:pPr>
        <w:pStyle w:val="ListParagraph"/>
        <w:numPr>
          <w:ilvl w:val="0"/>
          <w:numId w:val="3"/>
        </w:numPr>
      </w:pPr>
      <w:r>
        <w:rPr>
          <w:rFonts w:ascii="Arial" w:cs="Arial" w:eastAsia="Arial" w:hAnsi="Arial"/>
        </w:rPr>
        <w:t xml:space="preserve">Secondary data were obtained by downloading both files on 23 September 2026; the GFW “ReadMe” sheet and OWID codebook were read for definitions.</w:t>
      </w:r>
    </w:p>
    <w:p>
      <w:pPr>
        <w:pStyle w:val="ListParagraph"/>
        <w:numPr>
          <w:ilvl w:val="0"/>
          <w:numId w:val="3"/>
        </w:numPr>
      </w:pPr>
      <w:r>
        <w:rPr>
          <w:rFonts w:ascii="Arial" w:cs="Arial" w:eastAsia="Arial" w:hAnsi="Arial"/>
        </w:rPr>
        <w:t xml:space="preserve">From GFW’s “Country tree cover loss” sheet, the 30% canopy-threshold row (GFW’s default) was selected and 2001–2024 values copied; 2025 has no CO</w:t>
      </w:r>
      <w:r>
        <w:rPr>
          <w:rFonts w:ascii="Arial" w:cs="Arial" w:eastAsia="Arial" w:hAnsi="Arial"/>
          <w:vertAlign w:val="subscript"/>
        </w:rPr>
        <w:t xml:space="preserve">2</w:t>
      </w:r>
      <w:r>
        <w:rPr>
          <w:rFonts w:ascii="Arial" w:cs="Arial" w:eastAsia="Arial" w:hAnsi="Arial"/>
        </w:rPr>
        <w:t xml:space="preserve"> value.</w:t>
      </w:r>
    </w:p>
    <w:p>
      <w:pPr>
        <w:pStyle w:val="ListParagraph"/>
        <w:numPr>
          <w:ilvl w:val="0"/>
          <w:numId w:val="3"/>
        </w:numPr>
      </w:pPr>
      <w:r>
        <w:rPr>
          <w:rFonts w:ascii="Arial" w:cs="Arial" w:eastAsia="Arial" w:hAnsi="Arial"/>
        </w:rPr>
        <w:t xml:space="preserve">In the OWID file, rows for Cameroon (2001–2024) were filtered and the columns “co2” and “land_use_change_co2” copied.</w:t>
      </w:r>
    </w:p>
    <w:p>
      <w:pPr>
        <w:pStyle w:val="ListParagraph"/>
        <w:numPr>
          <w:ilvl w:val="0"/>
          <w:numId w:val="3"/>
        </w:numPr>
      </w:pPr>
      <w:r>
        <w:rPr>
          <w:rFonts w:ascii="Arial" w:cs="Arial" w:eastAsia="Arial" w:hAnsi="Arial"/>
        </w:rPr>
        <w:t xml:space="preserve">The series were matched by calendar year (Table 3). No values were missing, so nothing was estimated or interpolated.</w:t>
      </w:r>
    </w:p>
    <w:p>
      <w:pPr>
        <w:pStyle w:val="ListParagraph"/>
        <w:numPr>
          <w:ilvl w:val="0"/>
          <w:numId w:val="3"/>
        </w:numPr>
      </w:pPr>
      <w:r>
        <w:rPr>
          <w:rFonts w:ascii="Arial" w:cs="Arial" w:eastAsia="Arial" w:hAnsi="Arial"/>
        </w:rPr>
        <w:t xml:space="preserve">Raw values were kept at published precision; processed statistics are rounded to 3 decimal places (whole hectares for loss).</w:t>
      </w:r>
    </w:p>
    <w:p>
      <w:pPr>
        <w:pStyle w:val="ListParagraph"/>
        <w:numPr>
          <w:ilvl w:val="0"/>
          <w:numId w:val="3"/>
        </w:numPr>
      </w:pPr>
      <w:r>
        <w:rPr>
          <w:rFonts w:ascii="Arial" w:cs="Arial" w:eastAsia="Arial" w:hAnsi="Arial"/>
        </w:rPr>
        <w:t xml:space="preserve">Calculations were scripted in Python (pandas, SciPy) and checked by hand formulae (Section 6) and independent calculations (Appendix A).</w:t>
      </w:r>
    </w:p>
    <w:p>
      <w:pPr>
        <w:pStyle w:val="Heading2"/>
      </w:pPr>
      <w:bookmarkStart w:name="_Toc_14" w:id="14"/>
      <w:r>
        <w:rPr>
          <w:rFonts w:ascii="Arial" w:cs="Arial" w:eastAsia="Arial" w:hAnsi="Arial"/>
        </w:rPr>
        <w:t xml:space="preserve">4.4 Statistical methods</w:t>
      </w:r>
      <w:bookmarkEnd w:id="14"/>
    </w:p>
    <w:p>
      <w:r>
        <w:rPr>
          <w:rFonts w:ascii="Arial" w:cs="Arial" w:eastAsia="Arial" w:hAnsi="Arial"/>
        </w:rPr>
        <w:t xml:space="preserve">A Shapiro–Wilk test checked whether Pearson’s correlation, which assumes normal data, was appropriate; as it was not, Spearman’s rank correlation was the main test (α = 0.05), with a least-squares line describing the scatter graph. Sensitivity tests checked whether the association remains when the time trend is removed, within 2015–2024 (the most consistent satellite period), and with land-use-change CO</w:t>
      </w:r>
      <w:r>
        <w:rPr>
          <w:rFonts w:ascii="Arial" w:cs="Arial" w:eastAsia="Arial" w:hAnsi="Arial"/>
          <w:vertAlign w:val="subscript"/>
        </w:rPr>
        <w:t xml:space="preserve">2</w:t>
      </w:r>
      <w:r>
        <w:rPr>
          <w:rFonts w:ascii="Arial" w:cs="Arial" w:eastAsia="Arial" w:hAnsi="Arial"/>
        </w:rPr>
        <w:t xml:space="preserve">.</w:t>
      </w:r>
    </w:p>
    <w:p>
      <w:pPr>
        <w:pStyle w:val="Heading2"/>
      </w:pPr>
      <w:bookmarkStart w:name="_Toc_15" w:id="15"/>
      <w:r>
        <w:rPr>
          <w:rFonts w:ascii="Arial" w:cs="Arial" w:eastAsia="Arial" w:hAnsi="Arial"/>
        </w:rPr>
        <w:t xml:space="preserve">4.5 Reliability, validity and ethics</w:t>
      </w:r>
      <w:bookmarkEnd w:id="15"/>
    </w:p>
    <w:p>
      <w:r>
        <w:rPr>
          <w:rFonts w:ascii="Arial" w:cs="Arial" w:eastAsia="Arial" w:hAnsi="Arial"/>
        </w:rPr>
        <w:t xml:space="preserve">As a reliability check, loss values for 2001–2024 differed from the previous GFW release by at most 1 ha. Validity is limited because “loss” includes harvesting and fire (Global Forest Watch, 2026), satellite methods changed in 2011–2015 (Global Forest Watch, 2024), and the dependent variable excludes land-use CO</w:t>
      </w:r>
      <w:r>
        <w:rPr>
          <w:rFonts w:ascii="Arial" w:cs="Arial" w:eastAsia="Arial" w:hAnsi="Arial"/>
          <w:vertAlign w:val="subscript"/>
        </w:rPr>
        <w:t xml:space="preserve">2</w:t>
      </w:r>
      <w:r>
        <w:rPr>
          <w:rFonts w:ascii="Arial" w:cs="Arial" w:eastAsia="Arial" w:hAnsi="Arial"/>
        </w:rPr>
        <w:t xml:space="preserve"> (Section 9). Only public, national-level data with no human participants were used; all sources are credited, as OWID’s licence requires (Our World in Data, 2026), and no values were altered.</w:t>
      </w:r>
    </w:p>
    <w:p>
      <w:pPr>
        <w:pStyle w:val="Heading1"/>
      </w:pPr>
      <w:bookmarkStart w:name="_Toc_16" w:id="16"/>
      <w:r>
        <w:rPr>
          <w:rFonts w:ascii="Arial" w:cs="Arial" w:eastAsia="Arial" w:hAnsi="Arial"/>
        </w:rPr>
        <w:t xml:space="preserve">5. Data presentation and processing</w:t>
      </w:r>
      <w:bookmarkEnd w:id="16"/>
    </w:p>
    <w:p>
      <w:pPr>
        <w:pStyle w:val="Heading2"/>
      </w:pPr>
      <w:bookmarkStart w:name="_Toc_17" w:id="17"/>
      <w:r>
        <w:rPr>
          <w:rFonts w:ascii="Arial" w:cs="Arial" w:eastAsia="Arial" w:hAnsi="Arial"/>
        </w:rPr>
        <w:t xml:space="preserve">5.1 Raw data</w:t>
      </w:r>
      <w:bookmarkEnd w:id="17"/>
    </w:p>
    <w:p>
      <w:pPr>
        <w:keepNext/>
        <w:spacing w:after="60" w:before="160"/>
      </w:pPr>
      <w:r>
        <w:rPr>
          <w:rFonts w:ascii="Arial" w:cs="Arial" w:eastAsia="Arial" w:hAnsi="Arial"/>
          <w:b/>
          <w:bCs/>
          <w:color w:val="333333"/>
          <w:sz w:val="18"/>
          <w:szCs w:val="18"/>
        </w:rPr>
        <w:t xml:space="preserve">Table 3.</w:t>
      </w:r>
      <w:r>
        <w:rPr>
          <w:rFonts w:ascii="Arial" w:cs="Arial" w:eastAsia="Arial" w:hAnsi="Arial"/>
          <w:color w:val="333333"/>
          <w:sz w:val="18"/>
          <w:szCs w:val="18"/>
        </w:rPr>
        <w:t xml:space="preserve"> Raw data for Cameroon, 2001–2024, as published</w:t>
      </w:r>
    </w:p>
    <w:p>
      <w:pPr>
        <w:keepNext/>
        <w:spacing w:after="60"/>
      </w:pPr>
      <w:r>
        <w:rPr>
          <w:rFonts w:ascii="Arial" w:cs="Arial" w:eastAsia="Arial" w:hAnsi="Arial"/>
          <w:sz w:val="17"/>
          <w:szCs w:val="17"/>
        </w:rPr>
        <w:t xml:space="preserve">Sources: GFW = Global Forest Watch (2026); GCB = Global Carbon Budget 2025 (Friedlingstein et al., 2026), via OWID = Our World in Data (2026). Loss at &gt;30% canopy cover; no values are missing.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1700"/>
        <w:gridCol w:w="2150"/>
        <w:gridCol w:w="2150"/>
        <w:gridCol w:w="2276"/>
      </w:tblGrid>
      <w:tr>
        <w:trPr>
          <w:cantSplit/>
          <w:tblHeader/>
        </w:trPr>
        <w:tc>
          <w:tcPr>
            <w:tcW w:type="dxa" w:w="75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b/>
                <w:bCs/>
                <w:sz w:val="17"/>
                <w:szCs w:val="17"/>
              </w:rPr>
              <w:t xml:space="preserve">Year</w:t>
            </w:r>
          </w:p>
        </w:tc>
        <w:tc>
          <w:tcPr>
            <w:tcW w:type="dxa" w:w="17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b/>
                <w:bCs/>
                <w:sz w:val="17"/>
                <w:szCs w:val="17"/>
              </w:rPr>
              <w:t xml:space="preserve">Annual tree-cover loss (ha)</w:t>
            </w:r>
          </w:p>
        </w:tc>
        <w:tc>
          <w:tcPr>
            <w:tcW w:type="dxa" w:w="215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b/>
                <w:bCs/>
                <w:sz w:val="17"/>
                <w:szCs w:val="17"/>
              </w:rPr>
              <w:t xml:space="preserve">Annual CO</w:t>
            </w:r>
            <w:r>
              <w:rPr>
                <w:rFonts w:ascii="Arial" w:cs="Arial" w:eastAsia="Arial" w:hAnsi="Arial"/>
                <w:b/>
                <w:bCs/>
                <w:sz w:val="17"/>
                <w:szCs w:val="17"/>
                <w:vertAlign w:val="subscript"/>
              </w:rPr>
              <w:t xml:space="preserve">2</w:t>
            </w:r>
            <w:r>
              <w:rPr>
                <w:rFonts w:ascii="Arial" w:cs="Arial" w:eastAsia="Arial" w:hAnsi="Arial"/>
                <w:b/>
                <w:bCs/>
                <w:sz w:val="17"/>
                <w:szCs w:val="17"/>
              </w:rPr>
              <w:t xml:space="preserve"> emissions excl. land-use change (Mt CO</w:t>
            </w:r>
            <w:r>
              <w:rPr>
                <w:rFonts w:ascii="Arial" w:cs="Arial" w:eastAsia="Arial" w:hAnsi="Arial"/>
                <w:b/>
                <w:bCs/>
                <w:sz w:val="17"/>
                <w:szCs w:val="17"/>
                <w:vertAlign w:val="subscript"/>
              </w:rPr>
              <w:t xml:space="preserve">2</w:t>
            </w:r>
            <w:r>
              <w:rPr>
                <w:rFonts w:ascii="Arial" w:cs="Arial" w:eastAsia="Arial" w:hAnsi="Arial"/>
                <w:b/>
                <w:bCs/>
                <w:sz w:val="17"/>
                <w:szCs w:val="17"/>
              </w:rPr>
              <w:t xml:space="preserve">)</w:t>
            </w:r>
          </w:p>
        </w:tc>
        <w:tc>
          <w:tcPr>
            <w:tcW w:type="dxa" w:w="215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b/>
                <w:bCs/>
                <w:sz w:val="17"/>
                <w:szCs w:val="17"/>
              </w:rPr>
              <w:t xml:space="preserve">CO</w:t>
            </w:r>
            <w:r>
              <w:rPr>
                <w:rFonts w:ascii="Arial" w:cs="Arial" w:eastAsia="Arial" w:hAnsi="Arial"/>
                <w:b/>
                <w:bCs/>
                <w:sz w:val="17"/>
                <w:szCs w:val="17"/>
                <w:vertAlign w:val="subscript"/>
              </w:rPr>
              <w:t xml:space="preserve">2</w:t>
            </w:r>
            <w:r>
              <w:rPr>
                <w:rFonts w:ascii="Arial" w:cs="Arial" w:eastAsia="Arial" w:hAnsi="Arial"/>
                <w:b/>
                <w:bCs/>
                <w:sz w:val="17"/>
                <w:szCs w:val="17"/>
              </w:rPr>
              <w:t xml:space="preserve"> from land-use change (Mt CO</w:t>
            </w:r>
            <w:r>
              <w:rPr>
                <w:rFonts w:ascii="Arial" w:cs="Arial" w:eastAsia="Arial" w:hAnsi="Arial"/>
                <w:b/>
                <w:bCs/>
                <w:sz w:val="17"/>
                <w:szCs w:val="17"/>
                <w:vertAlign w:val="subscript"/>
              </w:rPr>
              <w:t xml:space="preserve">2</w:t>
            </w:r>
            <w:r>
              <w:rPr>
                <w:rFonts w:ascii="Arial" w:cs="Arial" w:eastAsia="Arial" w:hAnsi="Arial"/>
                <w:b/>
                <w:bCs/>
                <w:sz w:val="17"/>
                <w:szCs w:val="17"/>
              </w:rPr>
              <w:t xml:space="preserve">) – supplementary</w:t>
            </w:r>
          </w:p>
        </w:tc>
        <w:tc>
          <w:tcPr>
            <w:tcW w:type="dxa" w:w="2276"/>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b/>
                <w:bCs/>
                <w:sz w:val="17"/>
                <w:szCs w:val="17"/>
              </w:rPr>
              <w:t xml:space="preserve">Source</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2001</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39,204</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5.562</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23.900</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2002</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28,767</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5.351</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27.746</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2003</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25,345</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5.705</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30.018</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2004</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23,003</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5.698</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26.356</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2005</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25,159</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5.424</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22.913</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2006</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35,986</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5.486</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23.825</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2007</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45,917</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7.409</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29.938</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2008</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35,141</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7.321</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54.904</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2009</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36,072</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8.555</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81.855</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2010</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57,992</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8.383</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51.198</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2011</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27,652</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8.105</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42.949</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2012</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51,268</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7.607</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32.269</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2013</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84,612</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7.853</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36.096</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2014</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181,851</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8.775</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26.584</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2015</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78,970</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9.850</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32.646</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2016</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116,619</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9.965</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30.766</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2017</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187,282</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9.582</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37.879</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2018</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120,814</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9.844</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28.486</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2019</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121,800</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9.605</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25.679</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2020</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202,796</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9.716</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27.649</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2021</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168,797</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9.734</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24.632</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2022</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147,810</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9.792</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25.815</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2023</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204,198</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9.695</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23.123</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r>
        <w:trPr>
          <w:cantSplit/>
        </w:trPr>
        <w:tc>
          <w:tcPr>
            <w:tcW w:type="dxa" w:w="7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2024</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179,152</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9.632</w:t>
            </w:r>
          </w:p>
        </w:tc>
        <w:tc>
          <w:tcPr>
            <w:tcW w:type="dxa" w:w="21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23.453</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GFW; GCB via OWID</w:t>
            </w:r>
          </w:p>
        </w:tc>
      </w:tr>
    </w:tbl>
    <w:p>
      <w:pPr>
        <w:spacing w:after="80"/>
      </w:pPr>
    </w:p>
    <w:p>
      <w:pPr>
        <w:pStyle w:val="Heading2"/>
      </w:pPr>
      <w:bookmarkStart w:name="_Toc_18" w:id="18"/>
      <w:r>
        <w:rPr>
          <w:rFonts w:ascii="Arial" w:cs="Arial" w:eastAsia="Arial" w:hAnsi="Arial"/>
        </w:rPr>
        <w:t xml:space="preserve">5.2 Processed data: descriptive statistics</w:t>
      </w:r>
      <w:bookmarkEnd w:id="18"/>
    </w:p>
    <w:p>
      <w:pPr>
        <w:keepNext/>
        <w:spacing w:after="60" w:before="160"/>
      </w:pPr>
      <w:r>
        <w:rPr>
          <w:rFonts w:ascii="Arial" w:cs="Arial" w:eastAsia="Arial" w:hAnsi="Arial"/>
          <w:b/>
          <w:bCs/>
          <w:color w:val="333333"/>
          <w:sz w:val="18"/>
          <w:szCs w:val="18"/>
        </w:rPr>
        <w:t xml:space="preserve">Table 4.</w:t>
      </w:r>
      <w:r>
        <w:rPr>
          <w:rFonts w:ascii="Arial" w:cs="Arial" w:eastAsia="Arial" w:hAnsi="Arial"/>
          <w:color w:val="333333"/>
          <w:sz w:val="18"/>
          <w:szCs w:val="18"/>
        </w:rPr>
        <w:t xml:space="preserve"> Descriptive statistics, 2001–2024 (n = 24)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6"/>
        <w:gridCol w:w="2000"/>
        <w:gridCol w:w="2100"/>
        <w:gridCol w:w="2100"/>
      </w:tblGrid>
      <w:tr>
        <w:trPr>
          <w:cantSplit/>
          <w:tblHeader/>
        </w:trPr>
        <w:tc>
          <w:tcPr>
            <w:tcW w:type="dxa" w:w="2826"/>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8"/>
                <w:szCs w:val="18"/>
              </w:rPr>
              <w:t xml:space="preserve">Statistic</w:t>
            </w:r>
          </w:p>
        </w:tc>
        <w:tc>
          <w:tcPr>
            <w:tcW w:type="dxa" w:w="20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right"/>
            </w:pPr>
            <w:r>
              <w:rPr>
                <w:rFonts w:ascii="Arial" w:cs="Arial" w:eastAsia="Arial" w:hAnsi="Arial"/>
                <w:b/>
                <w:bCs/>
                <w:sz w:val="18"/>
                <w:szCs w:val="18"/>
              </w:rPr>
              <w:t xml:space="preserve">Tree-cover loss (ha)</w:t>
            </w:r>
          </w:p>
        </w:tc>
        <w:tc>
          <w:tcPr>
            <w:tcW w:type="dxa" w:w="21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right"/>
            </w:pPr>
            <w:r>
              <w:rPr>
                <w:rFonts w:ascii="Arial" w:cs="Arial" w:eastAsia="Arial" w:hAnsi="Arial"/>
                <w:b/>
                <w:bCs/>
                <w:sz w:val="18"/>
                <w:szCs w:val="18"/>
              </w:rPr>
              <w:t xml:space="preserve">CO</w:t>
            </w:r>
            <w:r>
              <w:rPr>
                <w:rFonts w:ascii="Arial" w:cs="Arial" w:eastAsia="Arial" w:hAnsi="Arial"/>
                <w:b/>
                <w:bCs/>
                <w:sz w:val="18"/>
                <w:szCs w:val="18"/>
                <w:vertAlign w:val="subscript"/>
              </w:rPr>
              <w:t xml:space="preserve">2</w:t>
            </w:r>
            <w:r>
              <w:rPr>
                <w:rFonts w:ascii="Arial" w:cs="Arial" w:eastAsia="Arial" w:hAnsi="Arial"/>
                <w:b/>
                <w:bCs/>
                <w:sz w:val="18"/>
                <w:szCs w:val="18"/>
              </w:rPr>
              <w:t xml:space="preserve"> excl. land-use change (Mt)</w:t>
            </w:r>
          </w:p>
        </w:tc>
        <w:tc>
          <w:tcPr>
            <w:tcW w:type="dxa" w:w="21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right"/>
            </w:pPr>
            <w:r>
              <w:rPr>
                <w:rFonts w:ascii="Arial" w:cs="Arial" w:eastAsia="Arial" w:hAnsi="Arial"/>
                <w:b/>
                <w:bCs/>
                <w:sz w:val="18"/>
                <w:szCs w:val="18"/>
              </w:rPr>
              <w:t xml:space="preserve">Land-use-change CO</w:t>
            </w:r>
            <w:r>
              <w:rPr>
                <w:rFonts w:ascii="Arial" w:cs="Arial" w:eastAsia="Arial" w:hAnsi="Arial"/>
                <w:b/>
                <w:bCs/>
                <w:sz w:val="18"/>
                <w:szCs w:val="18"/>
                <w:vertAlign w:val="subscript"/>
              </w:rPr>
              <w:t xml:space="preserve">2</w:t>
            </w:r>
            <w:r>
              <w:rPr>
                <w:rFonts w:ascii="Arial" w:cs="Arial" w:eastAsia="Arial" w:hAnsi="Arial"/>
                <w:b/>
                <w:bCs/>
                <w:sz w:val="18"/>
                <w:szCs w:val="18"/>
              </w:rPr>
              <w:t xml:space="preserve"> (Mt)</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Mean</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92,759</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8.110</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32.945</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Median</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68,481</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8.469</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28.116</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Standard deviation (sample)</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66,002</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1.728</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13.430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Minimum (year)</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23,003 (2004)</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5.351 (2002)</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22.913 (2005)</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Maximum (year)</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204,198 (2023)</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9.965 (2016)</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81.855 (2009)</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Interquartile range (linear interpolation)</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117,282</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2.783</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8.091</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Coefficient of variation</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71.2%</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21.3%</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40.8%</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Skewness</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0.521</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−0.547</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2.510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8"/>
                <w:szCs w:val="18"/>
              </w:rPr>
              <w:t xml:space="preserve">Mean 2001–2012</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35,959</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6.717</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right"/>
            </w:pPr>
            <w:r>
              <w:rPr>
                <w:rFonts w:ascii="Arial" w:cs="Arial" w:eastAsia="Arial" w:hAnsi="Arial"/>
                <w:sz w:val="18"/>
                <w:szCs w:val="18"/>
              </w:rPr>
              <w:t xml:space="preserve">37.323</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8"/>
                <w:szCs w:val="18"/>
              </w:rPr>
              <w:t xml:space="preserve">Mean 2013–2024</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8"/>
                <w:szCs w:val="18"/>
              </w:rPr>
              <w:t xml:space="preserve">149,558</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8"/>
                <w:szCs w:val="18"/>
              </w:rPr>
              <w:t xml:space="preserve">9.504</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8"/>
                <w:szCs w:val="18"/>
              </w:rPr>
              <w:t xml:space="preserve">28.567</w:t>
            </w:r>
          </w:p>
        </w:tc>
      </w:tr>
    </w:tbl>
    <w:p>
      <w:pPr>
        <w:spacing w:after="80"/>
      </w:pPr>
    </w:p>
    <w:p>
      <w:r>
        <w:rPr>
          <w:rFonts w:ascii="Arial" w:cs="Arial" w:eastAsia="Arial" w:hAnsi="Arial"/>
        </w:rPr>
        <w:t xml:space="preserve">Loss varied far more than CO</w:t>
      </w:r>
      <w:r>
        <w:rPr>
          <w:rFonts w:ascii="Arial" w:cs="Arial" w:eastAsia="Arial" w:hAnsi="Arial"/>
          <w:vertAlign w:val="subscript"/>
        </w:rPr>
        <w:t xml:space="preserve">2</w:t>
      </w:r>
      <w:r>
        <w:rPr>
          <w:rFonts w:ascii="Arial" w:cs="Arial" w:eastAsia="Arial" w:hAnsi="Arial"/>
        </w:rPr>
        <w:t xml:space="preserve"> (coefficient of variation 71.2% compared with 21.3%). Mean loss in 2013–2024 was 4.2 times that in 2001–2012, while mean CO</w:t>
      </w:r>
      <w:r>
        <w:rPr>
          <w:rFonts w:ascii="Arial" w:cs="Arial" w:eastAsia="Arial" w:hAnsi="Arial"/>
          <w:vertAlign w:val="subscript"/>
        </w:rPr>
        <w:t xml:space="preserve">2</w:t>
      </w:r>
      <w:r>
        <w:rPr>
          <w:rFonts w:ascii="Arial" w:cs="Arial" w:eastAsia="Arial" w:hAnsi="Arial"/>
        </w:rPr>
        <w:t xml:space="preserve"> rose by 41.5%.</w:t>
      </w:r>
    </w:p>
    <w:p>
      <w:pPr>
        <w:pStyle w:val="Heading2"/>
      </w:pPr>
      <w:bookmarkStart w:name="_Toc_19" w:id="19"/>
      <w:r>
        <w:rPr>
          <w:rFonts w:ascii="Arial" w:cs="Arial" w:eastAsia="Arial" w:hAnsi="Arial"/>
        </w:rPr>
        <w:t xml:space="preserve">5.3 Trends over time</w:t>
      </w:r>
      <w:bookmarkEnd w:id="19"/>
    </w:p>
    <w:p>
      <w:pPr>
        <w:keepNext/>
        <w:spacing w:after="0" w:before="120" w:line="240" w:lineRule="auto"/>
        <w:jc w:val="center"/>
      </w:pPr>
      <w:r>
        <w:drawing>
          <wp:inline distT="0" distB="0" distL="0" distR="0">
            <wp:extent cx="5715000" cy="2990850"/>
            <wp:effectExtent t="0" r="0" b="0" l="0"/>
            <wp:docPr id="1" name="fig1_tree_cover_loss.png" descr="Graph 1. Annual tree-cover loss in Cameroon, 2001–2024 (data: Global Forest Watch, 2026)." title="fig1_tree_cover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90850"/>
                    </a:xfrm>
                    <a:prstGeom prst="rect">
                      <a:avLst/>
                    </a:prstGeom>
                  </pic:spPr>
                </pic:pic>
              </a:graphicData>
            </a:graphic>
          </wp:inline>
        </w:drawing>
      </w:r>
    </w:p>
    <w:p>
      <w:pPr>
        <w:keepNext w:val="false"/>
        <w:spacing w:after="200" w:before="60"/>
      </w:pPr>
      <w:r>
        <w:rPr>
          <w:rFonts w:ascii="Arial" w:cs="Arial" w:eastAsia="Arial" w:hAnsi="Arial"/>
          <w:b/>
          <w:bCs/>
          <w:color w:val="333333"/>
          <w:sz w:val="18"/>
          <w:szCs w:val="18"/>
        </w:rPr>
        <w:t xml:space="preserve">Graph 1.</w:t>
      </w:r>
      <w:r>
        <w:rPr>
          <w:rFonts w:ascii="Arial" w:cs="Arial" w:eastAsia="Arial" w:hAnsi="Arial"/>
          <w:color w:val="333333"/>
          <w:sz w:val="18"/>
          <w:szCs w:val="18"/>
        </w:rPr>
        <w:t xml:space="preserve"> Annual tree-cover loss in Cameroon, 2001–2024 (data: Global Forest Watch, 2026).</w:t>
      </w:r>
    </w:p>
    <w:p>
      <w:r>
        <w:rPr>
          <w:rFonts w:ascii="Arial" w:cs="Arial" w:eastAsia="Arial" w:hAnsi="Arial"/>
        </w:rPr>
        <w:t xml:space="preserve">Loss stayed between 23,003 and 57,992 ha until 2012, then rose, with peaks in 2014, 2017, 2020 and 2023 (204,198 ha). The 3-year moving average, which GFW recommends for smoothing detection effects (Global Forest Watch, 2024), rises almost continuously after 2011.</w:t>
      </w:r>
    </w:p>
    <w:p>
      <w:pPr>
        <w:keepNext/>
        <w:spacing w:after="0" w:before="120" w:line="240" w:lineRule="auto"/>
        <w:jc w:val="center"/>
      </w:pPr>
      <w:r>
        <w:drawing>
          <wp:inline distT="0" distB="0" distL="0" distR="0">
            <wp:extent cx="5715000" cy="2809875"/>
            <wp:effectExtent t="0" r="0" b="0" l="0"/>
            <wp:docPr id="1" name="fig2_co2_emissions.png" descr="Graph 2. Annual CO2 emissions excluding land-use change, Cameroon, 2001–2024 (data: Friedlingstein et al., 2026)." title="fig2_co2_emis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09875"/>
                    </a:xfrm>
                    <a:prstGeom prst="rect">
                      <a:avLst/>
                    </a:prstGeom>
                  </pic:spPr>
                </pic:pic>
              </a:graphicData>
            </a:graphic>
          </wp:inline>
        </w:drawing>
      </w:r>
    </w:p>
    <w:p>
      <w:pPr>
        <w:keepNext w:val="false"/>
        <w:spacing w:after="200" w:before="60"/>
      </w:pPr>
      <w:r>
        <w:rPr>
          <w:rFonts w:ascii="Arial" w:cs="Arial" w:eastAsia="Arial" w:hAnsi="Arial"/>
          <w:b/>
          <w:bCs/>
          <w:color w:val="333333"/>
          <w:sz w:val="18"/>
          <w:szCs w:val="18"/>
        </w:rPr>
        <w:t xml:space="preserve">Graph 2.</w:t>
      </w:r>
      <w:r>
        <w:rPr>
          <w:rFonts w:ascii="Arial" w:cs="Arial" w:eastAsia="Arial" w:hAnsi="Arial"/>
          <w:color w:val="333333"/>
          <w:sz w:val="18"/>
          <w:szCs w:val="18"/>
        </w:rPr>
        <w:t xml:space="preserve"> Annual CO</w:t>
      </w:r>
      <w:r>
        <w:rPr>
          <w:rFonts w:ascii="Arial" w:cs="Arial" w:eastAsia="Arial" w:hAnsi="Arial"/>
          <w:color w:val="333333"/>
          <w:sz w:val="18"/>
          <w:szCs w:val="18"/>
          <w:vertAlign w:val="subscript"/>
        </w:rPr>
        <w:t xml:space="preserve">2</w:t>
      </w:r>
      <w:r>
        <w:rPr>
          <w:rFonts w:ascii="Arial" w:cs="Arial" w:eastAsia="Arial" w:hAnsi="Arial"/>
          <w:color w:val="333333"/>
          <w:sz w:val="18"/>
          <w:szCs w:val="18"/>
        </w:rPr>
        <w:t xml:space="preserve"> emissions excluding land-use change, Cameroon, 2001–2024 (data: Friedlingstein et al., 2026).</w:t>
      </w:r>
    </w:p>
    <w:p>
      <w:r>
        <w:rPr>
          <w:rFonts w:ascii="Arial" w:cs="Arial" w:eastAsia="Arial" w:hAnsi="Arial"/>
        </w:rPr>
        <w:t xml:space="preserve">CO</w:t>
      </w:r>
      <w:r>
        <w:rPr>
          <w:rFonts w:ascii="Arial" w:cs="Arial" w:eastAsia="Arial" w:hAnsi="Arial"/>
          <w:vertAlign w:val="subscript"/>
        </w:rPr>
        <w:t xml:space="preserve">2</w:t>
      </w:r>
      <w:r>
        <w:rPr>
          <w:rFonts w:ascii="Arial" w:cs="Arial" w:eastAsia="Arial" w:hAnsi="Arial"/>
        </w:rPr>
        <w:t xml:space="preserve"> rose in two steps (2006–2007 and 2013–2015) and then levelled off at 9.582–9.965 Mt from 2015.</w:t>
      </w:r>
    </w:p>
    <w:p>
      <w:pPr>
        <w:pStyle w:val="Heading1"/>
      </w:pPr>
      <w:bookmarkStart w:name="_Toc_20" w:id="20"/>
      <w:r>
        <w:rPr>
          <w:rFonts w:ascii="Arial" w:cs="Arial" w:eastAsia="Arial" w:hAnsi="Arial"/>
        </w:rPr>
        <w:t xml:space="preserve">6. Statistical analysis</w:t>
      </w:r>
      <w:bookmarkEnd w:id="20"/>
    </w:p>
    <w:p>
      <w:pPr>
        <w:pStyle w:val="Heading2"/>
      </w:pPr>
      <w:bookmarkStart w:name="_Toc_21" w:id="21"/>
      <w:r>
        <w:rPr>
          <w:rFonts w:ascii="Arial" w:cs="Arial" w:eastAsia="Arial" w:hAnsi="Arial"/>
        </w:rPr>
        <w:t xml:space="preserve">6.1 Normality: Shapiro–Wilk test</w:t>
      </w:r>
      <w:bookmarkEnd w:id="21"/>
    </w:p>
    <w:p>
      <w:r>
        <w:rPr>
          <w:rFonts w:ascii="Arial" w:cs="Arial" w:eastAsia="Arial" w:hAnsi="Arial"/>
          <w:b/>
          <w:bCs/>
        </w:rPr>
        <w:t xml:space="preserve">Purpose:</w:t>
      </w:r>
      <w:r>
        <w:rPr>
          <w:rFonts w:ascii="Arial" w:cs="Arial" w:eastAsia="Arial" w:hAnsi="Arial"/>
        </w:rPr>
        <w:t xml:space="preserve"> to check whether Pearson’s r is appropriate.</w:t>
      </w:r>
    </w:p>
    <w:p>
      <w:pPr>
        <w:spacing w:after="60" w:before="60"/>
        <w:jc w:val="center"/>
      </w:pPr>
      <w:r>
        <w:rPr>
          <w:rFonts w:ascii="Arial" w:cs="Arial" w:eastAsia="Arial" w:hAnsi="Arial"/>
          <w:i/>
          <w:iCs/>
        </w:rPr>
        <w:t xml:space="preserve">W</w:t>
      </w:r>
      <w:r>
        <w:rPr>
          <w:rFonts w:ascii="Arial" w:cs="Arial" w:eastAsia="Arial" w:hAnsi="Arial"/>
        </w:rPr>
        <w:t xml:space="preserve"> = (Σ </w:t>
      </w:r>
      <w:r>
        <w:rPr>
          <w:rFonts w:ascii="Arial" w:cs="Arial" w:eastAsia="Arial" w:hAnsi="Arial"/>
          <w:i/>
          <w:iCs/>
        </w:rPr>
        <w:t xml:space="preserve">a</w:t>
      </w:r>
      <w:r>
        <w:rPr>
          <w:rFonts w:ascii="Arial" w:cs="Arial" w:eastAsia="Arial" w:hAnsi="Arial"/>
          <w:vertAlign w:val="subscript"/>
        </w:rPr>
        <w:t xml:space="preserve">i</w:t>
      </w:r>
      <w:r>
        <w:rPr>
          <w:rFonts w:ascii="Arial" w:cs="Arial" w:eastAsia="Arial" w:hAnsi="Arial"/>
          <w:i/>
          <w:iCs/>
        </w:rPr>
        <w:t xml:space="preserve">x</w:t>
      </w:r>
      <w:r>
        <w:rPr>
          <w:rFonts w:ascii="Arial" w:cs="Arial" w:eastAsia="Arial" w:hAnsi="Arial"/>
          <w:vertAlign w:val="subscript"/>
        </w:rPr>
        <w:t xml:space="preserve">(i)</w:t>
      </w:r>
      <w:r>
        <w:rPr>
          <w:rFonts w:ascii="Arial" w:cs="Arial" w:eastAsia="Arial" w:hAnsi="Arial"/>
        </w:rPr>
        <w:t xml:space="preserve">)</w:t>
      </w:r>
      <w:r>
        <w:rPr>
          <w:rFonts w:ascii="Arial" w:cs="Arial" w:eastAsia="Arial" w:hAnsi="Arial"/>
          <w:vertAlign w:val="superscript"/>
        </w:rPr>
        <w:t xml:space="preserve">2</w:t>
      </w:r>
      <w:r>
        <w:rPr>
          <w:rFonts w:ascii="Arial" w:cs="Arial" w:eastAsia="Arial" w:hAnsi="Arial"/>
        </w:rPr>
        <w:t xml:space="preserve"> / Σ(</w:t>
      </w:r>
      <w:r>
        <w:rPr>
          <w:rFonts w:ascii="Arial" w:cs="Arial" w:eastAsia="Arial" w:hAnsi="Arial"/>
          <w:i/>
          <w:iCs/>
        </w:rPr>
        <w:t xml:space="preserve">x</w:t>
      </w:r>
      <w:r>
        <w:rPr>
          <w:rFonts w:ascii="Arial" w:cs="Arial" w:eastAsia="Arial" w:hAnsi="Arial"/>
          <w:vertAlign w:val="subscript"/>
        </w:rPr>
        <w:t xml:space="preserve">i</w:t>
      </w:r>
      <w:r>
        <w:rPr>
          <w:rFonts w:ascii="Arial" w:cs="Arial" w:eastAsia="Arial" w:hAnsi="Arial"/>
        </w:rPr>
        <w:t xml:space="preserve"> − </w:t>
      </w:r>
      <w:r>
        <w:rPr>
          <w:rFonts w:ascii="Arial" w:cs="Arial" w:eastAsia="Arial" w:hAnsi="Arial"/>
          <w:i/>
          <w:iCs/>
        </w:rPr>
        <w:t xml:space="preserve">x̄</w:t>
      </w:r>
      <w:r>
        <w:rPr>
          <w:rFonts w:ascii="Arial" w:cs="Arial" w:eastAsia="Arial" w:hAnsi="Arial"/>
        </w:rPr>
        <w:t xml:space="preserve">)</w:t>
      </w:r>
      <w:r>
        <w:rPr>
          <w:rFonts w:ascii="Arial" w:cs="Arial" w:eastAsia="Arial" w:hAnsi="Arial"/>
          <w:vertAlign w:val="superscript"/>
        </w:rPr>
        <w:t xml:space="preserve">2</w:t>
      </w:r>
    </w:p>
    <w:p>
      <w:r>
        <w:rPr>
          <w:rFonts w:ascii="Arial" w:cs="Arial" w:eastAsia="Arial" w:hAnsi="Arial"/>
        </w:rPr>
        <w:t xml:space="preserve">where </w:t>
      </w:r>
      <w:r>
        <w:rPr>
          <w:rFonts w:ascii="Arial" w:cs="Arial" w:eastAsia="Arial" w:hAnsi="Arial"/>
          <w:i/>
          <w:iCs/>
        </w:rPr>
        <w:t xml:space="preserve">x</w:t>
      </w:r>
      <w:r>
        <w:rPr>
          <w:rFonts w:ascii="Arial" w:cs="Arial" w:eastAsia="Arial" w:hAnsi="Arial"/>
          <w:vertAlign w:val="subscript"/>
        </w:rPr>
        <w:t xml:space="preserve">(i)</w:t>
      </w:r>
      <w:r>
        <w:rPr>
          <w:rFonts w:ascii="Arial" w:cs="Arial" w:eastAsia="Arial" w:hAnsi="Arial"/>
        </w:rPr>
        <w:t xml:space="preserve"> are the ordered values and </w:t>
      </w:r>
      <w:r>
        <w:rPr>
          <w:rFonts w:ascii="Arial" w:cs="Arial" w:eastAsia="Arial" w:hAnsi="Arial"/>
          <w:i/>
          <w:iCs/>
        </w:rPr>
        <w:t xml:space="preserve">a</w:t>
      </w:r>
      <w:r>
        <w:rPr>
          <w:rFonts w:ascii="Arial" w:cs="Arial" w:eastAsia="Arial" w:hAnsi="Arial"/>
          <w:vertAlign w:val="subscript"/>
        </w:rPr>
        <w:t xml:space="preserve">i</w:t>
      </w:r>
      <w:r>
        <w:rPr>
          <w:rFonts w:ascii="Arial" w:cs="Arial" w:eastAsia="Arial" w:hAnsi="Arial"/>
        </w:rPr>
        <w:t xml:space="preserve"> are constants derived from the normal distribution; </w:t>
      </w:r>
      <w:r>
        <w:rPr>
          <w:rFonts w:ascii="Arial" w:cs="Arial" w:eastAsia="Arial" w:hAnsi="Arial"/>
          <w:i/>
          <w:iCs/>
        </w:rPr>
        <w:t xml:space="preserve">W</w:t>
      </w:r>
      <w:r>
        <w:rPr>
          <w:rFonts w:ascii="Arial" w:cs="Arial" w:eastAsia="Arial" w:hAnsi="Arial"/>
        </w:rPr>
        <w:t xml:space="preserve"> close to 1 indicates normality. Because the constants are tabulated, </w:t>
      </w:r>
      <w:r>
        <w:rPr>
          <w:rFonts w:ascii="Arial" w:cs="Arial" w:eastAsia="Arial" w:hAnsi="Arial"/>
          <w:i/>
          <w:iCs/>
        </w:rPr>
        <w:t xml:space="preserve">W</w:t>
      </w:r>
      <w:r>
        <w:rPr>
          <w:rFonts w:ascii="Arial" w:cs="Arial" w:eastAsia="Arial" w:hAnsi="Arial"/>
        </w:rPr>
        <w:t xml:space="preserve"> was calculated with SciPy.</w:t>
      </w:r>
    </w:p>
    <w:p>
      <w:pPr>
        <w:spacing w:after="40"/>
        <w:ind w:left="720"/>
      </w:pPr>
      <w:r>
        <w:rPr>
          <w:rFonts w:ascii="Arial" w:cs="Arial" w:eastAsia="Arial" w:hAnsi="Arial"/>
        </w:rPr>
        <w:t xml:space="preserve">Tree-cover loss: </w:t>
      </w:r>
      <w:r>
        <w:rPr>
          <w:rFonts w:ascii="Arial" w:cs="Arial" w:eastAsia="Arial" w:hAnsi="Arial"/>
          <w:i/>
          <w:iCs/>
        </w:rPr>
        <w:t xml:space="preserve">W</w:t>
      </w:r>
      <w:r>
        <w:rPr>
          <w:rFonts w:ascii="Arial" w:cs="Arial" w:eastAsia="Arial" w:hAnsi="Arial"/>
        </w:rPr>
        <w:t xml:space="preserve"> = 0.852, </w:t>
      </w:r>
      <w:r>
        <w:rPr>
          <w:rFonts w:ascii="Arial" w:cs="Arial" w:eastAsia="Arial" w:hAnsi="Arial"/>
          <w:i/>
          <w:iCs/>
        </w:rPr>
        <w:t xml:space="preserve">p</w:t>
      </w:r>
      <w:r>
        <w:rPr>
          <w:rFonts w:ascii="Arial" w:cs="Arial" w:eastAsia="Arial" w:hAnsi="Arial"/>
        </w:rPr>
        <w:t xml:space="preserve"> = 0.002        CO</w:t>
      </w:r>
      <w:r>
        <w:rPr>
          <w:rFonts w:ascii="Arial" w:cs="Arial" w:eastAsia="Arial" w:hAnsi="Arial"/>
          <w:vertAlign w:val="subscript"/>
        </w:rPr>
        <w:t xml:space="preserve">2</w:t>
      </w:r>
      <w:r>
        <w:rPr>
          <w:rFonts w:ascii="Arial" w:cs="Arial" w:eastAsia="Arial" w:hAnsi="Arial"/>
        </w:rPr>
        <w:t xml:space="preserve">: </w:t>
      </w:r>
      <w:r>
        <w:rPr>
          <w:rFonts w:ascii="Arial" w:cs="Arial" w:eastAsia="Arial" w:hAnsi="Arial"/>
          <w:i/>
          <w:iCs/>
        </w:rPr>
        <w:t xml:space="preserve">W</w:t>
      </w:r>
      <w:r>
        <w:rPr>
          <w:rFonts w:ascii="Arial" w:cs="Arial" w:eastAsia="Arial" w:hAnsi="Arial"/>
        </w:rPr>
        <w:t xml:space="preserve"> = 0.838, </w:t>
      </w:r>
      <w:r>
        <w:rPr>
          <w:rFonts w:ascii="Arial" w:cs="Arial" w:eastAsia="Arial" w:hAnsi="Arial"/>
          <w:i/>
          <w:iCs/>
        </w:rPr>
        <w:t xml:space="preserve">p</w:t>
      </w:r>
      <w:r>
        <w:rPr>
          <w:rFonts w:ascii="Arial" w:cs="Arial" w:eastAsia="Arial" w:hAnsi="Arial"/>
        </w:rPr>
        <w:t xml:space="preserve"> = 0.001</w:t>
      </w:r>
    </w:p>
    <w:p>
      <w:r>
        <w:rPr>
          <w:rFonts w:ascii="Arial" w:cs="Arial" w:eastAsia="Arial" w:hAnsi="Arial"/>
          <w:b/>
          <w:bCs/>
        </w:rPr>
        <w:t xml:space="preserve">Interpretation:</w:t>
      </w:r>
      <w:r>
        <w:rPr>
          <w:rFonts w:ascii="Arial" w:cs="Arial" w:eastAsia="Arial" w:hAnsi="Arial"/>
        </w:rPr>
        <w:t xml:space="preserve"> both p-values are below 0.05, so normality is rejected. Loss is right-skewed (skewness 0.521; a few very high years after 2013) and CO</w:t>
      </w:r>
      <w:r>
        <w:rPr>
          <w:rFonts w:ascii="Arial" w:cs="Arial" w:eastAsia="Arial" w:hAnsi="Arial"/>
          <w:vertAlign w:val="subscript"/>
        </w:rPr>
        <w:t xml:space="preserve">2</w:t>
      </w:r>
      <w:r>
        <w:rPr>
          <w:rFonts w:ascii="Arial" w:cs="Arial" w:eastAsia="Arial" w:hAnsi="Arial"/>
        </w:rPr>
        <w:t xml:space="preserve"> is left-skewed (−0.547; many years at 9.6–9.9 Mt), so Pearson’s r is unsuitable for significance testing. </w:t>
      </w:r>
      <w:r>
        <w:rPr>
          <w:rFonts w:ascii="Arial" w:cs="Arial" w:eastAsia="Arial" w:hAnsi="Arial"/>
          <w:b/>
          <w:bCs/>
        </w:rPr>
        <w:t xml:space="preserve">Limitation:</w:t>
      </w:r>
      <w:r>
        <w:rPr>
          <w:rFonts w:ascii="Arial" w:cs="Arial" w:eastAsia="Arial" w:hAnsi="Arial"/>
        </w:rPr>
        <w:t xml:space="preserve"> with n = 24 the test has low power, but both results are well below 0.05.</w:t>
      </w:r>
    </w:p>
    <w:p>
      <w:pPr>
        <w:pStyle w:val="Heading2"/>
      </w:pPr>
      <w:bookmarkStart w:name="_Toc_22" w:id="22"/>
      <w:r>
        <w:rPr>
          <w:rFonts w:ascii="Arial" w:cs="Arial" w:eastAsia="Arial" w:hAnsi="Arial"/>
        </w:rPr>
        <w:t xml:space="preserve">6.2 Spearman’s rank correlation (main test)</w:t>
      </w:r>
      <w:bookmarkEnd w:id="22"/>
    </w:p>
    <w:p>
      <w:r>
        <w:rPr>
          <w:rFonts w:ascii="Arial" w:cs="Arial" w:eastAsia="Arial" w:hAnsi="Arial"/>
          <w:b/>
          <w:bCs/>
        </w:rPr>
        <w:t xml:space="preserve">Purpose:</w:t>
      </w:r>
      <w:r>
        <w:rPr>
          <w:rFonts w:ascii="Arial" w:cs="Arial" w:eastAsia="Arial" w:hAnsi="Arial"/>
        </w:rPr>
        <w:t xml:space="preserve"> to measure the strength and direction of a monotonic association without assuming normality. Values were ranked (1 = smallest); there were no ties.</w:t>
      </w:r>
    </w:p>
    <w:p>
      <w:pPr>
        <w:spacing w:after="60" w:before="60"/>
        <w:jc w:val="center"/>
      </w:pP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 1 − 6Σ</w:t>
      </w:r>
      <w:r>
        <w:rPr>
          <w:rFonts w:ascii="Arial" w:cs="Arial" w:eastAsia="Arial" w:hAnsi="Arial"/>
          <w:i/>
          <w:iCs/>
        </w:rPr>
        <w:t xml:space="preserve">d</w:t>
      </w:r>
      <w:r>
        <w:rPr>
          <w:rFonts w:ascii="Arial" w:cs="Arial" w:eastAsia="Arial" w:hAnsi="Arial"/>
          <w:vertAlign w:val="superscript"/>
        </w:rPr>
        <w:t xml:space="preserve">2</w:t>
      </w:r>
      <w:r>
        <w:rPr>
          <w:rFonts w:ascii="Arial" w:cs="Arial" w:eastAsia="Arial" w:hAnsi="Arial"/>
        </w:rPr>
        <w:t xml:space="preserve"> / [</w:t>
      </w:r>
      <w:r>
        <w:rPr>
          <w:rFonts w:ascii="Arial" w:cs="Arial" w:eastAsia="Arial" w:hAnsi="Arial"/>
          <w:i/>
          <w:iCs/>
        </w:rPr>
        <w:t xml:space="preserve">n</w:t>
      </w:r>
      <w:r>
        <w:rPr>
          <w:rFonts w:ascii="Arial" w:cs="Arial" w:eastAsia="Arial" w:hAnsi="Arial"/>
        </w:rPr>
        <w:t xml:space="preserve">(</w:t>
      </w:r>
      <w:r>
        <w:rPr>
          <w:rFonts w:ascii="Arial" w:cs="Arial" w:eastAsia="Arial" w:hAnsi="Arial"/>
          <w:i/>
          <w:iCs/>
        </w:rPr>
        <w:t xml:space="preserve">n</w:t>
      </w:r>
      <w:r>
        <w:rPr>
          <w:rFonts w:ascii="Arial" w:cs="Arial" w:eastAsia="Arial" w:hAnsi="Arial"/>
          <w:vertAlign w:val="superscript"/>
        </w:rPr>
        <w:t xml:space="preserve">2</w:t>
      </w:r>
      <w:r>
        <w:rPr>
          <w:rFonts w:ascii="Arial" w:cs="Arial" w:eastAsia="Arial" w:hAnsi="Arial"/>
        </w:rPr>
        <w:t xml:space="preserve"> − 1)]</w:t>
      </w:r>
    </w:p>
    <w:p>
      <w:pPr>
        <w:keepNext/>
        <w:spacing w:after="60" w:before="160"/>
      </w:pPr>
      <w:r>
        <w:rPr>
          <w:rFonts w:ascii="Arial" w:cs="Arial" w:eastAsia="Arial" w:hAnsi="Arial"/>
          <w:b/>
          <w:bCs/>
          <w:color w:val="333333"/>
          <w:sz w:val="18"/>
          <w:szCs w:val="18"/>
        </w:rPr>
        <w:t xml:space="preserve">Table 5.</w:t>
      </w:r>
      <w:r>
        <w:rPr>
          <w:rFonts w:ascii="Arial" w:cs="Arial" w:eastAsia="Arial" w:hAnsi="Arial"/>
          <w:color w:val="333333"/>
          <w:sz w:val="18"/>
          <w:szCs w:val="18"/>
        </w:rPr>
        <w:t xml:space="preserve"> Ranks and rank differences (</w:t>
      </w:r>
      <w:r>
        <w:rPr>
          <w:rFonts w:ascii="Arial" w:cs="Arial" w:eastAsia="Arial" w:hAnsi="Arial"/>
          <w:i/>
          <w:iCs/>
          <w:color w:val="333333"/>
          <w:sz w:val="18"/>
          <w:szCs w:val="18"/>
        </w:rPr>
        <w:t xml:space="preserve">d</w:t>
      </w:r>
      <w:r>
        <w:rPr>
          <w:rFonts w:ascii="Arial" w:cs="Arial" w:eastAsia="Arial" w:hAnsi="Arial"/>
          <w:color w:val="333333"/>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1200"/>
        <w:gridCol w:w="1400"/>
        <w:gridCol w:w="1300"/>
        <w:gridCol w:w="1200"/>
        <w:gridCol w:w="1326"/>
      </w:tblGrid>
      <w:tr>
        <w:trPr>
          <w:cantSplit/>
          <w:tblHeader/>
        </w:trPr>
        <w:tc>
          <w:tcPr>
            <w:tcW w:type="dxa" w:w="11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b/>
                <w:bCs/>
                <w:sz w:val="17"/>
                <w:szCs w:val="17"/>
              </w:rPr>
              <w:t xml:space="preserve">Year</w:t>
            </w:r>
          </w:p>
        </w:tc>
        <w:tc>
          <w:tcPr>
            <w:tcW w:type="dxa" w:w="15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b/>
                <w:bCs/>
                <w:sz w:val="17"/>
                <w:szCs w:val="17"/>
              </w:rPr>
              <w:t xml:space="preserve">Loss (ha)</w:t>
            </w:r>
          </w:p>
        </w:tc>
        <w:tc>
          <w:tcPr>
            <w:tcW w:type="dxa" w:w="12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b/>
                <w:bCs/>
                <w:sz w:val="17"/>
                <w:szCs w:val="17"/>
              </w:rPr>
              <w:t xml:space="preserve">Rank loss</w:t>
            </w:r>
          </w:p>
        </w:tc>
        <w:tc>
          <w:tcPr>
            <w:tcW w:type="dxa" w:w="14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b/>
                <w:bCs/>
                <w:sz w:val="17"/>
                <w:szCs w:val="17"/>
              </w:rPr>
              <w:t xml:space="preserve">CO</w:t>
            </w:r>
            <w:r>
              <w:rPr>
                <w:rFonts w:ascii="Arial" w:cs="Arial" w:eastAsia="Arial" w:hAnsi="Arial"/>
                <w:b/>
                <w:bCs/>
                <w:sz w:val="17"/>
                <w:szCs w:val="17"/>
                <w:vertAlign w:val="subscript"/>
              </w:rPr>
              <w:t xml:space="preserve">2</w:t>
            </w:r>
            <w:r>
              <w:rPr>
                <w:rFonts w:ascii="Arial" w:cs="Arial" w:eastAsia="Arial" w:hAnsi="Arial"/>
                <w:b/>
                <w:bCs/>
                <w:sz w:val="17"/>
                <w:szCs w:val="17"/>
              </w:rPr>
              <w:t xml:space="preserve"> (Mt)</w:t>
            </w:r>
          </w:p>
        </w:tc>
        <w:tc>
          <w:tcPr>
            <w:tcW w:type="dxa" w:w="13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b/>
                <w:bCs/>
                <w:sz w:val="17"/>
                <w:szCs w:val="17"/>
              </w:rPr>
              <w:t xml:space="preserve">Rank CO</w:t>
            </w:r>
            <w:r>
              <w:rPr>
                <w:rFonts w:ascii="Arial" w:cs="Arial" w:eastAsia="Arial" w:hAnsi="Arial"/>
                <w:b/>
                <w:bCs/>
                <w:sz w:val="17"/>
                <w:szCs w:val="17"/>
                <w:vertAlign w:val="subscript"/>
              </w:rPr>
              <w:t xml:space="preserve">2</w:t>
            </w:r>
          </w:p>
        </w:tc>
        <w:tc>
          <w:tcPr>
            <w:tcW w:type="dxa" w:w="12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b/>
                <w:bCs/>
                <w:i/>
                <w:iCs/>
                <w:sz w:val="17"/>
                <w:szCs w:val="17"/>
              </w:rPr>
              <w:t xml:space="preserve">d</w:t>
            </w:r>
          </w:p>
        </w:tc>
        <w:tc>
          <w:tcPr>
            <w:tcW w:type="dxa" w:w="1326"/>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b/>
                <w:bCs/>
                <w:i/>
                <w:iCs/>
                <w:sz w:val="17"/>
                <w:szCs w:val="17"/>
              </w:rPr>
              <w:t xml:space="preserve">d</w:t>
            </w:r>
            <w:r>
              <w:rPr>
                <w:rFonts w:ascii="Arial" w:cs="Arial" w:eastAsia="Arial" w:hAnsi="Arial"/>
                <w:b/>
                <w:bCs/>
                <w:sz w:val="17"/>
                <w:szCs w:val="17"/>
                <w:vertAlign w:val="superscript"/>
              </w:rPr>
              <w:t xml:space="preserve">2</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2001</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39,204</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9</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5.562</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4</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5</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25</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2002</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28,767</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5</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5.351</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4</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16</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2003</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25,345</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3</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5.705</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6</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−3</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9</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2004</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23,003</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5.698</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5</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−4</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16</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2005</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25,159</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5.424</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0</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0</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2006</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35,986</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7</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5.486</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3</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4</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16</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2007</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45,917</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10</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7.409</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8</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4</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2008</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35,141</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6</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7.321</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7</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2009</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36,072</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8</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8.555</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13</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−5</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25</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2010</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57,992</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12</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8.383</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12</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0</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0</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2011</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27,652</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4</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8.105</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11</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−7</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49</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2012</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51,268</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11</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7.607</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9</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4</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2013</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84,612</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14</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7.853</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10</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4</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16</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2014</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181,851</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21</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8.775</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14</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7</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49</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2015</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78,970</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13</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9.850</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23</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−10</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100</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2016</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116,619</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15</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9.965</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24</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−9</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81</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2017</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187,282</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22</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9.582</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15</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7</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49</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2018</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120,814</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16</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9.844</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22</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−6</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36</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2019</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121,800</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17</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9.605</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16</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2020</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202,796</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23</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9.716</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19</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4</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16</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2021</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168,797</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19</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9.734</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2022</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147,810</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18</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9.792</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21</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−3</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9</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2023</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204,198</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24</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9.695</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18</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6</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36</w:t>
            </w:r>
          </w:p>
        </w:tc>
      </w:tr>
      <w:tr>
        <w:trPr>
          <w:cantSplit/>
        </w:trPr>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2024</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179,152</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20</w:t>
            </w:r>
          </w:p>
        </w:tc>
        <w:tc>
          <w:tcPr>
            <w:tcW w:type="dxa" w:w="14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right"/>
            </w:pPr>
            <w:r>
              <w:rPr>
                <w:rFonts w:ascii="Arial" w:cs="Arial" w:eastAsia="Arial" w:hAnsi="Arial"/>
                <w:sz w:val="17"/>
                <w:szCs w:val="17"/>
              </w:rPr>
              <w:t xml:space="preserve">9.632</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17</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3</w:t>
            </w:r>
          </w:p>
        </w:tc>
        <w:tc>
          <w:tcPr>
            <w:tcW w:type="dxa" w:w="13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9</w:t>
            </w:r>
          </w:p>
        </w:tc>
      </w:tr>
    </w:tbl>
    <w:p>
      <w:pPr>
        <w:spacing w:after="80"/>
      </w:pPr>
    </w:p>
    <w:p>
      <w:pPr>
        <w:spacing w:after="40"/>
        <w:ind w:left="720"/>
      </w:pPr>
      <w:r>
        <w:rPr>
          <w:rFonts w:ascii="Arial" w:cs="Arial" w:eastAsia="Arial" w:hAnsi="Arial"/>
        </w:rPr>
        <w:t xml:space="preserve">Σ</w:t>
      </w:r>
      <w:r>
        <w:rPr>
          <w:rFonts w:ascii="Arial" w:cs="Arial" w:eastAsia="Arial" w:hAnsi="Arial"/>
          <w:i/>
          <w:iCs/>
        </w:rPr>
        <w:t xml:space="preserve">d</w:t>
      </w:r>
      <w:r>
        <w:rPr>
          <w:rFonts w:ascii="Arial" w:cs="Arial" w:eastAsia="Arial" w:hAnsi="Arial"/>
          <w:vertAlign w:val="superscript"/>
        </w:rPr>
        <w:t xml:space="preserve">2</w:t>
      </w:r>
      <w:r>
        <w:rPr>
          <w:rFonts w:ascii="Arial" w:cs="Arial" w:eastAsia="Arial" w:hAnsi="Arial"/>
        </w:rPr>
        <w:t xml:space="preserve"> = 568;   </w:t>
      </w:r>
      <w:r>
        <w:rPr>
          <w:rFonts w:ascii="Arial" w:cs="Arial" w:eastAsia="Arial" w:hAnsi="Arial"/>
          <w:i/>
          <w:iCs/>
        </w:rPr>
        <w:t xml:space="preserve">n</w:t>
      </w:r>
      <w:r>
        <w:rPr>
          <w:rFonts w:ascii="Arial" w:cs="Arial" w:eastAsia="Arial" w:hAnsi="Arial"/>
        </w:rPr>
        <w:t xml:space="preserve">(</w:t>
      </w:r>
      <w:r>
        <w:rPr>
          <w:rFonts w:ascii="Arial" w:cs="Arial" w:eastAsia="Arial" w:hAnsi="Arial"/>
          <w:i/>
          <w:iCs/>
        </w:rPr>
        <w:t xml:space="preserve">n</w:t>
      </w:r>
      <w:r>
        <w:rPr>
          <w:rFonts w:ascii="Arial" w:cs="Arial" w:eastAsia="Arial" w:hAnsi="Arial"/>
          <w:vertAlign w:val="superscript"/>
        </w:rPr>
        <w:t xml:space="preserve">2</w:t>
      </w:r>
      <w:r>
        <w:rPr>
          <w:rFonts w:ascii="Arial" w:cs="Arial" w:eastAsia="Arial" w:hAnsi="Arial"/>
        </w:rPr>
        <w:t xml:space="preserve"> − 1) = 24 × (576 − 1) = 13,800</w:t>
      </w:r>
    </w:p>
    <w:p>
      <w:pPr>
        <w:spacing w:after="40"/>
        <w:ind w:left="720"/>
      </w:pP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 1 − (6 × 568) / 13,800 = 1 − 3,408 / 13,800 = 1 − 0.247 = </w:t>
      </w:r>
      <w:r>
        <w:rPr>
          <w:rFonts w:ascii="Arial" w:cs="Arial" w:eastAsia="Arial" w:hAnsi="Arial"/>
          <w:b/>
          <w:bCs/>
        </w:rPr>
        <w:t xml:space="preserve">0.753</w:t>
      </w:r>
    </w:p>
    <w:p>
      <w:pPr>
        <w:spacing w:after="40"/>
        <w:ind w:left="720"/>
      </w:pPr>
      <w:r>
        <w:rPr>
          <w:rFonts w:ascii="Arial" w:cs="Arial" w:eastAsia="Arial" w:hAnsi="Arial"/>
        </w:rPr>
        <w:t xml:space="preserve">Significance: </w:t>
      </w:r>
      <w:r>
        <w:rPr>
          <w:rFonts w:ascii="Arial" w:cs="Arial" w:eastAsia="Arial" w:hAnsi="Arial"/>
          <w:i/>
          <w:iCs/>
        </w:rPr>
        <w:t xml:space="preserve">t</w:t>
      </w:r>
      <w:r>
        <w:rPr>
          <w:rFonts w:ascii="Arial" w:cs="Arial" w:eastAsia="Arial" w:hAnsi="Arial"/>
        </w:rPr>
        <w:t xml:space="preserve"> = </w:t>
      </w: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w:t>
      </w:r>
      <w:r>
        <w:rPr>
          <w:rFonts w:ascii="Arial" w:cs="Arial" w:eastAsia="Arial" w:hAnsi="Arial"/>
          <w:i/>
          <w:iCs/>
        </w:rPr>
        <w:t xml:space="preserve">n</w:t>
      </w:r>
      <w:r>
        <w:rPr>
          <w:rFonts w:ascii="Arial" w:cs="Arial" w:eastAsia="Arial" w:hAnsi="Arial"/>
        </w:rPr>
        <w:t xml:space="preserve"> − 2) / (1 − </w:t>
      </w: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vertAlign w:val="superscript"/>
        </w:rPr>
        <w:t xml:space="preserve">2</w:t>
      </w:r>
      <w:r>
        <w:rPr>
          <w:rFonts w:ascii="Arial" w:cs="Arial" w:eastAsia="Arial" w:hAnsi="Arial"/>
        </w:rPr>
        <w:t xml:space="preserve">)] = 0.753 × √(22 / 0.433) = 5.37   (df = 22)</w:t>
      </w:r>
    </w:p>
    <w:p>
      <w:pPr>
        <w:spacing w:after="40"/>
        <w:ind w:left="720"/>
      </w:pPr>
      <w:r>
        <w:rPr>
          <w:rFonts w:ascii="Arial" w:cs="Arial" w:eastAsia="Arial" w:hAnsi="Arial"/>
        </w:rPr>
        <w:t xml:space="preserve">Critical </w:t>
      </w: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(α = 0.05, two-tailed, </w:t>
      </w:r>
      <w:r>
        <w:rPr>
          <w:rFonts w:ascii="Arial" w:cs="Arial" w:eastAsia="Arial" w:hAnsi="Arial"/>
          <w:i/>
          <w:iCs/>
        </w:rPr>
        <w:t xml:space="preserve">n</w:t>
      </w:r>
      <w:r>
        <w:rPr>
          <w:rFonts w:ascii="Arial" w:cs="Arial" w:eastAsia="Arial" w:hAnsi="Arial"/>
        </w:rPr>
        <w:t xml:space="preserve"> = 24) = 0.404;   </w:t>
      </w:r>
      <w:r>
        <w:rPr>
          <w:rFonts w:ascii="Arial" w:cs="Arial" w:eastAsia="Arial" w:hAnsi="Arial"/>
          <w:i/>
          <w:iCs/>
        </w:rPr>
        <w:t xml:space="preserve">p</w:t>
      </w:r>
      <w:r>
        <w:rPr>
          <w:rFonts w:ascii="Arial" w:cs="Arial" w:eastAsia="Arial" w:hAnsi="Arial"/>
        </w:rPr>
        <w:t xml:space="preserve"> = 2.2 × 10</w:t>
      </w:r>
      <w:r>
        <w:rPr>
          <w:rFonts w:ascii="Arial" w:cs="Arial" w:eastAsia="Arial" w:hAnsi="Arial"/>
          <w:vertAlign w:val="superscript"/>
        </w:rPr>
        <w:t xml:space="preserve">−5</w:t>
      </w:r>
    </w:p>
    <w:p>
      <w:r>
        <w:rPr>
          <w:rFonts w:ascii="Arial" w:cs="Arial" w:eastAsia="Arial" w:hAnsi="Arial"/>
          <w:b/>
          <w:bCs/>
        </w:rPr>
        <w:t xml:space="preserve">Result and interpretation:</w:t>
      </w:r>
      <w:r>
        <w:rPr>
          <w:rFonts w:ascii="Arial" w:cs="Arial" w:eastAsia="Arial" w:hAnsi="Arial"/>
        </w:rPr>
        <w:t xml:space="preserve"> </w:t>
      </w: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 0.753 exceeds the critical value of 0.404 (p &lt; 0.001), so H</w:t>
      </w:r>
      <w:r>
        <w:rPr>
          <w:rFonts w:ascii="Arial" w:cs="Arial" w:eastAsia="Arial" w:hAnsi="Arial"/>
          <w:vertAlign w:val="subscript"/>
        </w:rPr>
        <w:t xml:space="preserve">0</w:t>
      </w:r>
      <w:r>
        <w:rPr>
          <w:rFonts w:ascii="Arial" w:cs="Arial" w:eastAsia="Arial" w:hAnsi="Arial"/>
        </w:rPr>
        <w:t xml:space="preserve"> is rejected; SciPy gave the same value. There is a strong positive monotonic association: periods when Cameroon lost more tree cover were also periods of higher fossil and industrial CO</w:t>
      </w:r>
      <w:r>
        <w:rPr>
          <w:rFonts w:ascii="Arial" w:cs="Arial" w:eastAsia="Arial" w:hAnsi="Arial"/>
          <w:vertAlign w:val="subscript"/>
        </w:rPr>
        <w:t xml:space="preserve">2</w:t>
      </w:r>
      <w:r>
        <w:rPr>
          <w:rFonts w:ascii="Arial" w:cs="Arial" w:eastAsia="Arial" w:hAnsi="Arial"/>
        </w:rPr>
        <w:t xml:space="preserve"> emissions. </w:t>
      </w:r>
      <w:r>
        <w:rPr>
          <w:rFonts w:ascii="Arial" w:cs="Arial" w:eastAsia="Arial" w:hAnsi="Arial"/>
          <w:b/>
          <w:bCs/>
        </w:rPr>
        <w:t xml:space="preserve">Limitation:</w:t>
      </w:r>
      <w:r>
        <w:rPr>
          <w:rFonts w:ascii="Arial" w:cs="Arial" w:eastAsia="Arial" w:hAnsi="Arial"/>
        </w:rPr>
        <w:t xml:space="preserve"> </w:t>
      </w: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cannot separate a direct link from a shared time trend, and ranking ignores the size of differences between years.</w:t>
      </w:r>
    </w:p>
    <w:p>
      <w:pPr>
        <w:pStyle w:val="Heading2"/>
      </w:pPr>
      <w:bookmarkStart w:name="_Toc_23" w:id="23"/>
      <w:r>
        <w:rPr>
          <w:rFonts w:ascii="Arial" w:cs="Arial" w:eastAsia="Arial" w:hAnsi="Arial"/>
        </w:rPr>
        <w:t xml:space="preserve">6.3 Scatter graph and least-squares line</w:t>
      </w:r>
      <w:bookmarkEnd w:id="23"/>
    </w:p>
    <w:p>
      <w:pPr>
        <w:keepNext/>
        <w:spacing w:after="0" w:before="120" w:line="240" w:lineRule="auto"/>
        <w:jc w:val="center"/>
      </w:pPr>
      <w:r>
        <w:drawing>
          <wp:inline distT="0" distB="0" distL="0" distR="0">
            <wp:extent cx="5715000" cy="3533775"/>
            <wp:effectExtent t="0" r="0" b="0" l="0"/>
            <wp:docPr id="1" name="fig3_scatter_loss_co2.png" descr="Graph 3. Annual CO2 emissions against annual tree-cover loss, 2001–2024, with a descriptive least-squares line." title="fig3_scatter_loss_c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33775"/>
                    </a:xfrm>
                    <a:prstGeom prst="rect">
                      <a:avLst/>
                    </a:prstGeom>
                  </pic:spPr>
                </pic:pic>
              </a:graphicData>
            </a:graphic>
          </wp:inline>
        </w:drawing>
      </w:r>
    </w:p>
    <w:p>
      <w:pPr>
        <w:keepNext w:val="false"/>
        <w:spacing w:after="200" w:before="60"/>
      </w:pPr>
      <w:r>
        <w:rPr>
          <w:rFonts w:ascii="Arial" w:cs="Arial" w:eastAsia="Arial" w:hAnsi="Arial"/>
          <w:b/>
          <w:bCs/>
          <w:color w:val="333333"/>
          <w:sz w:val="18"/>
          <w:szCs w:val="18"/>
        </w:rPr>
        <w:t xml:space="preserve">Graph 3.</w:t>
      </w:r>
      <w:r>
        <w:rPr>
          <w:rFonts w:ascii="Arial" w:cs="Arial" w:eastAsia="Arial" w:hAnsi="Arial"/>
          <w:color w:val="333333"/>
          <w:sz w:val="18"/>
          <w:szCs w:val="18"/>
        </w:rPr>
        <w:t xml:space="preserve"> Annual CO</w:t>
      </w:r>
      <w:r>
        <w:rPr>
          <w:rFonts w:ascii="Arial" w:cs="Arial" w:eastAsia="Arial" w:hAnsi="Arial"/>
          <w:color w:val="333333"/>
          <w:sz w:val="18"/>
          <w:szCs w:val="18"/>
          <w:vertAlign w:val="subscript"/>
        </w:rPr>
        <w:t xml:space="preserve">2</w:t>
      </w:r>
      <w:r>
        <w:rPr>
          <w:rFonts w:ascii="Arial" w:cs="Arial" w:eastAsia="Arial" w:hAnsi="Arial"/>
          <w:color w:val="333333"/>
          <w:sz w:val="18"/>
          <w:szCs w:val="18"/>
        </w:rPr>
        <w:t xml:space="preserve"> emissions against annual tree-cover loss, 2001–2024, with a descriptive least-squares line.</w:t>
      </w:r>
    </w:p>
    <w:p>
      <w:r>
        <w:rPr>
          <w:rFonts w:ascii="Arial" w:cs="Arial" w:eastAsia="Arial" w:hAnsi="Arial"/>
          <w:b/>
          <w:bCs/>
        </w:rPr>
        <w:t xml:space="preserve">Purpose:</w:t>
      </w:r>
      <w:r>
        <w:rPr>
          <w:rFonts w:ascii="Arial" w:cs="Arial" w:eastAsia="Arial" w:hAnsi="Arial"/>
        </w:rPr>
        <w:t xml:space="preserve"> to describe the overall trend.</w:t>
      </w:r>
    </w:p>
    <w:p>
      <w:pPr>
        <w:spacing w:after="40"/>
        <w:ind w:left="720"/>
      </w:pPr>
      <w:r>
        <w:rPr>
          <w:rFonts w:ascii="Arial" w:cs="Arial" w:eastAsia="Arial" w:hAnsi="Arial"/>
          <w:i/>
          <w:iCs/>
        </w:rPr>
        <w:t xml:space="preserve">b</w:t>
      </w:r>
      <w:r>
        <w:rPr>
          <w:rFonts w:ascii="Arial" w:cs="Arial" w:eastAsia="Arial" w:hAnsi="Arial"/>
        </w:rPr>
        <w:t xml:space="preserve"> = </w:t>
      </w:r>
      <w:r>
        <w:rPr>
          <w:rFonts w:ascii="Arial" w:cs="Arial" w:eastAsia="Arial" w:hAnsi="Arial"/>
          <w:i/>
          <w:iCs/>
        </w:rPr>
        <w:t xml:space="preserve">S</w:t>
      </w:r>
      <w:r>
        <w:rPr>
          <w:rFonts w:ascii="Arial" w:cs="Arial" w:eastAsia="Arial" w:hAnsi="Arial"/>
          <w:vertAlign w:val="subscript"/>
        </w:rPr>
        <w:t xml:space="preserve">xy</w:t>
      </w:r>
      <w:r>
        <w:rPr>
          <w:rFonts w:ascii="Arial" w:cs="Arial" w:eastAsia="Arial" w:hAnsi="Arial"/>
        </w:rPr>
        <w:t xml:space="preserve"> / </w:t>
      </w:r>
      <w:r>
        <w:rPr>
          <w:rFonts w:ascii="Arial" w:cs="Arial" w:eastAsia="Arial" w:hAnsi="Arial"/>
          <w:i/>
          <w:iCs/>
        </w:rPr>
        <w:t xml:space="preserve">S</w:t>
      </w:r>
      <w:r>
        <w:rPr>
          <w:rFonts w:ascii="Arial" w:cs="Arial" w:eastAsia="Arial" w:hAnsi="Arial"/>
          <w:vertAlign w:val="subscript"/>
        </w:rPr>
        <w:t xml:space="preserve">xx</w:t>
      </w:r>
      <w:r>
        <w:rPr>
          <w:rFonts w:ascii="Arial" w:cs="Arial" w:eastAsia="Arial" w:hAnsi="Arial"/>
        </w:rPr>
        <w:t xml:space="preserve"> = 2,052,446 / 100,194,373,235.6 = 2.048 × 10</w:t>
      </w:r>
      <w:r>
        <w:rPr>
          <w:rFonts w:ascii="Arial" w:cs="Arial" w:eastAsia="Arial" w:hAnsi="Arial"/>
          <w:vertAlign w:val="superscript"/>
        </w:rPr>
        <w:t xml:space="preserve">−5</w:t>
      </w:r>
      <w:r>
        <w:rPr>
          <w:rFonts w:ascii="Arial" w:cs="Arial" w:eastAsia="Arial" w:hAnsi="Arial"/>
        </w:rPr>
        <w:t xml:space="preserve"> Mt ha</w:t>
      </w:r>
      <w:r>
        <w:rPr>
          <w:rFonts w:ascii="Arial" w:cs="Arial" w:eastAsia="Arial" w:hAnsi="Arial"/>
          <w:vertAlign w:val="superscript"/>
        </w:rPr>
        <w:t xml:space="preserve">−1</w:t>
      </w:r>
    </w:p>
    <w:p>
      <w:pPr>
        <w:spacing w:after="40"/>
        <w:ind w:left="720"/>
      </w:pPr>
      <w:r>
        <w:rPr>
          <w:rFonts w:ascii="Arial" w:cs="Arial" w:eastAsia="Arial" w:hAnsi="Arial"/>
          <w:i/>
          <w:iCs/>
        </w:rPr>
        <w:t xml:space="preserve">a</w:t>
      </w:r>
      <w:r>
        <w:rPr>
          <w:rFonts w:ascii="Arial" w:cs="Arial" w:eastAsia="Arial" w:hAnsi="Arial"/>
        </w:rPr>
        <w:t xml:space="preserve"> = </w:t>
      </w:r>
      <w:r>
        <w:rPr>
          <w:rFonts w:ascii="Arial" w:cs="Arial" w:eastAsia="Arial" w:hAnsi="Arial"/>
          <w:i/>
          <w:iCs/>
        </w:rPr>
        <w:t xml:space="preserve">ȳ</w:t>
      </w:r>
      <w:r>
        <w:rPr>
          <w:rFonts w:ascii="Arial" w:cs="Arial" w:eastAsia="Arial" w:hAnsi="Arial"/>
        </w:rPr>
        <w:t xml:space="preserve"> − </w:t>
      </w:r>
      <w:r>
        <w:rPr>
          <w:rFonts w:ascii="Arial" w:cs="Arial" w:eastAsia="Arial" w:hAnsi="Arial"/>
          <w:i/>
          <w:iCs/>
        </w:rPr>
        <w:t xml:space="preserve">b x̄</w:t>
      </w:r>
      <w:r>
        <w:rPr>
          <w:rFonts w:ascii="Arial" w:cs="Arial" w:eastAsia="Arial" w:hAnsi="Arial"/>
        </w:rPr>
        <w:t xml:space="preserve"> = 8.110 − (2.048 × 10</w:t>
      </w:r>
      <w:r>
        <w:rPr>
          <w:rFonts w:ascii="Arial" w:cs="Arial" w:eastAsia="Arial" w:hAnsi="Arial"/>
          <w:vertAlign w:val="superscript"/>
        </w:rPr>
        <w:t xml:space="preserve">−5</w:t>
      </w:r>
      <w:r>
        <w:rPr>
          <w:rFonts w:ascii="Arial" w:cs="Arial" w:eastAsia="Arial" w:hAnsi="Arial"/>
        </w:rPr>
        <w:t xml:space="preserve"> × 92,758.6) = 6.210 Mt</w:t>
      </w:r>
    </w:p>
    <w:p>
      <w:pPr>
        <w:spacing w:after="40"/>
        <w:ind w:left="720"/>
      </w:pPr>
      <w:r>
        <w:rPr>
          <w:rFonts w:ascii="Arial" w:cs="Arial" w:eastAsia="Arial" w:hAnsi="Arial"/>
          <w:i/>
          <w:iCs/>
        </w:rPr>
        <w:t xml:space="preserve">r</w:t>
      </w:r>
      <w:r>
        <w:rPr>
          <w:rFonts w:ascii="Arial" w:cs="Arial" w:eastAsia="Arial" w:hAnsi="Arial"/>
        </w:rPr>
        <w:t xml:space="preserve"> = </w:t>
      </w:r>
      <w:r>
        <w:rPr>
          <w:rFonts w:ascii="Arial" w:cs="Arial" w:eastAsia="Arial" w:hAnsi="Arial"/>
          <w:i/>
          <w:iCs/>
        </w:rPr>
        <w:t xml:space="preserve">S</w:t>
      </w:r>
      <w:r>
        <w:rPr>
          <w:rFonts w:ascii="Arial" w:cs="Arial" w:eastAsia="Arial" w:hAnsi="Arial"/>
          <w:vertAlign w:val="subscript"/>
        </w:rPr>
        <w:t xml:space="preserve">xy</w:t>
      </w:r>
      <w:r>
        <w:rPr>
          <w:rFonts w:ascii="Arial" w:cs="Arial" w:eastAsia="Arial" w:hAnsi="Arial"/>
        </w:rPr>
        <w:t xml:space="preserve"> / √(</w:t>
      </w:r>
      <w:r>
        <w:rPr>
          <w:rFonts w:ascii="Arial" w:cs="Arial" w:eastAsia="Arial" w:hAnsi="Arial"/>
          <w:i/>
          <w:iCs/>
        </w:rPr>
        <w:t xml:space="preserve">S</w:t>
      </w:r>
      <w:r>
        <w:rPr>
          <w:rFonts w:ascii="Arial" w:cs="Arial" w:eastAsia="Arial" w:hAnsi="Arial"/>
          <w:vertAlign w:val="subscript"/>
        </w:rPr>
        <w:t xml:space="preserve">xx</w:t>
      </w:r>
      <w:r>
        <w:rPr>
          <w:rFonts w:ascii="Arial" w:cs="Arial" w:eastAsia="Arial" w:hAnsi="Arial"/>
          <w:i/>
          <w:iCs/>
        </w:rPr>
        <w:t xml:space="preserve">S</w:t>
      </w:r>
      <w:r>
        <w:rPr>
          <w:rFonts w:ascii="Arial" w:cs="Arial" w:eastAsia="Arial" w:hAnsi="Arial"/>
          <w:vertAlign w:val="subscript"/>
        </w:rPr>
        <w:t xml:space="preserve">yy</w:t>
      </w:r>
      <w:r>
        <w:rPr>
          <w:rFonts w:ascii="Arial" w:cs="Arial" w:eastAsia="Arial" w:hAnsi="Arial"/>
        </w:rPr>
        <w:t xml:space="preserve">) = 2,052,446 / √(100,194,373,235.6 × 68.706) = 0.782;   </w:t>
      </w:r>
      <w:r>
        <w:rPr>
          <w:rFonts w:ascii="Arial" w:cs="Arial" w:eastAsia="Arial" w:hAnsi="Arial"/>
          <w:i/>
          <w:iCs/>
        </w:rPr>
        <w:t xml:space="preserve">R</w:t>
      </w:r>
      <w:r>
        <w:rPr>
          <w:rFonts w:ascii="Arial" w:cs="Arial" w:eastAsia="Arial" w:hAnsi="Arial"/>
          <w:vertAlign w:val="superscript"/>
        </w:rPr>
        <w:t xml:space="preserve">2</w:t>
      </w:r>
      <w:r>
        <w:rPr>
          <w:rFonts w:ascii="Arial" w:cs="Arial" w:eastAsia="Arial" w:hAnsi="Arial"/>
        </w:rPr>
        <w:t xml:space="preserve"> = 0.612</w:t>
      </w:r>
    </w:p>
    <w:p>
      <w:r>
        <w:rPr>
          <w:rFonts w:ascii="Arial" w:cs="Arial" w:eastAsia="Arial" w:hAnsi="Arial"/>
          <w:b/>
          <w:bCs/>
        </w:rPr>
        <w:t xml:space="preserve">Result:</w:t>
      </w:r>
      <w:r>
        <w:rPr>
          <w:rFonts w:ascii="Arial" w:cs="Arial" w:eastAsia="Arial" w:hAnsi="Arial"/>
        </w:rPr>
        <w:t xml:space="preserve"> CO</w:t>
      </w:r>
      <w:r>
        <w:rPr>
          <w:rFonts w:ascii="Arial" w:cs="Arial" w:eastAsia="Arial" w:hAnsi="Arial"/>
          <w:vertAlign w:val="subscript"/>
        </w:rPr>
        <w:t xml:space="preserve">2</w:t>
      </w:r>
      <w:r>
        <w:rPr>
          <w:rFonts w:ascii="Arial" w:cs="Arial" w:eastAsia="Arial" w:hAnsi="Arial"/>
        </w:rPr>
        <w:t xml:space="preserve"> = 2.048 × 10</w:t>
      </w:r>
      <w:r>
        <w:rPr>
          <w:rFonts w:ascii="Arial" w:cs="Arial" w:eastAsia="Arial" w:hAnsi="Arial"/>
          <w:vertAlign w:val="superscript"/>
        </w:rPr>
        <w:t xml:space="preserve">−5</w:t>
      </w:r>
      <w:r>
        <w:rPr>
          <w:rFonts w:ascii="Arial" w:cs="Arial" w:eastAsia="Arial" w:hAnsi="Arial"/>
        </w:rPr>
        <w:t xml:space="preserve"> × loss + 6.210 (R</w:t>
      </w:r>
      <w:r>
        <w:rPr>
          <w:rFonts w:ascii="Arial" w:cs="Arial" w:eastAsia="Arial" w:hAnsi="Arial"/>
          <w:vertAlign w:val="superscript"/>
        </w:rPr>
        <w:t xml:space="preserve">2</w:t>
      </w:r>
      <w:r>
        <w:rPr>
          <w:rFonts w:ascii="Arial" w:cs="Arial" w:eastAsia="Arial" w:hAnsi="Arial"/>
        </w:rPr>
        <w:t xml:space="preserve"> = 0.612), about 2.05 Mt more CO</w:t>
      </w:r>
      <w:r>
        <w:rPr>
          <w:rFonts w:ascii="Arial" w:cs="Arial" w:eastAsia="Arial" w:hAnsi="Arial"/>
          <w:vertAlign w:val="subscript"/>
        </w:rPr>
        <w:t xml:space="preserve">2</w:t>
      </w:r>
      <w:r>
        <w:rPr>
          <w:rFonts w:ascii="Arial" w:cs="Arial" w:eastAsia="Arial" w:hAnsi="Arial"/>
        </w:rPr>
        <w:t xml:space="preserve"> per extra 100,000 ha of loss. </w:t>
      </w:r>
      <w:r>
        <w:rPr>
          <w:rFonts w:ascii="Arial" w:cs="Arial" w:eastAsia="Arial" w:hAnsi="Arial"/>
          <w:b/>
          <w:bCs/>
        </w:rPr>
        <w:t xml:space="preserve">Limitation:</w:t>
      </w:r>
      <w:r>
        <w:rPr>
          <w:rFonts w:ascii="Arial" w:cs="Arial" w:eastAsia="Arial" w:hAnsi="Arial"/>
        </w:rPr>
        <w:t xml:space="preserve"> the line is descriptive only; the data are not normal and the residuals are patterned (all five highest-loss years lie below the line because CO</w:t>
      </w:r>
      <w:r>
        <w:rPr>
          <w:rFonts w:ascii="Arial" w:cs="Arial" w:eastAsia="Arial" w:hAnsi="Arial"/>
          <w:vertAlign w:val="subscript"/>
        </w:rPr>
        <w:t xml:space="preserve">2</w:t>
      </w:r>
      <w:r>
        <w:rPr>
          <w:rFonts w:ascii="Arial" w:cs="Arial" w:eastAsia="Arial" w:hAnsi="Arial"/>
        </w:rPr>
        <w:t xml:space="preserve"> levels off), so it should not be used for prediction.</w:t>
      </w:r>
    </w:p>
    <w:p>
      <w:pPr>
        <w:pStyle w:val="Heading2"/>
      </w:pPr>
      <w:bookmarkStart w:name="_Toc_24" w:id="24"/>
      <w:r>
        <w:rPr>
          <w:rFonts w:ascii="Arial" w:cs="Arial" w:eastAsia="Arial" w:hAnsi="Arial"/>
        </w:rPr>
        <w:t xml:space="preserve">6.4 Sensitivity tests</w:t>
      </w:r>
      <w:bookmarkEnd w:id="24"/>
    </w:p>
    <w:p>
      <w:r>
        <w:rPr>
          <w:rFonts w:ascii="Arial" w:cs="Arial" w:eastAsia="Arial" w:hAnsi="Arial"/>
          <w:b/>
          <w:bCs/>
        </w:rPr>
        <w:t xml:space="preserve">(a) Time trend.</w:t>
      </w:r>
      <w:r>
        <w:rPr>
          <w:rFonts w:ascii="Arial" w:cs="Arial" w:eastAsia="Arial" w:hAnsi="Arial"/>
        </w:rPr>
        <w:t xml:space="preserve"> Purpose: to check for a shared time trend. Loss and CO</w:t>
      </w:r>
      <w:r>
        <w:rPr>
          <w:rFonts w:ascii="Arial" w:cs="Arial" w:eastAsia="Arial" w:hAnsi="Arial"/>
          <w:vertAlign w:val="subscript"/>
        </w:rPr>
        <w:t xml:space="preserve">2</w:t>
      </w:r>
      <w:r>
        <w:rPr>
          <w:rFonts w:ascii="Arial" w:cs="Arial" w:eastAsia="Arial" w:hAnsi="Arial"/>
        </w:rPr>
        <w:t xml:space="preserve"> each correlate strongly with year (</w:t>
      </w: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 0.872 and 0.864, p &lt; 0.001). Limitation: a shared trend does not identify its cause.</w:t>
      </w:r>
    </w:p>
    <w:p>
      <w:pPr>
        <w:keepNext/>
        <w:spacing w:after="0" w:before="120" w:line="240" w:lineRule="auto"/>
        <w:jc w:val="center"/>
      </w:pPr>
      <w:r>
        <w:drawing>
          <wp:inline distT="0" distB="0" distL="0" distR="0">
            <wp:extent cx="5715000" cy="3267075"/>
            <wp:effectExtent t="0" r="0" b="0" l="0"/>
            <wp:docPr id="1" name="fig4_first_differences.png" descr="Graph 4. Year-on-year changes in tree-cover loss and CO2 emissions, 2002–2024." title="fig4_first_differen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67075"/>
                    </a:xfrm>
                    <a:prstGeom prst="rect">
                      <a:avLst/>
                    </a:prstGeom>
                  </pic:spPr>
                </pic:pic>
              </a:graphicData>
            </a:graphic>
          </wp:inline>
        </w:drawing>
      </w:r>
    </w:p>
    <w:p>
      <w:pPr>
        <w:keepNext w:val="false"/>
        <w:spacing w:after="200" w:before="60"/>
      </w:pPr>
      <w:r>
        <w:rPr>
          <w:rFonts w:ascii="Arial" w:cs="Arial" w:eastAsia="Arial" w:hAnsi="Arial"/>
          <w:b/>
          <w:bCs/>
          <w:color w:val="333333"/>
          <w:sz w:val="18"/>
          <w:szCs w:val="18"/>
        </w:rPr>
        <w:t xml:space="preserve">Graph 4.</w:t>
      </w:r>
      <w:r>
        <w:rPr>
          <w:rFonts w:ascii="Arial" w:cs="Arial" w:eastAsia="Arial" w:hAnsi="Arial"/>
          <w:color w:val="333333"/>
          <w:sz w:val="18"/>
          <w:szCs w:val="18"/>
        </w:rPr>
        <w:t xml:space="preserve"> Year-on-year changes in tree-cover loss and CO</w:t>
      </w:r>
      <w:r>
        <w:rPr>
          <w:rFonts w:ascii="Arial" w:cs="Arial" w:eastAsia="Arial" w:hAnsi="Arial"/>
          <w:color w:val="333333"/>
          <w:sz w:val="18"/>
          <w:szCs w:val="18"/>
          <w:vertAlign w:val="subscript"/>
        </w:rPr>
        <w:t xml:space="preserve">2</w:t>
      </w:r>
      <w:r>
        <w:rPr>
          <w:rFonts w:ascii="Arial" w:cs="Arial" w:eastAsia="Arial" w:hAnsi="Arial"/>
          <w:color w:val="333333"/>
          <w:sz w:val="18"/>
          <w:szCs w:val="18"/>
        </w:rPr>
        <w:t xml:space="preserve"> emissions, 2002–2024.</w:t>
      </w:r>
    </w:p>
    <w:p>
      <w:r>
        <w:rPr>
          <w:rFonts w:ascii="Arial" w:cs="Arial" w:eastAsia="Arial" w:hAnsi="Arial"/>
          <w:b/>
          <w:bCs/>
        </w:rPr>
        <w:t xml:space="preserve">(b) First differences.</w:t>
      </w:r>
      <w:r>
        <w:rPr>
          <w:rFonts w:ascii="Arial" w:cs="Arial" w:eastAsia="Arial" w:hAnsi="Arial"/>
        </w:rPr>
        <w:t xml:space="preserve"> Purpose: to remove the long-term trend by correlating changes from one year to the next (e.g. Δloss</w:t>
      </w:r>
      <w:r>
        <w:rPr>
          <w:rFonts w:ascii="Arial" w:cs="Arial" w:eastAsia="Arial" w:hAnsi="Arial"/>
          <w:vertAlign w:val="subscript"/>
        </w:rPr>
        <w:t xml:space="preserve">2002</w:t>
      </w:r>
      <w:r>
        <w:rPr>
          <w:rFonts w:ascii="Arial" w:cs="Arial" w:eastAsia="Arial" w:hAnsi="Arial"/>
        </w:rPr>
        <w:t xml:space="preserve"> = 28,767 − 39,204 = −10,437 ha). Result: </w:t>
      </w: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 −0.069 (p = 0.754, n = 23); only 12 of 23 changes were in the same direction. Limitation: differencing emphasises year-to-year noise.</w:t>
      </w:r>
    </w:p>
    <w:p>
      <w:r>
        <w:rPr>
          <w:rFonts w:ascii="Arial" w:cs="Arial" w:eastAsia="Arial" w:hAnsi="Arial"/>
          <w:b/>
          <w:bCs/>
        </w:rPr>
        <w:t xml:space="preserve">(c) 2015–2024 only.</w:t>
      </w:r>
      <w:r>
        <w:rPr>
          <w:rFonts w:ascii="Arial" w:cs="Arial" w:eastAsia="Arial" w:hAnsi="Arial"/>
        </w:rPr>
        <w:t xml:space="preserve"> Purpose: to use the period in which GFW’s method changed least (Global Forest Watch, 2024). As n = 10, an exact permutation test of all 3,628,800 rank orders was used: </w:t>
      </w: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 −0.685 (p = 0.035). Limitation: small sample (Section 7.3).</w:t>
      </w:r>
    </w:p>
    <w:p>
      <w:pPr>
        <w:keepNext/>
        <w:spacing w:after="0" w:before="120" w:line="240" w:lineRule="auto"/>
        <w:jc w:val="center"/>
      </w:pPr>
      <w:r>
        <w:drawing>
          <wp:inline distT="0" distB="0" distL="0" distR="0">
            <wp:extent cx="5715000" cy="3267075"/>
            <wp:effectExtent t="0" r="0" b="0" l="0"/>
            <wp:docPr id="1" name="fig5_scatter_loss_luc.png" descr="Graph 5. Supplementary: land-use-change CO2 against annual tree-cover loss, 2001–2024." title="fig5_scatter_loss_l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67075"/>
                    </a:xfrm>
                    <a:prstGeom prst="rect">
                      <a:avLst/>
                    </a:prstGeom>
                  </pic:spPr>
                </pic:pic>
              </a:graphicData>
            </a:graphic>
          </wp:inline>
        </w:drawing>
      </w:r>
    </w:p>
    <w:p>
      <w:pPr>
        <w:keepNext w:val="false"/>
        <w:spacing w:after="200" w:before="60"/>
      </w:pPr>
      <w:r>
        <w:rPr>
          <w:rFonts w:ascii="Arial" w:cs="Arial" w:eastAsia="Arial" w:hAnsi="Arial"/>
          <w:b/>
          <w:bCs/>
          <w:color w:val="333333"/>
          <w:sz w:val="18"/>
          <w:szCs w:val="18"/>
        </w:rPr>
        <w:t xml:space="preserve">Graph 5.</w:t>
      </w:r>
      <w:r>
        <w:rPr>
          <w:rFonts w:ascii="Arial" w:cs="Arial" w:eastAsia="Arial" w:hAnsi="Arial"/>
          <w:color w:val="333333"/>
          <w:sz w:val="18"/>
          <w:szCs w:val="18"/>
        </w:rPr>
        <w:t xml:space="preserve"> Supplementary: land-use-change CO</w:t>
      </w:r>
      <w:r>
        <w:rPr>
          <w:rFonts w:ascii="Arial" w:cs="Arial" w:eastAsia="Arial" w:hAnsi="Arial"/>
          <w:color w:val="333333"/>
          <w:sz w:val="18"/>
          <w:szCs w:val="18"/>
          <w:vertAlign w:val="subscript"/>
        </w:rPr>
        <w:t xml:space="preserve">2</w:t>
      </w:r>
      <w:r>
        <w:rPr>
          <w:rFonts w:ascii="Arial" w:cs="Arial" w:eastAsia="Arial" w:hAnsi="Arial"/>
          <w:color w:val="333333"/>
          <w:sz w:val="18"/>
          <w:szCs w:val="18"/>
        </w:rPr>
        <w:t xml:space="preserve"> against annual tree-cover loss, 2001–2024.</w:t>
      </w:r>
    </w:p>
    <w:p>
      <w:r>
        <w:rPr>
          <w:rFonts w:ascii="Arial" w:cs="Arial" w:eastAsia="Arial" w:hAnsi="Arial"/>
          <w:b/>
          <w:bCs/>
        </w:rPr>
        <w:t xml:space="preserve">(d) Land-use-change CO</w:t>
      </w:r>
      <w:r>
        <w:rPr>
          <w:rFonts w:ascii="Arial" w:cs="Arial" w:eastAsia="Arial" w:hAnsi="Arial"/>
          <w:b/>
          <w:bCs/>
          <w:vertAlign w:val="subscript"/>
        </w:rPr>
        <w:t xml:space="preserve">2</w:t>
      </w:r>
      <w:r>
        <w:rPr>
          <w:rFonts w:ascii="Arial" w:cs="Arial" w:eastAsia="Arial" w:hAnsi="Arial"/>
          <w:b/>
          <w:bCs/>
        </w:rPr>
        <w:t xml:space="preserve">.</w:t>
      </w:r>
      <w:r>
        <w:rPr>
          <w:rFonts w:ascii="Arial" w:cs="Arial" w:eastAsia="Arial" w:hAnsi="Arial"/>
        </w:rPr>
        <w:t xml:space="preserve"> Purpose: to test the forest-carbon pathway in the rationale. Result: </w:t>
      </w: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 −0.191 (p = 0.371), not significant. Limitation: the datasets estimate forest change differently (Section 7.2).</w:t>
      </w:r>
    </w:p>
    <w:p>
      <w:pPr>
        <w:pStyle w:val="Heading2"/>
      </w:pPr>
      <w:bookmarkStart w:name="_Toc_25" w:id="25"/>
      <w:r>
        <w:rPr>
          <w:rFonts w:ascii="Arial" w:cs="Arial" w:eastAsia="Arial" w:hAnsi="Arial"/>
        </w:rPr>
        <w:t xml:space="preserve">6.5 Summary of results</w:t>
      </w:r>
      <w:bookmarkEnd w:id="25"/>
    </w:p>
    <w:p>
      <w:pPr>
        <w:keepNext/>
        <w:spacing w:after="60" w:before="160"/>
      </w:pPr>
      <w:r>
        <w:rPr>
          <w:rFonts w:ascii="Arial" w:cs="Arial" w:eastAsia="Arial" w:hAnsi="Arial"/>
          <w:b/>
          <w:bCs/>
          <w:color w:val="333333"/>
          <w:sz w:val="18"/>
          <w:szCs w:val="18"/>
        </w:rPr>
        <w:t xml:space="preserve">Table 6.</w:t>
      </w:r>
      <w:r>
        <w:rPr>
          <w:rFonts w:ascii="Arial" w:cs="Arial" w:eastAsia="Arial" w:hAnsi="Arial"/>
          <w:color w:val="333333"/>
          <w:sz w:val="18"/>
          <w:szCs w:val="18"/>
        </w:rPr>
        <w:t xml:space="preserve"> Summary of statistical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600"/>
        <w:gridCol w:w="1600"/>
        <w:gridCol w:w="1450"/>
        <w:gridCol w:w="2276"/>
      </w:tblGrid>
      <w:tr>
        <w:trPr>
          <w:cantSplit/>
          <w:tblHeader/>
        </w:trPr>
        <w:tc>
          <w:tcPr>
            <w:tcW w:type="dxa" w:w="31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7"/>
                <w:szCs w:val="17"/>
              </w:rPr>
              <w:t xml:space="preserve">Test</w:t>
            </w:r>
          </w:p>
        </w:tc>
        <w:tc>
          <w:tcPr>
            <w:tcW w:type="dxa" w:w="6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center"/>
            </w:pPr>
            <w:r>
              <w:rPr>
                <w:rFonts w:ascii="Arial" w:cs="Arial" w:eastAsia="Arial" w:hAnsi="Arial"/>
                <w:b/>
                <w:bCs/>
                <w:sz w:val="17"/>
                <w:szCs w:val="17"/>
              </w:rPr>
              <w:t xml:space="preserve">n</w:t>
            </w:r>
          </w:p>
        </w:tc>
        <w:tc>
          <w:tcPr>
            <w:tcW w:type="dxa" w:w="16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7"/>
                <w:szCs w:val="17"/>
              </w:rPr>
              <w:t xml:space="preserve">Result</w:t>
            </w:r>
          </w:p>
        </w:tc>
        <w:tc>
          <w:tcPr>
            <w:tcW w:type="dxa" w:w="145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center"/>
            </w:pPr>
            <w:r>
              <w:rPr>
                <w:rFonts w:ascii="Arial" w:cs="Arial" w:eastAsia="Arial" w:hAnsi="Arial"/>
                <w:b/>
                <w:bCs/>
                <w:sz w:val="17"/>
                <w:szCs w:val="17"/>
              </w:rPr>
              <w:t xml:space="preserve">p (two-tailed)</w:t>
            </w:r>
          </w:p>
        </w:tc>
        <w:tc>
          <w:tcPr>
            <w:tcW w:type="dxa" w:w="2276"/>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7"/>
                <w:szCs w:val="17"/>
              </w:rPr>
              <w:t xml:space="preserve">Significant at α = 0.05?</w:t>
            </w:r>
          </w:p>
        </w:tc>
      </w:tr>
      <w:tr>
        <w:trPr>
          <w:cantSplit/>
        </w:trPr>
        <w:tc>
          <w:tcPr>
            <w:tcW w:type="dxa" w:w="3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Spearman: loss vs CO</w:t>
            </w:r>
            <w:r>
              <w:rPr>
                <w:rFonts w:ascii="Arial" w:cs="Arial" w:eastAsia="Arial" w:hAnsi="Arial"/>
                <w:sz w:val="17"/>
                <w:szCs w:val="17"/>
                <w:vertAlign w:val="subscript"/>
              </w:rPr>
              <w:t xml:space="preserve">2</w:t>
            </w:r>
            <w:r>
              <w:rPr>
                <w:rFonts w:ascii="Arial" w:cs="Arial" w:eastAsia="Arial" w:hAnsi="Arial"/>
                <w:sz w:val="17"/>
                <w:szCs w:val="17"/>
              </w:rPr>
              <w:t xml:space="preserve"> (main test)</w:t>
            </w:r>
          </w:p>
        </w:tc>
        <w:tc>
          <w:tcPr>
            <w:tcW w:type="dxa" w:w="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center"/>
            </w:pPr>
            <w:r>
              <w:rPr>
                <w:rFonts w:ascii="Arial" w:cs="Arial" w:eastAsia="Arial" w:hAnsi="Arial"/>
                <w:sz w:val="17"/>
                <w:szCs w:val="17"/>
              </w:rPr>
              <w:t xml:space="preserve">24</w:t>
            </w:r>
          </w:p>
        </w:tc>
        <w:tc>
          <w:tcPr>
            <w:tcW w:type="dxa" w:w="1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i/>
                <w:iCs/>
                <w:sz w:val="17"/>
                <w:szCs w:val="17"/>
              </w:rPr>
              <w:t xml:space="preserve">r</w:t>
            </w:r>
            <w:r>
              <w:rPr>
                <w:rFonts w:ascii="Arial" w:cs="Arial" w:eastAsia="Arial" w:hAnsi="Arial"/>
                <w:sz w:val="17"/>
                <w:szCs w:val="17"/>
                <w:vertAlign w:val="subscript"/>
              </w:rPr>
              <w:t xml:space="preserve">s</w:t>
            </w:r>
            <w:r>
              <w:rPr>
                <w:rFonts w:ascii="Arial" w:cs="Arial" w:eastAsia="Arial" w:hAnsi="Arial"/>
                <w:sz w:val="17"/>
                <w:szCs w:val="17"/>
              </w:rPr>
              <w:t xml:space="preserve"> = 0.753</w:t>
            </w:r>
          </w:p>
        </w:tc>
        <w:tc>
          <w:tcPr>
            <w:tcW w:type="dxa" w:w="14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center"/>
            </w:pPr>
            <w:r>
              <w:rPr>
                <w:rFonts w:ascii="Arial" w:cs="Arial" w:eastAsia="Arial" w:hAnsi="Arial"/>
                <w:sz w:val="17"/>
                <w:szCs w:val="17"/>
              </w:rPr>
              <w:t xml:space="preserve">2.2 × 10</w:t>
            </w:r>
            <w:r>
              <w:rPr>
                <w:rFonts w:ascii="Arial" w:cs="Arial" w:eastAsia="Arial" w:hAnsi="Arial"/>
                <w:sz w:val="17"/>
                <w:szCs w:val="17"/>
                <w:vertAlign w:val="superscript"/>
              </w:rPr>
              <w:t xml:space="preserve">−5</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Yes (critical 0.404)</w:t>
            </w:r>
          </w:p>
        </w:tc>
      </w:tr>
      <w:tr>
        <w:trPr>
          <w:cantSplit/>
        </w:trPr>
        <w:tc>
          <w:tcPr>
            <w:tcW w:type="dxa" w:w="3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Least-squares line (descriptive)</w:t>
            </w:r>
          </w:p>
        </w:tc>
        <w:tc>
          <w:tcPr>
            <w:tcW w:type="dxa" w:w="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center"/>
            </w:pPr>
            <w:r>
              <w:rPr>
                <w:rFonts w:ascii="Arial" w:cs="Arial" w:eastAsia="Arial" w:hAnsi="Arial"/>
                <w:sz w:val="17"/>
                <w:szCs w:val="17"/>
              </w:rPr>
              <w:t xml:space="preserve">24</w:t>
            </w:r>
          </w:p>
        </w:tc>
        <w:tc>
          <w:tcPr>
            <w:tcW w:type="dxa" w:w="1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R</w:t>
            </w:r>
            <w:r>
              <w:rPr>
                <w:rFonts w:ascii="Arial" w:cs="Arial" w:eastAsia="Arial" w:hAnsi="Arial"/>
                <w:sz w:val="17"/>
                <w:szCs w:val="17"/>
                <w:vertAlign w:val="superscript"/>
              </w:rPr>
              <w:t xml:space="preserve">2</w:t>
            </w:r>
            <w:r>
              <w:rPr>
                <w:rFonts w:ascii="Arial" w:cs="Arial" w:eastAsia="Arial" w:hAnsi="Arial"/>
                <w:sz w:val="17"/>
                <w:szCs w:val="17"/>
              </w:rPr>
              <w:t xml:space="preserve"> = 0.612</w:t>
            </w:r>
          </w:p>
        </w:tc>
        <w:tc>
          <w:tcPr>
            <w:tcW w:type="dxa" w:w="14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center"/>
            </w:pPr>
            <w:r>
              <w:rPr>
                <w:rFonts w:ascii="Arial" w:cs="Arial" w:eastAsia="Arial" w:hAnsi="Arial"/>
                <w:sz w:val="17"/>
                <w:szCs w:val="17"/>
              </w:rPr>
              <w:t xml:space="preserve">–</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Not tested</w:t>
            </w:r>
          </w:p>
        </w:tc>
      </w:tr>
      <w:tr>
        <w:trPr>
          <w:cantSplit/>
        </w:trPr>
        <w:tc>
          <w:tcPr>
            <w:tcW w:type="dxa" w:w="3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(a) Spearman: loss vs year</w:t>
            </w:r>
          </w:p>
        </w:tc>
        <w:tc>
          <w:tcPr>
            <w:tcW w:type="dxa" w:w="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center"/>
            </w:pPr>
            <w:r>
              <w:rPr>
                <w:rFonts w:ascii="Arial" w:cs="Arial" w:eastAsia="Arial" w:hAnsi="Arial"/>
                <w:sz w:val="17"/>
                <w:szCs w:val="17"/>
              </w:rPr>
              <w:t xml:space="preserve">24</w:t>
            </w:r>
          </w:p>
        </w:tc>
        <w:tc>
          <w:tcPr>
            <w:tcW w:type="dxa" w:w="1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i/>
                <w:iCs/>
                <w:sz w:val="17"/>
                <w:szCs w:val="17"/>
              </w:rPr>
              <w:t xml:space="preserve">r</w:t>
            </w:r>
            <w:r>
              <w:rPr>
                <w:rFonts w:ascii="Arial" w:cs="Arial" w:eastAsia="Arial" w:hAnsi="Arial"/>
                <w:sz w:val="17"/>
                <w:szCs w:val="17"/>
                <w:vertAlign w:val="subscript"/>
              </w:rPr>
              <w:t xml:space="preserve">s</w:t>
            </w:r>
            <w:r>
              <w:rPr>
                <w:rFonts w:ascii="Arial" w:cs="Arial" w:eastAsia="Arial" w:hAnsi="Arial"/>
                <w:sz w:val="17"/>
                <w:szCs w:val="17"/>
              </w:rPr>
              <w:t xml:space="preserve"> = 0.872</w:t>
            </w:r>
          </w:p>
        </w:tc>
        <w:tc>
          <w:tcPr>
            <w:tcW w:type="dxa" w:w="14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center"/>
            </w:pPr>
            <w:r>
              <w:rPr>
                <w:rFonts w:ascii="Arial" w:cs="Arial" w:eastAsia="Arial" w:hAnsi="Arial"/>
                <w:sz w:val="17"/>
                <w:szCs w:val="17"/>
              </w:rPr>
              <w:t xml:space="preserve">&lt; 0.001</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Yes</w:t>
            </w:r>
          </w:p>
        </w:tc>
      </w:tr>
      <w:tr>
        <w:trPr>
          <w:cantSplit/>
        </w:trPr>
        <w:tc>
          <w:tcPr>
            <w:tcW w:type="dxa" w:w="3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(a) Spearman: CO</w:t>
            </w:r>
            <w:r>
              <w:rPr>
                <w:rFonts w:ascii="Arial" w:cs="Arial" w:eastAsia="Arial" w:hAnsi="Arial"/>
                <w:sz w:val="17"/>
                <w:szCs w:val="17"/>
                <w:vertAlign w:val="subscript"/>
              </w:rPr>
              <w:t xml:space="preserve">2</w:t>
            </w:r>
            <w:r>
              <w:rPr>
                <w:rFonts w:ascii="Arial" w:cs="Arial" w:eastAsia="Arial" w:hAnsi="Arial"/>
                <w:sz w:val="17"/>
                <w:szCs w:val="17"/>
              </w:rPr>
              <w:t xml:space="preserve"> vs year</w:t>
            </w:r>
          </w:p>
        </w:tc>
        <w:tc>
          <w:tcPr>
            <w:tcW w:type="dxa" w:w="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center"/>
            </w:pPr>
            <w:r>
              <w:rPr>
                <w:rFonts w:ascii="Arial" w:cs="Arial" w:eastAsia="Arial" w:hAnsi="Arial"/>
                <w:sz w:val="17"/>
                <w:szCs w:val="17"/>
              </w:rPr>
              <w:t xml:space="preserve">24</w:t>
            </w:r>
          </w:p>
        </w:tc>
        <w:tc>
          <w:tcPr>
            <w:tcW w:type="dxa" w:w="1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i/>
                <w:iCs/>
                <w:sz w:val="17"/>
                <w:szCs w:val="17"/>
              </w:rPr>
              <w:t xml:space="preserve">r</w:t>
            </w:r>
            <w:r>
              <w:rPr>
                <w:rFonts w:ascii="Arial" w:cs="Arial" w:eastAsia="Arial" w:hAnsi="Arial"/>
                <w:sz w:val="17"/>
                <w:szCs w:val="17"/>
                <w:vertAlign w:val="subscript"/>
              </w:rPr>
              <w:t xml:space="preserve">s</w:t>
            </w:r>
            <w:r>
              <w:rPr>
                <w:rFonts w:ascii="Arial" w:cs="Arial" w:eastAsia="Arial" w:hAnsi="Arial"/>
                <w:sz w:val="17"/>
                <w:szCs w:val="17"/>
              </w:rPr>
              <w:t xml:space="preserve"> = 0.864</w:t>
            </w:r>
          </w:p>
        </w:tc>
        <w:tc>
          <w:tcPr>
            <w:tcW w:type="dxa" w:w="14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center"/>
            </w:pPr>
            <w:r>
              <w:rPr>
                <w:rFonts w:ascii="Arial" w:cs="Arial" w:eastAsia="Arial" w:hAnsi="Arial"/>
                <w:sz w:val="17"/>
                <w:szCs w:val="17"/>
              </w:rPr>
              <w:t xml:space="preserve">&lt; 0.001</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Yes</w:t>
            </w:r>
          </w:p>
        </w:tc>
      </w:tr>
      <w:tr>
        <w:trPr>
          <w:cantSplit/>
        </w:trPr>
        <w:tc>
          <w:tcPr>
            <w:tcW w:type="dxa" w:w="3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(b) Spearman: first differences</w:t>
            </w:r>
          </w:p>
        </w:tc>
        <w:tc>
          <w:tcPr>
            <w:tcW w:type="dxa" w:w="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center"/>
            </w:pPr>
            <w:r>
              <w:rPr>
                <w:rFonts w:ascii="Arial" w:cs="Arial" w:eastAsia="Arial" w:hAnsi="Arial"/>
                <w:sz w:val="17"/>
                <w:szCs w:val="17"/>
              </w:rPr>
              <w:t xml:space="preserve">23</w:t>
            </w:r>
          </w:p>
        </w:tc>
        <w:tc>
          <w:tcPr>
            <w:tcW w:type="dxa" w:w="1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i/>
                <w:iCs/>
                <w:sz w:val="17"/>
                <w:szCs w:val="17"/>
              </w:rPr>
              <w:t xml:space="preserve">r</w:t>
            </w:r>
            <w:r>
              <w:rPr>
                <w:rFonts w:ascii="Arial" w:cs="Arial" w:eastAsia="Arial" w:hAnsi="Arial"/>
                <w:sz w:val="17"/>
                <w:szCs w:val="17"/>
                <w:vertAlign w:val="subscript"/>
              </w:rPr>
              <w:t xml:space="preserve">s</w:t>
            </w:r>
            <w:r>
              <w:rPr>
                <w:rFonts w:ascii="Arial" w:cs="Arial" w:eastAsia="Arial" w:hAnsi="Arial"/>
                <w:sz w:val="17"/>
                <w:szCs w:val="17"/>
              </w:rPr>
              <w:t xml:space="preserve"> = −0.069</w:t>
            </w:r>
          </w:p>
        </w:tc>
        <w:tc>
          <w:tcPr>
            <w:tcW w:type="dxa" w:w="14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center"/>
            </w:pPr>
            <w:r>
              <w:rPr>
                <w:rFonts w:ascii="Arial" w:cs="Arial" w:eastAsia="Arial" w:hAnsi="Arial"/>
                <w:sz w:val="17"/>
                <w:szCs w:val="17"/>
              </w:rPr>
              <w:t xml:space="preserve">0.754</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No (critical 0.413)</w:t>
            </w:r>
          </w:p>
        </w:tc>
      </w:tr>
      <w:tr>
        <w:trPr>
          <w:cantSplit/>
        </w:trPr>
        <w:tc>
          <w:tcPr>
            <w:tcW w:type="dxa" w:w="3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(c) Spearman: 2015–2024 (exact test)</w:t>
            </w:r>
          </w:p>
        </w:tc>
        <w:tc>
          <w:tcPr>
            <w:tcW w:type="dxa" w:w="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center"/>
            </w:pPr>
            <w:r>
              <w:rPr>
                <w:rFonts w:ascii="Arial" w:cs="Arial" w:eastAsia="Arial" w:hAnsi="Arial"/>
                <w:sz w:val="17"/>
                <w:szCs w:val="17"/>
              </w:rPr>
              <w:t xml:space="preserve">10</w:t>
            </w:r>
          </w:p>
        </w:tc>
        <w:tc>
          <w:tcPr>
            <w:tcW w:type="dxa" w:w="1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i/>
                <w:iCs/>
                <w:sz w:val="17"/>
                <w:szCs w:val="17"/>
              </w:rPr>
              <w:t xml:space="preserve">r</w:t>
            </w:r>
            <w:r>
              <w:rPr>
                <w:rFonts w:ascii="Arial" w:cs="Arial" w:eastAsia="Arial" w:hAnsi="Arial"/>
                <w:sz w:val="17"/>
                <w:szCs w:val="17"/>
                <w:vertAlign w:val="subscript"/>
              </w:rPr>
              <w:t xml:space="preserve">s</w:t>
            </w:r>
            <w:r>
              <w:rPr>
                <w:rFonts w:ascii="Arial" w:cs="Arial" w:eastAsia="Arial" w:hAnsi="Arial"/>
                <w:sz w:val="17"/>
                <w:szCs w:val="17"/>
              </w:rPr>
              <w:t xml:space="preserve"> = −0.685</w:t>
            </w:r>
          </w:p>
        </w:tc>
        <w:tc>
          <w:tcPr>
            <w:tcW w:type="dxa" w:w="14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center"/>
            </w:pPr>
            <w:r>
              <w:rPr>
                <w:rFonts w:ascii="Arial" w:cs="Arial" w:eastAsia="Arial" w:hAnsi="Arial"/>
                <w:sz w:val="17"/>
                <w:szCs w:val="17"/>
              </w:rPr>
              <w:t xml:space="preserve">0.035</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Yes (critical 0.636)</w:t>
            </w:r>
          </w:p>
        </w:tc>
      </w:tr>
      <w:tr>
        <w:trPr>
          <w:cantSplit/>
        </w:trPr>
        <w:tc>
          <w:tcPr>
            <w:tcW w:type="dxa" w:w="3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(d) Spearman: loss vs land-use-change CO</w:t>
            </w:r>
            <w:r>
              <w:rPr>
                <w:rFonts w:ascii="Arial" w:cs="Arial" w:eastAsia="Arial" w:hAnsi="Arial"/>
                <w:sz w:val="17"/>
                <w:szCs w:val="17"/>
                <w:vertAlign w:val="subscript"/>
              </w:rPr>
              <w:t xml:space="preserve">2</w:t>
            </w:r>
          </w:p>
        </w:tc>
        <w:tc>
          <w:tcPr>
            <w:tcW w:type="dxa" w:w="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24</w:t>
            </w:r>
          </w:p>
        </w:tc>
        <w:tc>
          <w:tcPr>
            <w:tcW w:type="dxa" w:w="1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i/>
                <w:iCs/>
                <w:sz w:val="17"/>
                <w:szCs w:val="17"/>
              </w:rPr>
              <w:t xml:space="preserve">r</w:t>
            </w:r>
            <w:r>
              <w:rPr>
                <w:rFonts w:ascii="Arial" w:cs="Arial" w:eastAsia="Arial" w:hAnsi="Arial"/>
                <w:sz w:val="17"/>
                <w:szCs w:val="17"/>
                <w:vertAlign w:val="subscript"/>
              </w:rPr>
              <w:t xml:space="preserve">s</w:t>
            </w:r>
            <w:r>
              <w:rPr>
                <w:rFonts w:ascii="Arial" w:cs="Arial" w:eastAsia="Arial" w:hAnsi="Arial"/>
                <w:sz w:val="17"/>
                <w:szCs w:val="17"/>
              </w:rPr>
              <w:t xml:space="preserve"> = −0.191</w:t>
            </w:r>
          </w:p>
        </w:tc>
        <w:tc>
          <w:tcPr>
            <w:tcW w:type="dxa" w:w="145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center"/>
            </w:pPr>
            <w:r>
              <w:rPr>
                <w:rFonts w:ascii="Arial" w:cs="Arial" w:eastAsia="Arial" w:hAnsi="Arial"/>
                <w:sz w:val="17"/>
                <w:szCs w:val="17"/>
              </w:rPr>
              <w:t xml:space="preserve">0.371</w:t>
            </w:r>
          </w:p>
        </w:tc>
        <w:tc>
          <w:tcPr>
            <w:tcW w:type="dxa" w:w="227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No (critical 0.404)</w:t>
            </w:r>
          </w:p>
        </w:tc>
      </w:tr>
    </w:tbl>
    <w:p>
      <w:pPr>
        <w:spacing w:after="80"/>
      </w:pPr>
    </w:p>
    <w:p>
      <w:pPr>
        <w:pStyle w:val="Heading1"/>
      </w:pPr>
      <w:bookmarkStart w:name="_Toc_26" w:id="26"/>
      <w:r>
        <w:rPr>
          <w:rFonts w:ascii="Arial" w:cs="Arial" w:eastAsia="Arial" w:hAnsi="Arial"/>
        </w:rPr>
        <w:t xml:space="preserve">7. Analysis and discussion</w:t>
      </w:r>
      <w:bookmarkEnd w:id="26"/>
    </w:p>
    <w:p>
      <w:pPr>
        <w:pStyle w:val="Heading2"/>
      </w:pPr>
      <w:bookmarkStart w:name="_Toc_27" w:id="27"/>
      <w:r>
        <w:rPr>
          <w:rFonts w:ascii="Arial" w:cs="Arial" w:eastAsia="Arial" w:hAnsi="Arial"/>
        </w:rPr>
        <w:t xml:space="preserve">7.1 What the data directly show</w:t>
      </w:r>
      <w:bookmarkEnd w:id="27"/>
    </w:p>
    <w:p>
      <w:r>
        <w:rPr>
          <w:rFonts w:ascii="Arial" w:cs="Arial" w:eastAsia="Arial" w:hAnsi="Arial"/>
        </w:rPr>
        <w:t xml:space="preserve">Graph 3 shows the structure of the strong positive association (</w:t>
      </w: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 0.753): 2001–2012 form a cluster of low loss and low emissions, and 2013–2024 a cluster of high loss and high emissions, with no clear upward pattern inside either cluster. The association disappears when the trend is removed (</w:t>
      </w: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 −0.069), is negative within 2015–2024 (</w:t>
      </w: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 −0.685), when CO</w:t>
      </w:r>
      <w:r>
        <w:rPr>
          <w:rFonts w:ascii="Arial" w:cs="Arial" w:eastAsia="Arial" w:hAnsi="Arial"/>
          <w:vertAlign w:val="subscript"/>
        </w:rPr>
        <w:t xml:space="preserve">2</w:t>
      </w:r>
      <w:r>
        <w:rPr>
          <w:rFonts w:ascii="Arial" w:cs="Arial" w:eastAsia="Arial" w:hAnsi="Arial"/>
        </w:rPr>
        <w:t xml:space="preserve"> varied by only 0.383 Mt (about 4%), and is absent for land-use-change CO</w:t>
      </w:r>
      <w:r>
        <w:rPr>
          <w:rFonts w:ascii="Arial" w:cs="Arial" w:eastAsia="Arial" w:hAnsi="Arial"/>
          <w:vertAlign w:val="subscript"/>
        </w:rPr>
        <w:t xml:space="preserve">2</w:t>
      </w:r>
      <w:r>
        <w:rPr>
          <w:rFonts w:ascii="Arial" w:cs="Arial" w:eastAsia="Arial" w:hAnsi="Arial"/>
        </w:rPr>
        <w:t xml:space="preserve"> (</w:t>
      </w: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 −0.191). Notable years:</w:t>
      </w:r>
    </w:p>
    <w:p>
      <w:pPr>
        <w:pStyle w:val="ListParagraph"/>
        <w:numPr>
          <w:ilvl w:val="0"/>
          <w:numId w:val="2"/>
        </w:numPr>
      </w:pPr>
      <w:r>
        <w:rPr>
          <w:rFonts w:ascii="Arial" w:cs="Arial" w:eastAsia="Arial" w:hAnsi="Arial"/>
          <w:b/>
          <w:bCs/>
        </w:rPr>
        <w:t xml:space="preserve">2014–2015:</w:t>
      </w:r>
      <w:r>
        <w:rPr>
          <w:rFonts w:ascii="Arial" w:cs="Arial" w:eastAsia="Arial" w:hAnsi="Arial"/>
        </w:rPr>
        <w:t xml:space="preserve"> loss more than doubled to 181,851 ha, then fell by 102,881 ha, while CO</w:t>
      </w:r>
      <w:r>
        <w:rPr>
          <w:rFonts w:ascii="Arial" w:cs="Arial" w:eastAsia="Arial" w:hAnsi="Arial"/>
          <w:vertAlign w:val="subscript"/>
        </w:rPr>
        <w:t xml:space="preserve">2</w:t>
      </w:r>
      <w:r>
        <w:rPr>
          <w:rFonts w:ascii="Arial" w:cs="Arial" w:eastAsia="Arial" w:hAnsi="Arial"/>
        </w:rPr>
        <w:t xml:space="preserve"> rose in both years.</w:t>
      </w:r>
    </w:p>
    <w:p>
      <w:pPr>
        <w:pStyle w:val="ListParagraph"/>
        <w:numPr>
          <w:ilvl w:val="0"/>
          <w:numId w:val="2"/>
        </w:numPr>
      </w:pPr>
      <w:r>
        <w:rPr>
          <w:rFonts w:ascii="Arial" w:cs="Arial" w:eastAsia="Arial" w:hAnsi="Arial"/>
          <w:b/>
          <w:bCs/>
        </w:rPr>
        <w:t xml:space="preserve">2007:</w:t>
      </w:r>
      <w:r>
        <w:rPr>
          <w:rFonts w:ascii="Arial" w:cs="Arial" w:eastAsia="Arial" w:hAnsi="Arial"/>
        </w:rPr>
        <w:t xml:space="preserve"> CO</w:t>
      </w:r>
      <w:r>
        <w:rPr>
          <w:rFonts w:ascii="Arial" w:cs="Arial" w:eastAsia="Arial" w:hAnsi="Arial"/>
          <w:vertAlign w:val="subscript"/>
        </w:rPr>
        <w:t xml:space="preserve">2</w:t>
      </w:r>
      <w:r>
        <w:rPr>
          <w:rFonts w:ascii="Arial" w:cs="Arial" w:eastAsia="Arial" w:hAnsi="Arial"/>
        </w:rPr>
        <w:t xml:space="preserve"> rose by 1.923 Mt, the largest increase, mainly from oil (+1.213 Mt) and gas (+0.685 Mt), while loss rose by only 9,931 ha.</w:t>
      </w:r>
    </w:p>
    <w:p>
      <w:pPr>
        <w:pStyle w:val="ListParagraph"/>
        <w:numPr>
          <w:ilvl w:val="0"/>
          <w:numId w:val="2"/>
        </w:numPr>
      </w:pPr>
      <w:r>
        <w:rPr>
          <w:rFonts w:ascii="Arial" w:cs="Arial" w:eastAsia="Arial" w:hAnsi="Arial"/>
          <w:b/>
          <w:bCs/>
        </w:rPr>
        <w:t xml:space="preserve">2008–2010:</w:t>
      </w:r>
      <w:r>
        <w:rPr>
          <w:rFonts w:ascii="Arial" w:cs="Arial" w:eastAsia="Arial" w:hAnsi="Arial"/>
        </w:rPr>
        <w:t xml:space="preserve"> land-use-change CO</w:t>
      </w:r>
      <w:r>
        <w:rPr>
          <w:rFonts w:ascii="Arial" w:cs="Arial" w:eastAsia="Arial" w:hAnsi="Arial"/>
          <w:vertAlign w:val="subscript"/>
        </w:rPr>
        <w:t xml:space="preserve">2</w:t>
      </w:r>
      <w:r>
        <w:rPr>
          <w:rFonts w:ascii="Arial" w:cs="Arial" w:eastAsia="Arial" w:hAnsi="Arial"/>
        </w:rPr>
        <w:t xml:space="preserve"> peaked (54.9, 81.9 and 51.2 Mt) while satellite-detected loss was low (35,141–57,992 ha).</w:t>
      </w:r>
    </w:p>
    <w:p>
      <w:pPr>
        <w:pStyle w:val="Heading2"/>
      </w:pPr>
      <w:bookmarkStart w:name="_Toc_28" w:id="28"/>
      <w:r>
        <w:rPr>
          <w:rFonts w:ascii="Arial" w:cs="Arial" w:eastAsia="Arial" w:hAnsi="Arial"/>
        </w:rPr>
        <w:t xml:space="preserve">7.2 What can reasonably be inferred</w:t>
      </w:r>
      <w:bookmarkEnd w:id="28"/>
    </w:p>
    <w:p>
      <w:r>
        <w:rPr>
          <w:rFonts w:ascii="Arial" w:cs="Arial" w:eastAsia="Arial" w:hAnsi="Arial"/>
        </w:rPr>
        <w:t xml:space="preserve">The dependent variable comes from oil, gas, cement and flaring, whereas 91% of loss with an identified driver came from agriculture and only 4.8% from logging (Sims et al., 2025, via Global Forest Watch, 2026). These are different anthropogenic activities, so the overall association most likely reflects confounding variables that drive both: Cameroon’s population grew 1.9 times from 2001 to 2024 (Our World in Data, 2026), raising demand for both farmland and energy.</w:t>
      </w:r>
    </w:p>
    <w:p>
      <w:r>
        <w:rPr>
          <w:rFonts w:ascii="Arial" w:cs="Arial" w:eastAsia="Arial" w:hAnsi="Arial"/>
        </w:rPr>
        <w:t xml:space="preserve">Measurement effects may add to this: Landsat 8 improved loss detection from 2013 (Global Forest Watch, 2024), which may partly explain the 2014 peak and strengthen the correlation. The 2007 CO</w:t>
      </w:r>
      <w:r>
        <w:rPr>
          <w:rFonts w:ascii="Arial" w:cs="Arial" w:eastAsia="Arial" w:hAnsi="Arial"/>
          <w:vertAlign w:val="subscript"/>
        </w:rPr>
        <w:t xml:space="preserve">2</w:t>
      </w:r>
      <w:r>
        <w:rPr>
          <w:rFonts w:ascii="Arial" w:cs="Arial" w:eastAsia="Arial" w:hAnsi="Arial"/>
        </w:rPr>
        <w:t xml:space="preserve"> jump came from the energy sector, so the dependent variable can change for reasons unrelated to forests.</w:t>
      </w:r>
    </w:p>
    <w:p>
      <w:r>
        <w:rPr>
          <w:rFonts w:ascii="Arial" w:cs="Arial" w:eastAsia="Arial" w:hAnsi="Arial"/>
        </w:rPr>
        <w:t xml:space="preserve">The 2008–2010 mismatch suggests that the two forest-carbon datasets describe forest change differently: the Global Carbon Budget models land-use emissions from land-use statistics, not satellite-detected loss (Friedlingstein et al., 2026). GFW’s model, combining loss with carbon density, estimates mean gross forest emissions of 57.1 Mt CO</w:t>
      </w:r>
      <w:r>
        <w:rPr>
          <w:rFonts w:ascii="Arial" w:cs="Arial" w:eastAsia="Arial" w:hAnsi="Arial"/>
          <w:vertAlign w:val="subscript"/>
        </w:rPr>
        <w:t xml:space="preserve">2</w:t>
      </w:r>
      <w:r>
        <w:rPr>
          <w:rFonts w:ascii="Arial" w:cs="Arial" w:eastAsia="Arial" w:hAnsi="Arial"/>
        </w:rPr>
        <w:t xml:space="preserve">e yr</w:t>
      </w:r>
      <w:r>
        <w:rPr>
          <w:rFonts w:ascii="Arial" w:cs="Arial" w:eastAsia="Arial" w:hAnsi="Arial"/>
          <w:vertAlign w:val="superscript"/>
        </w:rPr>
        <w:t xml:space="preserve">−1</w:t>
      </w:r>
      <w:r>
        <w:rPr>
          <w:rFonts w:ascii="Arial" w:cs="Arial" w:eastAsia="Arial" w:hAnsi="Arial"/>
        </w:rPr>
        <w:t xml:space="preserve">, about seven times Cameroon’s mean fossil CO</w:t>
      </w:r>
      <w:r>
        <w:rPr>
          <w:rFonts w:ascii="Arial" w:cs="Arial" w:eastAsia="Arial" w:hAnsi="Arial"/>
          <w:vertAlign w:val="subscript"/>
        </w:rPr>
        <w:t xml:space="preserve">2</w:t>
      </w:r>
      <w:r>
        <w:rPr>
          <w:rFonts w:ascii="Arial" w:cs="Arial" w:eastAsia="Arial" w:hAnsi="Arial"/>
        </w:rPr>
        <w:t xml:space="preserve"> (Gibbs et al., 2025; Global Forest Watch, 2026). Forest carbon losses may therefore be large, but as this estimate is derived from the loss data it cannot test the association independently.</w:t>
      </w:r>
    </w:p>
    <w:p>
      <w:pPr>
        <w:pStyle w:val="Heading2"/>
      </w:pPr>
      <w:bookmarkStart w:name="_Toc_29" w:id="29"/>
      <w:r>
        <w:rPr>
          <w:rFonts w:ascii="Arial" w:cs="Arial" w:eastAsia="Arial" w:hAnsi="Arial"/>
        </w:rPr>
        <w:t xml:space="preserve">7.3 What cannot be concluded</w:t>
      </w:r>
      <w:bookmarkEnd w:id="29"/>
    </w:p>
    <w:p>
      <w:pPr>
        <w:pStyle w:val="ListParagraph"/>
        <w:numPr>
          <w:ilvl w:val="0"/>
          <w:numId w:val="2"/>
        </w:numPr>
      </w:pPr>
      <w:r>
        <w:rPr>
          <w:rFonts w:ascii="Arial" w:cs="Arial" w:eastAsia="Arial" w:hAnsi="Arial"/>
        </w:rPr>
        <w:t xml:space="preserve">That tree-cover loss causes CO</w:t>
      </w:r>
      <w:r>
        <w:rPr>
          <w:rFonts w:ascii="Arial" w:cs="Arial" w:eastAsia="Arial" w:hAnsi="Arial"/>
          <w:vertAlign w:val="subscript"/>
        </w:rPr>
        <w:t xml:space="preserve">2</w:t>
      </w:r>
      <w:r>
        <w:rPr>
          <w:rFonts w:ascii="Arial" w:cs="Arial" w:eastAsia="Arial" w:hAnsi="Arial"/>
        </w:rPr>
        <w:t xml:space="preserve"> emissions: correlation cannot show causation, and the main dependent variable does not contain forest emissions.</w:t>
      </w:r>
    </w:p>
    <w:p>
      <w:pPr>
        <w:pStyle w:val="ListParagraph"/>
        <w:numPr>
          <w:ilvl w:val="0"/>
          <w:numId w:val="2"/>
        </w:numPr>
      </w:pPr>
      <w:r>
        <w:rPr>
          <w:rFonts w:ascii="Arial" w:cs="Arial" w:eastAsia="Arial" w:hAnsi="Arial"/>
        </w:rPr>
        <w:t xml:space="preserve">That loss reduced emissions after 2015: four tests of the loss–CO</w:t>
      </w:r>
      <w:r>
        <w:rPr>
          <w:rFonts w:ascii="Arial" w:cs="Arial" w:eastAsia="Arial" w:hAnsi="Arial"/>
          <w:vertAlign w:val="subscript"/>
        </w:rPr>
        <w:t xml:space="preserve">2</w:t>
      </w:r>
      <w:r>
        <w:rPr>
          <w:rFonts w:ascii="Arial" w:cs="Arial" w:eastAsia="Arial" w:hAnsi="Arial"/>
        </w:rPr>
        <w:t xml:space="preserve"> association were made, so a Bonferroni threshold of 0.05 / 4 = 0.0125 is safer, and p = 0.035 does not meet it.</w:t>
      </w:r>
    </w:p>
    <w:p>
      <w:pPr>
        <w:pStyle w:val="ListParagraph"/>
        <w:numPr>
          <w:ilvl w:val="0"/>
          <w:numId w:val="2"/>
        </w:numPr>
      </w:pPr>
      <w:r>
        <w:rPr>
          <w:rFonts w:ascii="Arial" w:cs="Arial" w:eastAsia="Arial" w:hAnsi="Arial"/>
        </w:rPr>
        <w:t xml:space="preserve">That forest loss releases no CO</w:t>
      </w:r>
      <w:r>
        <w:rPr>
          <w:rFonts w:ascii="Arial" w:cs="Arial" w:eastAsia="Arial" w:hAnsi="Arial"/>
          <w:vertAlign w:val="subscript"/>
        </w:rPr>
        <w:t xml:space="preserve">2</w:t>
      </w:r>
      <w:r>
        <w:rPr>
          <w:rFonts w:ascii="Arial" w:cs="Arial" w:eastAsia="Arial" w:hAnsi="Arial"/>
        </w:rPr>
        <w:t xml:space="preserve">: the land-use-change estimates are modelled differently from GFW loss.</w:t>
      </w:r>
    </w:p>
    <w:p>
      <w:pPr>
        <w:pStyle w:val="ListParagraph"/>
        <w:numPr>
          <w:ilvl w:val="0"/>
          <w:numId w:val="2"/>
        </w:numPr>
      </w:pPr>
      <w:r>
        <w:rPr>
          <w:rFonts w:ascii="Arial" w:cs="Arial" w:eastAsia="Arial" w:hAnsi="Arial"/>
        </w:rPr>
        <w:t xml:space="preserve">Regional or within-year patterns, as only national annual totals were used.</w:t>
      </w:r>
    </w:p>
    <w:p>
      <w:pPr>
        <w:pStyle w:val="Heading2"/>
      </w:pPr>
      <w:bookmarkStart w:name="_Toc_30" w:id="30"/>
      <w:r>
        <w:rPr>
          <w:rFonts w:ascii="Arial" w:cs="Arial" w:eastAsia="Arial" w:hAnsi="Arial"/>
        </w:rPr>
        <w:t xml:space="preserve">7.4 Links to the rationale and to REDD+</w:t>
      </w:r>
      <w:bookmarkEnd w:id="30"/>
    </w:p>
    <w:p>
      <w:r>
        <w:rPr>
          <w:rFonts w:ascii="Arial" w:cs="Arial" w:eastAsia="Arial" w:hAnsi="Arial"/>
        </w:rPr>
        <w:t xml:space="preserve">The rationale expected years with greater tree-cover loss to have higher CO</w:t>
      </w:r>
      <w:r>
        <w:rPr>
          <w:rFonts w:ascii="Arial" w:cs="Arial" w:eastAsia="Arial" w:hAnsi="Arial"/>
          <w:vertAlign w:val="subscript"/>
        </w:rPr>
        <w:t xml:space="preserve">2</w:t>
      </w:r>
      <w:r>
        <w:rPr>
          <w:rFonts w:ascii="Arial" w:cs="Arial" w:eastAsia="Arial" w:hAnsi="Arial"/>
        </w:rPr>
        <w:t xml:space="preserve"> emissions; the data support this only across the whole period, not year by year, and shared drivers explain the evidence better than a direct link. For REDD+, the headline CO</w:t>
      </w:r>
      <w:r>
        <w:rPr>
          <w:rFonts w:ascii="Arial" w:cs="Arial" w:eastAsia="Arial" w:hAnsi="Arial"/>
          <w:vertAlign w:val="subscript"/>
        </w:rPr>
        <w:t xml:space="preserve">2</w:t>
      </w:r>
      <w:r>
        <w:rPr>
          <w:rFonts w:ascii="Arial" w:cs="Arial" w:eastAsia="Arial" w:hAnsi="Arial"/>
        </w:rPr>
        <w:t xml:space="preserve"> total therefore cannot show whether forest policy is working: forest-specific data and strong MRV are needed (Alemagi et al., 2014).</w:t>
      </w:r>
    </w:p>
    <w:p>
      <w:pPr>
        <w:pStyle w:val="Heading1"/>
      </w:pPr>
      <w:bookmarkStart w:name="_Toc_31" w:id="31"/>
      <w:r>
        <w:rPr>
          <w:rFonts w:ascii="Arial" w:cs="Arial" w:eastAsia="Arial" w:hAnsi="Arial"/>
        </w:rPr>
        <w:t xml:space="preserve">8. Conclusion</w:t>
      </w:r>
      <w:bookmarkEnd w:id="31"/>
    </w:p>
    <w:p>
      <w:r>
        <w:rPr>
          <w:rFonts w:ascii="Arial" w:cs="Arial" w:eastAsia="Arial" w:hAnsi="Arial"/>
        </w:rPr>
        <w:t xml:space="preserve">From 2001 to 2024, annual tree-cover loss in Cameroon had a strong, positive and statistically significant association with annual CO</w:t>
      </w:r>
      <w:r>
        <w:rPr>
          <w:rFonts w:ascii="Arial" w:cs="Arial" w:eastAsia="Arial" w:hAnsi="Arial"/>
          <w:vertAlign w:val="subscript"/>
        </w:rPr>
        <w:t xml:space="preserve">2</w:t>
      </w:r>
      <w:r>
        <w:rPr>
          <w:rFonts w:ascii="Arial" w:cs="Arial" w:eastAsia="Arial" w:hAnsi="Arial"/>
        </w:rPr>
        <w:t xml:space="preserve"> emissions excluding land-use change (</w:t>
      </w: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 0.753, n = 24, p &lt; 0.001), so the data support an association and H</w:t>
      </w:r>
      <w:r>
        <w:rPr>
          <w:rFonts w:ascii="Arial" w:cs="Arial" w:eastAsia="Arial" w:hAnsi="Arial"/>
          <w:vertAlign w:val="subscript"/>
        </w:rPr>
        <w:t xml:space="preserve">0</w:t>
      </w:r>
      <w:r>
        <w:rPr>
          <w:rFonts w:ascii="Arial" w:cs="Arial" w:eastAsia="Arial" w:hAnsi="Arial"/>
        </w:rPr>
        <w:t xml:space="preserve"> is rejected. However, the extent of a genuine association is limited. It is produced by both variables rising over time: it disappears when the trend is removed (</w:t>
      </w: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 −0.069, p = 0.754), it is absent in 2015–2024, and loss was not significantly associated with land-use-change CO</w:t>
      </w:r>
      <w:r>
        <w:rPr>
          <w:rFonts w:ascii="Arial" w:cs="Arial" w:eastAsia="Arial" w:hAnsi="Arial"/>
          <w:vertAlign w:val="subscript"/>
        </w:rPr>
        <w:t xml:space="preserve">2</w:t>
      </w:r>
      <w:r>
        <w:rPr>
          <w:rFonts w:ascii="Arial" w:cs="Arial" w:eastAsia="Arial" w:hAnsi="Arial"/>
        </w:rPr>
        <w:t xml:space="preserve"> (</w:t>
      </w:r>
      <w:r>
        <w:rPr>
          <w:rFonts w:ascii="Arial" w:cs="Arial" w:eastAsia="Arial" w:hAnsi="Arial"/>
          <w:i/>
          <w:iCs/>
        </w:rPr>
        <w:t xml:space="preserve">r</w:t>
      </w:r>
      <w:r>
        <w:rPr>
          <w:rFonts w:ascii="Arial" w:cs="Arial" w:eastAsia="Arial" w:hAnsi="Arial"/>
          <w:vertAlign w:val="subscript"/>
        </w:rPr>
        <w:t xml:space="preserve">s</w:t>
      </w:r>
      <w:r>
        <w:rPr>
          <w:rFonts w:ascii="Arial" w:cs="Arial" w:eastAsia="Arial" w:hAnsi="Arial"/>
        </w:rPr>
        <w:t xml:space="preserve"> = −0.191, p = 0.371). Years with greater tree-cover loss were therefore not reliably years of higher CO</w:t>
      </w:r>
      <w:r>
        <w:rPr>
          <w:rFonts w:ascii="Arial" w:cs="Arial" w:eastAsia="Arial" w:hAnsi="Arial"/>
          <w:vertAlign w:val="subscript"/>
        </w:rPr>
        <w:t xml:space="preserve">2</w:t>
      </w:r>
      <w:r>
        <w:rPr>
          <w:rFonts w:ascii="Arial" w:cs="Arial" w:eastAsia="Arial" w:hAnsi="Arial"/>
        </w:rPr>
        <w:t xml:space="preserve"> emissions.</w:t>
      </w:r>
    </w:p>
    <w:p>
      <w:r>
        <w:rPr>
          <w:rFonts w:ascii="Arial" w:cs="Arial" w:eastAsia="Arial" w:hAnsi="Arial"/>
        </w:rPr>
        <w:t xml:space="preserve">The most likely explanation is shared drivers such as population and economic growth. Causation cannot be established: correlation does not control for these confounders, the dependent variable excludes forest emissions, gross tree-cover loss is not permanent deforestation, and the 2011–2015 satellite method change may have inflated the correlation.</w:t>
      </w:r>
    </w:p>
    <w:p>
      <w:pPr>
        <w:pStyle w:val="Heading1"/>
      </w:pPr>
      <w:bookmarkStart w:name="_Toc_32" w:id="32"/>
      <w:r>
        <w:rPr>
          <w:rFonts w:ascii="Arial" w:cs="Arial" w:eastAsia="Arial" w:hAnsi="Arial"/>
        </w:rPr>
        <w:t xml:space="preserve">9. Evaluation</w:t>
      </w:r>
      <w:bookmarkEnd w:id="32"/>
    </w:p>
    <w:p>
      <w:pPr>
        <w:pStyle w:val="Heading2"/>
      </w:pPr>
      <w:bookmarkStart w:name="_Toc_33" w:id="33"/>
      <w:r>
        <w:rPr>
          <w:rFonts w:ascii="Arial" w:cs="Arial" w:eastAsia="Arial" w:hAnsi="Arial"/>
        </w:rPr>
        <w:t xml:space="preserve">9.1 Strengths</w:t>
      </w:r>
      <w:bookmarkEnd w:id="33"/>
    </w:p>
    <w:p>
      <w:pPr>
        <w:pStyle w:val="ListParagraph"/>
        <w:numPr>
          <w:ilvl w:val="0"/>
          <w:numId w:val="2"/>
        </w:numPr>
      </w:pPr>
      <w:r>
        <w:rPr>
          <w:rFonts w:ascii="Arial" w:cs="Arial" w:eastAsia="Arial" w:hAnsi="Arial"/>
        </w:rPr>
        <w:t xml:space="preserve">A complete 24-year matched series with no missing values, from peer-reviewed sources.</w:t>
      </w:r>
    </w:p>
    <w:p>
      <w:pPr>
        <w:pStyle w:val="ListParagraph"/>
        <w:numPr>
          <w:ilvl w:val="0"/>
          <w:numId w:val="2"/>
        </w:numPr>
      </w:pPr>
      <w:r>
        <w:rPr>
          <w:rFonts w:ascii="Arial" w:cs="Arial" w:eastAsia="Arial" w:hAnsi="Arial"/>
        </w:rPr>
        <w:t xml:space="preserve">Consistent definitions throughout; loss values changed by at most 1 ha between releases.</w:t>
      </w:r>
    </w:p>
    <w:p>
      <w:pPr>
        <w:pStyle w:val="ListParagraph"/>
        <w:numPr>
          <w:ilvl w:val="0"/>
          <w:numId w:val="2"/>
        </w:numPr>
      </w:pPr>
      <w:r>
        <w:rPr>
          <w:rFonts w:ascii="Arial" w:cs="Arial" w:eastAsia="Arial" w:hAnsi="Arial"/>
        </w:rPr>
        <w:t xml:space="preserve">The test was chosen from the data’s properties, and hand calculations matched the software.</w:t>
      </w:r>
    </w:p>
    <w:p>
      <w:pPr>
        <w:pStyle w:val="ListParagraph"/>
        <w:numPr>
          <w:ilvl w:val="0"/>
          <w:numId w:val="2"/>
        </w:numPr>
      </w:pPr>
      <w:r>
        <w:rPr>
          <w:rFonts w:ascii="Arial" w:cs="Arial" w:eastAsia="Arial" w:hAnsi="Arial"/>
        </w:rPr>
        <w:t xml:space="preserve">Sensitivity tests checked whether the main result holds.</w:t>
      </w:r>
    </w:p>
    <w:p>
      <w:pPr>
        <w:pStyle w:val="Heading2"/>
      </w:pPr>
      <w:bookmarkStart w:name="_Toc_34" w:id="34"/>
      <w:r>
        <w:rPr>
          <w:rFonts w:ascii="Arial" w:cs="Arial" w:eastAsia="Arial" w:hAnsi="Arial"/>
        </w:rPr>
        <w:t xml:space="preserve">9.2 Limitations and improvements</w:t>
      </w:r>
      <w:bookmarkEnd w:id="34"/>
    </w:p>
    <w:p>
      <w:r>
        <w:rPr>
          <w:rFonts w:ascii="Arial" w:cs="Arial" w:eastAsia="Arial" w:hAnsi="Arial"/>
        </w:rPr>
        <w:t xml:space="preserve">Relying on secondary data meant the underlying satellite images and energy statistics could not be checked directly (Table 7 summarises further limitations).</w:t>
      </w:r>
    </w:p>
    <w:p>
      <w:pPr>
        <w:keepNext/>
        <w:spacing w:after="60" w:before="160"/>
      </w:pPr>
      <w:r>
        <w:rPr>
          <w:rFonts w:ascii="Arial" w:cs="Arial" w:eastAsia="Arial" w:hAnsi="Arial"/>
          <w:b/>
          <w:bCs/>
          <w:color w:val="333333"/>
          <w:sz w:val="18"/>
          <w:szCs w:val="18"/>
        </w:rPr>
        <w:t xml:space="preserve">Table 7.</w:t>
      </w:r>
      <w:r>
        <w:rPr>
          <w:rFonts w:ascii="Arial" w:cs="Arial" w:eastAsia="Arial" w:hAnsi="Arial"/>
          <w:color w:val="333333"/>
          <w:sz w:val="18"/>
          <w:szCs w:val="18"/>
        </w:rPr>
        <w:t xml:space="preserve"> Limitations and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900"/>
        <w:gridCol w:w="2526"/>
        <w:gridCol w:w="2100"/>
      </w:tblGrid>
      <w:tr>
        <w:trPr>
          <w:cantSplit/>
          <w:tblHeader/>
        </w:trPr>
        <w:tc>
          <w:tcPr>
            <w:tcW w:type="dxa" w:w="25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6"/>
                <w:szCs w:val="16"/>
              </w:rPr>
              <w:t xml:space="preserve">Limitation</w:t>
            </w:r>
          </w:p>
        </w:tc>
        <w:tc>
          <w:tcPr>
            <w:tcW w:type="dxa" w:w="19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6"/>
                <w:szCs w:val="16"/>
              </w:rPr>
              <w:t xml:space="preserve">Effect on conclusion</w:t>
            </w:r>
          </w:p>
        </w:tc>
        <w:tc>
          <w:tcPr>
            <w:tcW w:type="dxa" w:w="2526"/>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6"/>
                <w:szCs w:val="16"/>
              </w:rPr>
              <w:t xml:space="preserve">Improvement: what and how</w:t>
            </w:r>
          </w:p>
        </w:tc>
        <w:tc>
          <w:tcPr>
            <w:tcW w:type="dxa" w:w="21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6"/>
                <w:szCs w:val="16"/>
              </w:rPr>
              <w:t xml:space="preserve">Why it would help</w:t>
            </w:r>
          </w:p>
        </w:tc>
      </w:tr>
      <w:tr>
        <w:trPr>
          <w:cantSplit/>
        </w:trPr>
        <w:tc>
          <w:tcPr>
            <w:tcW w:type="dxa" w:w="2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6"/>
                <w:szCs w:val="16"/>
              </w:rPr>
              <w:t xml:space="preserve">Dataset compatibility:</w:t>
            </w:r>
            <w:r>
              <w:rPr>
                <w:rFonts w:ascii="Arial" w:cs="Arial" w:eastAsia="Arial" w:hAnsi="Arial"/>
                <w:sz w:val="16"/>
                <w:szCs w:val="16"/>
              </w:rPr>
              <w:t xml:space="preserve"> satellite-detected canopy loss vs fossil and industrial CO</w:t>
            </w:r>
            <w:r>
              <w:rPr>
                <w:rFonts w:ascii="Arial" w:cs="Arial" w:eastAsia="Arial" w:hAnsi="Arial"/>
                <w:sz w:val="16"/>
                <w:szCs w:val="16"/>
                <w:vertAlign w:val="subscript"/>
              </w:rPr>
              <w:t xml:space="preserve">2</w:t>
            </w:r>
            <w:r>
              <w:rPr>
                <w:rFonts w:ascii="Arial" w:cs="Arial" w:eastAsia="Arial" w:hAnsi="Arial"/>
                <w:sz w:val="16"/>
                <w:szCs w:val="16"/>
              </w:rPr>
              <w:t xml:space="preserve">; loss is recorded when detected, which can lag late-year events (Global Forest Watch, 2024).</w:t>
            </w:r>
          </w:p>
        </w:tc>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6"/>
                <w:szCs w:val="16"/>
              </w:rPr>
              <w:t xml:space="preserve">The main </w:t>
            </w:r>
            <w:r>
              <w:rPr>
                <w:rFonts w:ascii="Arial" w:cs="Arial" w:eastAsia="Arial" w:hAnsi="Arial"/>
                <w:i/>
                <w:iCs/>
                <w:sz w:val="16"/>
                <w:szCs w:val="16"/>
              </w:rPr>
              <w:t xml:space="preserve">r</w:t>
            </w:r>
            <w:r>
              <w:rPr>
                <w:rFonts w:ascii="Arial" w:cs="Arial" w:eastAsia="Arial" w:hAnsi="Arial"/>
                <w:sz w:val="16"/>
                <w:szCs w:val="16"/>
                <w:vertAlign w:val="subscript"/>
              </w:rPr>
              <w:t xml:space="preserve">s</w:t>
            </w:r>
            <w:r>
              <w:rPr>
                <w:rFonts w:ascii="Arial" w:cs="Arial" w:eastAsia="Arial" w:hAnsi="Arial"/>
                <w:sz w:val="16"/>
                <w:szCs w:val="16"/>
              </w:rPr>
              <w:t xml:space="preserve"> mostly reflects a shared trend, not a carbon link.</w:t>
            </w:r>
          </w:p>
        </w:tc>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6"/>
                <w:szCs w:val="16"/>
              </w:rPr>
              <w:t xml:space="preserve">Use an independent forest-emission variable, e.g. the land-use sector of Cameroon’s UNFCCC inventory, if enough years exist.</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6"/>
                <w:szCs w:val="16"/>
              </w:rPr>
              <w:t xml:space="preserve">Tests the rationale’s carbon pathway directly.</w:t>
            </w:r>
          </w:p>
        </w:tc>
      </w:tr>
      <w:tr>
        <w:trPr>
          <w:cantSplit/>
        </w:trPr>
        <w:tc>
          <w:tcPr>
            <w:tcW w:type="dxa" w:w="2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6"/>
                <w:szCs w:val="16"/>
              </w:rPr>
              <w:t xml:space="preserve">Validity:</w:t>
            </w:r>
            <w:r>
              <w:rPr>
                <w:rFonts w:ascii="Arial" w:cs="Arial" w:eastAsia="Arial" w:hAnsi="Arial"/>
                <w:sz w:val="16"/>
                <w:szCs w:val="16"/>
              </w:rPr>
              <w:t xml:space="preserve"> about half the loss was shifting cultivation, which is followed by regrowth.</w:t>
            </w:r>
          </w:p>
        </w:tc>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6"/>
                <w:szCs w:val="16"/>
              </w:rPr>
              <w:t xml:space="preserve">Loss overstates permanent carbon loss.</w:t>
            </w:r>
          </w:p>
        </w:tc>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6"/>
                <w:szCs w:val="16"/>
              </w:rPr>
              <w:t xml:space="preserve">Repeat with GFW’s humid tropical primary forest loss (2002–2025), in the same workbook.</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6"/>
                <w:szCs w:val="16"/>
              </w:rPr>
              <w:t xml:space="preserve">Excludes previously cleared, regrowing land.</w:t>
            </w:r>
          </w:p>
        </w:tc>
      </w:tr>
      <w:tr>
        <w:trPr>
          <w:cantSplit/>
        </w:trPr>
        <w:tc>
          <w:tcPr>
            <w:tcW w:type="dxa" w:w="2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6"/>
                <w:szCs w:val="16"/>
              </w:rPr>
              <w:t xml:space="preserve">Temporal consistency:</w:t>
            </w:r>
            <w:r>
              <w:rPr>
                <w:rFonts w:ascii="Arial" w:cs="Arial" w:eastAsia="Arial" w:hAnsi="Arial"/>
                <w:sz w:val="16"/>
                <w:szCs w:val="16"/>
              </w:rPr>
              <w:t xml:space="preserve"> detection improved in 2011–2015 (Global Forest Watch, 2024).</w:t>
            </w:r>
          </w:p>
        </w:tc>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6"/>
                <w:szCs w:val="16"/>
              </w:rPr>
              <w:t xml:space="preserve">Later loss may be over-estimated, inflating </w:t>
            </w:r>
            <w:r>
              <w:rPr>
                <w:rFonts w:ascii="Arial" w:cs="Arial" w:eastAsia="Arial" w:hAnsi="Arial"/>
                <w:i/>
                <w:iCs/>
                <w:sz w:val="16"/>
                <w:szCs w:val="16"/>
              </w:rPr>
              <w:t xml:space="preserve">r</w:t>
            </w:r>
            <w:r>
              <w:rPr>
                <w:rFonts w:ascii="Arial" w:cs="Arial" w:eastAsia="Arial" w:hAnsi="Arial"/>
                <w:sz w:val="16"/>
                <w:szCs w:val="16"/>
                <w:vertAlign w:val="subscript"/>
              </w:rPr>
              <w:t xml:space="preserve">s</w:t>
            </w:r>
            <w:r>
              <w:rPr>
                <w:rFonts w:ascii="Arial" w:cs="Arial" w:eastAsia="Arial" w:hAnsi="Arial"/>
                <w:sz w:val="16"/>
                <w:szCs w:val="16"/>
              </w:rPr>
              <w:t xml:space="preserve">.</w:t>
            </w:r>
          </w:p>
        </w:tc>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6"/>
                <w:szCs w:val="16"/>
              </w:rPr>
              <w:t xml:space="preserve">Use 3-year moving averages; analyse only post-2015 data once more years are released.</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6"/>
                <w:szCs w:val="16"/>
              </w:rPr>
              <w:t xml:space="preserve">Reduces artificial trends from satellite changes.</w:t>
            </w:r>
          </w:p>
        </w:tc>
      </w:tr>
      <w:tr>
        <w:trPr>
          <w:cantSplit/>
        </w:trPr>
        <w:tc>
          <w:tcPr>
            <w:tcW w:type="dxa" w:w="2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6"/>
                <w:szCs w:val="16"/>
              </w:rPr>
              <w:t xml:space="preserve">Confounding</w:t>
            </w:r>
            <w:r>
              <w:rPr>
                <w:rFonts w:ascii="Arial" w:cs="Arial" w:eastAsia="Arial" w:hAnsi="Arial"/>
                <w:sz w:val="16"/>
                <w:szCs w:val="16"/>
              </w:rPr>
              <w:t xml:space="preserve"> by population and economic growth.</w:t>
            </w:r>
          </w:p>
        </w:tc>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6"/>
                <w:szCs w:val="16"/>
              </w:rPr>
              <w:t xml:space="preserve">Correlation inflated; causation cannot be inferred.</w:t>
            </w:r>
          </w:p>
        </w:tc>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6"/>
                <w:szCs w:val="16"/>
              </w:rPr>
              <w:t xml:space="preserve">Partial correlation or multiple regression with population and primary energy consumption (both in the OWID file).</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6"/>
                <w:szCs w:val="16"/>
              </w:rPr>
              <w:t xml:space="preserve">Shows whether any association remains once shared growth is removed.</w:t>
            </w:r>
          </w:p>
        </w:tc>
      </w:tr>
      <w:tr>
        <w:trPr>
          <w:cantSplit/>
        </w:trPr>
        <w:tc>
          <w:tcPr>
            <w:tcW w:type="dxa" w:w="2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6"/>
                <w:szCs w:val="16"/>
              </w:rPr>
              <w:t xml:space="preserve">Precision:</w:t>
            </w:r>
            <w:r>
              <w:rPr>
                <w:rFonts w:ascii="Arial" w:cs="Arial" w:eastAsia="Arial" w:hAnsi="Arial"/>
                <w:sz w:val="16"/>
                <w:szCs w:val="16"/>
              </w:rPr>
              <w:t xml:space="preserve"> no country-level CO</w:t>
            </w:r>
            <w:r>
              <w:rPr>
                <w:rFonts w:ascii="Arial" w:cs="Arial" w:eastAsia="Arial" w:hAnsi="Arial"/>
                <w:sz w:val="16"/>
                <w:szCs w:val="16"/>
                <w:vertAlign w:val="subscript"/>
              </w:rPr>
              <w:t xml:space="preserve">2</w:t>
            </w:r>
            <w:r>
              <w:rPr>
                <w:rFonts w:ascii="Arial" w:cs="Arial" w:eastAsia="Arial" w:hAnsi="Arial"/>
                <w:sz w:val="16"/>
                <w:szCs w:val="16"/>
              </w:rPr>
              <w:t xml:space="preserve"> uncertainty; globally about ±5% for fossil and ±54% for land-use CO</w:t>
            </w:r>
            <w:r>
              <w:rPr>
                <w:rFonts w:ascii="Arial" w:cs="Arial" w:eastAsia="Arial" w:hAnsi="Arial"/>
                <w:sz w:val="16"/>
                <w:szCs w:val="16"/>
                <w:vertAlign w:val="subscript"/>
              </w:rPr>
              <w:t xml:space="preserve">2</w:t>
            </w:r>
            <w:r>
              <w:rPr>
                <w:rFonts w:ascii="Arial" w:cs="Arial" w:eastAsia="Arial" w:hAnsi="Arial"/>
                <w:sz w:val="16"/>
                <w:szCs w:val="16"/>
              </w:rPr>
              <w:t xml:space="preserve"> (Friedlingstein et al., 2026). Loss-map accuracy: 87% user’s, 88% producer’s (Hansen et al., 2013).</w:t>
            </w:r>
          </w:p>
        </w:tc>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6"/>
                <w:szCs w:val="16"/>
              </w:rPr>
              <w:t xml:space="preserve">Small differences, e.g. the 4% CO</w:t>
            </w:r>
            <w:r>
              <w:rPr>
                <w:rFonts w:ascii="Arial" w:cs="Arial" w:eastAsia="Arial" w:hAnsi="Arial"/>
                <w:sz w:val="16"/>
                <w:szCs w:val="16"/>
                <w:vertAlign w:val="subscript"/>
              </w:rPr>
              <w:t xml:space="preserve">2</w:t>
            </w:r>
            <w:r>
              <w:rPr>
                <w:rFonts w:ascii="Arial" w:cs="Arial" w:eastAsia="Arial" w:hAnsi="Arial"/>
                <w:sz w:val="16"/>
                <w:szCs w:val="16"/>
              </w:rPr>
              <w:t xml:space="preserve"> range in 2015–2024, may not be real.</w:t>
            </w:r>
          </w:p>
        </w:tc>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6"/>
                <w:szCs w:val="16"/>
              </w:rPr>
              <w:t xml:space="preserve">Compare with an independent inventory, such as the World Bank’s EDGAR-based series (World Bank, n.d.).</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6"/>
                <w:szCs w:val="16"/>
              </w:rPr>
              <w:t xml:space="preserve">The spread between inventories estimates uncertainty.</w:t>
            </w:r>
          </w:p>
        </w:tc>
      </w:tr>
      <w:tr>
        <w:trPr>
          <w:cantSplit/>
        </w:trPr>
        <w:tc>
          <w:tcPr>
            <w:tcW w:type="dxa" w:w="25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b/>
                <w:bCs/>
                <w:sz w:val="16"/>
                <w:szCs w:val="16"/>
              </w:rPr>
              <w:t xml:space="preserve">Scale and sample size:</w:t>
            </w:r>
            <w:r>
              <w:rPr>
                <w:rFonts w:ascii="Arial" w:cs="Arial" w:eastAsia="Arial" w:hAnsi="Arial"/>
                <w:sz w:val="16"/>
                <w:szCs w:val="16"/>
              </w:rPr>
              <w:t xml:space="preserve"> national totals; n = 24 (10 for 2015–2024).</w:t>
            </w:r>
          </w:p>
        </w:tc>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6"/>
                <w:szCs w:val="16"/>
              </w:rPr>
              <w:t xml:space="preserve">Regional patterns hidden; sub-period result weak.</w:t>
            </w:r>
          </w:p>
        </w:tc>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6"/>
                <w:szCs w:val="16"/>
              </w:rPr>
              <w:t xml:space="preserve">Combine GFW regional loss data with regional or gridded emission estimates, where available.</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6"/>
                <w:szCs w:val="16"/>
              </w:rPr>
              <w:t xml:space="preserve">Links loss and emissions in the same places and increases n.</w:t>
            </w:r>
          </w:p>
        </w:tc>
      </w:tr>
    </w:tbl>
    <w:p>
      <w:pPr>
        <w:spacing w:after="80"/>
      </w:pPr>
    </w:p>
    <w:p>
      <w:r>
        <w:br w:type="page"/>
      </w:r>
    </w:p>
    <w:p>
      <w:pPr>
        <w:pStyle w:val="Heading1"/>
      </w:pPr>
      <w:bookmarkStart w:name="_Toc_35" w:id="35"/>
      <w:r>
        <w:rPr>
          <w:rFonts w:ascii="Arial" w:cs="Arial" w:eastAsia="Arial" w:hAnsi="Arial"/>
        </w:rPr>
        <w:t xml:space="preserve">References</w:t>
      </w:r>
      <w:bookmarkEnd w:id="35"/>
    </w:p>
    <w:p>
      <w:pPr>
        <w:spacing w:after="100"/>
        <w:ind w:left="567" w:hanging="567"/>
      </w:pPr>
      <w:r>
        <w:rPr>
          <w:rFonts w:ascii="Arial" w:cs="Arial" w:eastAsia="Arial" w:hAnsi="Arial"/>
          <w:sz w:val="20"/>
          <w:szCs w:val="20"/>
        </w:rPr>
        <w:t xml:space="preserve">Alemagi, D., Minang, P.A., Feudjio, M. and Duguma, L. (2014) ‘REDD+ readiness process in Cameroon: an analysis of multi-stakeholder perspectives’, </w:t>
      </w:r>
      <w:r>
        <w:rPr>
          <w:rFonts w:ascii="Arial" w:cs="Arial" w:eastAsia="Arial" w:hAnsi="Arial"/>
          <w:i/>
          <w:iCs/>
          <w:sz w:val="20"/>
          <w:szCs w:val="20"/>
        </w:rPr>
        <w:t xml:space="preserve">Climate Policy</w:t>
      </w:r>
      <w:r>
        <w:rPr>
          <w:rFonts w:ascii="Arial" w:cs="Arial" w:eastAsia="Arial" w:hAnsi="Arial"/>
          <w:sz w:val="20"/>
          <w:szCs w:val="20"/>
        </w:rPr>
        <w:t xml:space="preserve">, 14(6), pp. 709–733. doi:10.1080/14693062.2014.905439.</w:t>
      </w:r>
    </w:p>
    <w:p>
      <w:pPr>
        <w:spacing w:after="100"/>
        <w:ind w:left="567" w:hanging="567"/>
      </w:pPr>
      <w:r>
        <w:rPr>
          <w:rFonts w:ascii="Arial" w:cs="Arial" w:eastAsia="Arial" w:hAnsi="Arial"/>
          <w:sz w:val="20"/>
          <w:szCs w:val="20"/>
        </w:rPr>
        <w:t xml:space="preserve">Dkamela, G.P. (2011) </w:t>
      </w:r>
      <w:r>
        <w:rPr>
          <w:rFonts w:ascii="Arial" w:cs="Arial" w:eastAsia="Arial" w:hAnsi="Arial"/>
          <w:i/>
          <w:iCs/>
          <w:sz w:val="20"/>
          <w:szCs w:val="20"/>
        </w:rPr>
        <w:t xml:space="preserve">The context of REDD+ in Cameroon: drivers, agents and institutions</w:t>
      </w:r>
      <w:r>
        <w:rPr>
          <w:rFonts w:ascii="Arial" w:cs="Arial" w:eastAsia="Arial" w:hAnsi="Arial"/>
          <w:sz w:val="20"/>
          <w:szCs w:val="20"/>
        </w:rPr>
        <w:t xml:space="preserve">. Occasional Paper 57. Bogor: Center for International Forestry Research (CIFOR). Available at: https://www.cifor-icraf.org/publications/pdf_files/OccPapers/OP-57.pdf</w:t>
      </w:r>
    </w:p>
    <w:p>
      <w:pPr>
        <w:spacing w:after="100"/>
        <w:ind w:left="567" w:hanging="567"/>
      </w:pPr>
      <w:r>
        <w:rPr>
          <w:rFonts w:ascii="Arial" w:cs="Arial" w:eastAsia="Arial" w:hAnsi="Arial"/>
          <w:sz w:val="20"/>
          <w:szCs w:val="20"/>
        </w:rPr>
        <w:t xml:space="preserve">Dkamela, G.P., Brockhaus, M., Kengoum Djiegni, F., Schure, J. and Assembe Mvondo, S. (2014) ‘Lessons for REDD+ from Cameroon’s past forestry law reform: a political economy analysis’, </w:t>
      </w:r>
      <w:r>
        <w:rPr>
          <w:rFonts w:ascii="Arial" w:cs="Arial" w:eastAsia="Arial" w:hAnsi="Arial"/>
          <w:i/>
          <w:iCs/>
          <w:sz w:val="20"/>
          <w:szCs w:val="20"/>
        </w:rPr>
        <w:t xml:space="preserve">Ecology and Society</w:t>
      </w:r>
      <w:r>
        <w:rPr>
          <w:rFonts w:ascii="Arial" w:cs="Arial" w:eastAsia="Arial" w:hAnsi="Arial"/>
          <w:sz w:val="20"/>
          <w:szCs w:val="20"/>
        </w:rPr>
        <w:t xml:space="preserve">, 19(3), art. 30. doi:10.5751/ES-06839-190330.</w:t>
      </w:r>
    </w:p>
    <w:p>
      <w:pPr>
        <w:spacing w:after="100"/>
        <w:ind w:left="567" w:hanging="567"/>
      </w:pPr>
      <w:r>
        <w:rPr>
          <w:rFonts w:ascii="Arial" w:cs="Arial" w:eastAsia="Arial" w:hAnsi="Arial"/>
          <w:sz w:val="20"/>
          <w:szCs w:val="20"/>
        </w:rPr>
        <w:t xml:space="preserve">Friedlingstein, P., O’Sullivan, M., Jones, M.W., Andrew, R.M. et al. (2026) ‘Global Carbon Budget 2025’, </w:t>
      </w:r>
      <w:r>
        <w:rPr>
          <w:rFonts w:ascii="Arial" w:cs="Arial" w:eastAsia="Arial" w:hAnsi="Arial"/>
          <w:i/>
          <w:iCs/>
          <w:sz w:val="20"/>
          <w:szCs w:val="20"/>
        </w:rPr>
        <w:t xml:space="preserve">Earth System Science Data</w:t>
      </w:r>
      <w:r>
        <w:rPr>
          <w:rFonts w:ascii="Arial" w:cs="Arial" w:eastAsia="Arial" w:hAnsi="Arial"/>
          <w:sz w:val="20"/>
          <w:szCs w:val="20"/>
        </w:rPr>
        <w:t xml:space="preserve">, 18(5), pp. 3211–3288. doi:10.5194/essd-18-3211-2026.</w:t>
      </w:r>
    </w:p>
    <w:p>
      <w:pPr>
        <w:spacing w:after="100"/>
        <w:ind w:left="567" w:hanging="567"/>
      </w:pPr>
      <w:r>
        <w:rPr>
          <w:rFonts w:ascii="Arial" w:cs="Arial" w:eastAsia="Arial" w:hAnsi="Arial"/>
          <w:sz w:val="20"/>
          <w:szCs w:val="20"/>
        </w:rPr>
        <w:t xml:space="preserve">Gibbs, D.A., Rose, M. et al. (2025) ‘Revised and updated geospatial monitoring of 21st century forest carbon fluxes’, </w:t>
      </w:r>
      <w:r>
        <w:rPr>
          <w:rFonts w:ascii="Arial" w:cs="Arial" w:eastAsia="Arial" w:hAnsi="Arial"/>
          <w:i/>
          <w:iCs/>
          <w:sz w:val="20"/>
          <w:szCs w:val="20"/>
        </w:rPr>
        <w:t xml:space="preserve">Earth System Science Data</w:t>
      </w:r>
      <w:r>
        <w:rPr>
          <w:rFonts w:ascii="Arial" w:cs="Arial" w:eastAsia="Arial" w:hAnsi="Arial"/>
          <w:sz w:val="20"/>
          <w:szCs w:val="20"/>
        </w:rPr>
        <w:t xml:space="preserve">, 17(3), pp. 1217–1243. Available at: https://essd.copernicus.org/articles/17/1217/2025/</w:t>
      </w:r>
    </w:p>
    <w:p>
      <w:pPr>
        <w:spacing w:after="100"/>
        <w:ind w:left="567" w:hanging="567"/>
      </w:pPr>
      <w:r>
        <w:rPr>
          <w:rFonts w:ascii="Arial" w:cs="Arial" w:eastAsia="Arial" w:hAnsi="Arial"/>
          <w:sz w:val="20"/>
          <w:szCs w:val="20"/>
        </w:rPr>
        <w:t xml:space="preserve">Global Forest Watch (2024) </w:t>
      </w:r>
      <w:r>
        <w:rPr>
          <w:rFonts w:ascii="Arial" w:cs="Arial" w:eastAsia="Arial" w:hAnsi="Arial"/>
          <w:i/>
          <w:iCs/>
          <w:sz w:val="20"/>
          <w:szCs w:val="20"/>
        </w:rPr>
        <w:t xml:space="preserve">How tree cover loss data has changed over time</w:t>
      </w:r>
      <w:r>
        <w:rPr>
          <w:rFonts w:ascii="Arial" w:cs="Arial" w:eastAsia="Arial" w:hAnsi="Arial"/>
          <w:sz w:val="20"/>
          <w:szCs w:val="20"/>
        </w:rPr>
        <w:t xml:space="preserve">. GFW Blog, 20 March. Available at: https://www.globalforestwatch.org/blog/data-and-tools/tree-cover-loss-satellite-data-trend-analysis/ (Accessed: 23 September 2026).</w:t>
      </w:r>
    </w:p>
    <w:p>
      <w:pPr>
        <w:spacing w:after="100"/>
        <w:ind w:left="567" w:hanging="567"/>
      </w:pPr>
      <w:r>
        <w:rPr>
          <w:rFonts w:ascii="Arial" w:cs="Arial" w:eastAsia="Arial" w:hAnsi="Arial"/>
          <w:sz w:val="20"/>
          <w:szCs w:val="20"/>
        </w:rPr>
        <w:t xml:space="preserve">Global Forest Watch (2026) </w:t>
      </w:r>
      <w:r>
        <w:rPr>
          <w:rFonts w:ascii="Arial" w:cs="Arial" w:eastAsia="Arial" w:hAnsi="Arial"/>
          <w:i/>
          <w:iCs/>
          <w:sz w:val="20"/>
          <w:szCs w:val="20"/>
        </w:rPr>
        <w:t xml:space="preserve">Cameroon country statistics: tree cover loss, drivers and carbon data</w:t>
      </w:r>
      <w:r>
        <w:rPr>
          <w:rFonts w:ascii="Arial" w:cs="Arial" w:eastAsia="Arial" w:hAnsi="Arial"/>
          <w:sz w:val="20"/>
          <w:szCs w:val="20"/>
        </w:rPr>
        <w:t xml:space="preserve"> [dataset, CMR.xlsx], version v20260427. World Resources Institute. Available at: https://gfw2-data.s3.amazonaws.com/country-pages/country_stats/download/2025/CMR.xlsx (Accessed: 23 September 2026).</w:t>
      </w:r>
    </w:p>
    <w:p>
      <w:pPr>
        <w:spacing w:after="100"/>
        <w:ind w:left="567" w:hanging="567"/>
      </w:pPr>
      <w:r>
        <w:rPr>
          <w:rFonts w:ascii="Arial" w:cs="Arial" w:eastAsia="Arial" w:hAnsi="Arial"/>
          <w:sz w:val="20"/>
          <w:szCs w:val="20"/>
        </w:rPr>
        <w:t xml:space="preserve">Hansen, M.C., Potapov, P.V., Moore, R., Hancher, M., Turubanova, S.A., Tyukavina, A., Thau, D., Stehman, S.V., Goetz, S.J., Loveland, T.R. et al. (2013) ‘High-resolution global maps of 21st-century forest cover change’, </w:t>
      </w:r>
      <w:r>
        <w:rPr>
          <w:rFonts w:ascii="Arial" w:cs="Arial" w:eastAsia="Arial" w:hAnsi="Arial"/>
          <w:i/>
          <w:iCs/>
          <w:sz w:val="20"/>
          <w:szCs w:val="20"/>
        </w:rPr>
        <w:t xml:space="preserve">Science</w:t>
      </w:r>
      <w:r>
        <w:rPr>
          <w:rFonts w:ascii="Arial" w:cs="Arial" w:eastAsia="Arial" w:hAnsi="Arial"/>
          <w:sz w:val="20"/>
          <w:szCs w:val="20"/>
        </w:rPr>
        <w:t xml:space="preserve">, 342(6160), pp. 850–853. doi:10.1126/science.1244693.</w:t>
      </w:r>
    </w:p>
    <w:p>
      <w:pPr>
        <w:spacing w:after="100"/>
        <w:ind w:left="567" w:hanging="567"/>
      </w:pPr>
      <w:r>
        <w:rPr>
          <w:rFonts w:ascii="Arial" w:cs="Arial" w:eastAsia="Arial" w:hAnsi="Arial"/>
          <w:sz w:val="20"/>
          <w:szCs w:val="20"/>
        </w:rPr>
        <w:t xml:space="preserve">Harris, N.L., Gibbs, D.A., Baccini, A. et al. (2021) ‘Global maps of twenty-first century forest carbon fluxes’, </w:t>
      </w:r>
      <w:r>
        <w:rPr>
          <w:rFonts w:ascii="Arial" w:cs="Arial" w:eastAsia="Arial" w:hAnsi="Arial"/>
          <w:i/>
          <w:iCs/>
          <w:sz w:val="20"/>
          <w:szCs w:val="20"/>
        </w:rPr>
        <w:t xml:space="preserve">Nature Climate Change</w:t>
      </w:r>
      <w:r>
        <w:rPr>
          <w:rFonts w:ascii="Arial" w:cs="Arial" w:eastAsia="Arial" w:hAnsi="Arial"/>
          <w:sz w:val="20"/>
          <w:szCs w:val="20"/>
        </w:rPr>
        <w:t xml:space="preserve">, 11, pp. 234–240. doi:10.1038/s41558-020-00976-6.</w:t>
      </w:r>
    </w:p>
    <w:p>
      <w:pPr>
        <w:spacing w:after="100"/>
        <w:ind w:left="567" w:hanging="567"/>
      </w:pPr>
      <w:r>
        <w:rPr>
          <w:rFonts w:ascii="Arial" w:cs="Arial" w:eastAsia="Arial" w:hAnsi="Arial"/>
          <w:sz w:val="20"/>
          <w:szCs w:val="20"/>
        </w:rPr>
        <w:t xml:space="preserve">Millennium Ecosystem Assessment (2005) </w:t>
      </w:r>
      <w:r>
        <w:rPr>
          <w:rFonts w:ascii="Arial" w:cs="Arial" w:eastAsia="Arial" w:hAnsi="Arial"/>
          <w:i/>
          <w:iCs/>
          <w:sz w:val="20"/>
          <w:szCs w:val="20"/>
        </w:rPr>
        <w:t xml:space="preserve">Ecosystems and human well-being: synthesis</w:t>
      </w:r>
      <w:r>
        <w:rPr>
          <w:rFonts w:ascii="Arial" w:cs="Arial" w:eastAsia="Arial" w:hAnsi="Arial"/>
          <w:sz w:val="20"/>
          <w:szCs w:val="20"/>
        </w:rPr>
        <w:t xml:space="preserve">. Washington, DC: Island Press.</w:t>
      </w:r>
    </w:p>
    <w:p>
      <w:pPr>
        <w:spacing w:after="100"/>
        <w:ind w:left="567" w:hanging="567"/>
      </w:pPr>
      <w:r>
        <w:rPr>
          <w:rFonts w:ascii="Arial" w:cs="Arial" w:eastAsia="Arial" w:hAnsi="Arial"/>
          <w:sz w:val="20"/>
          <w:szCs w:val="20"/>
        </w:rPr>
        <w:t xml:space="preserve">Our World in Data (2026) </w:t>
      </w:r>
      <w:r>
        <w:rPr>
          <w:rFonts w:ascii="Arial" w:cs="Arial" w:eastAsia="Arial" w:hAnsi="Arial"/>
          <w:i/>
          <w:iCs/>
          <w:sz w:val="20"/>
          <w:szCs w:val="20"/>
        </w:rPr>
        <w:t xml:space="preserve">CO₂ and greenhouse gas emissions dataset</w:t>
      </w:r>
      <w:r>
        <w:rPr>
          <w:rFonts w:ascii="Arial" w:cs="Arial" w:eastAsia="Arial" w:hAnsi="Arial"/>
          <w:sz w:val="20"/>
          <w:szCs w:val="20"/>
        </w:rPr>
        <w:t xml:space="preserve"> [dataset, owid-co2-data.csv and codebook], compiled by Rosado, P., Ritchie, H., Roser, M., Mathieu, E. and Macdonald, B.; last updated 1 June 2026; CO₂ data from the Global Carbon Budget (2025). Available at: https://github.com/owid/co2-data (Accessed: 23 September 2026).</w:t>
      </w:r>
    </w:p>
    <w:p>
      <w:pPr>
        <w:spacing w:after="100"/>
        <w:ind w:left="567" w:hanging="567"/>
      </w:pPr>
      <w:r>
        <w:rPr>
          <w:rFonts w:ascii="Arial" w:cs="Arial" w:eastAsia="Arial" w:hAnsi="Arial"/>
          <w:sz w:val="20"/>
          <w:szCs w:val="20"/>
        </w:rPr>
        <w:t xml:space="preserve">Republic of Cameroon (2019) </w:t>
      </w:r>
      <w:r>
        <w:rPr>
          <w:rFonts w:ascii="Arial" w:cs="Arial" w:eastAsia="Arial" w:hAnsi="Arial"/>
          <w:i/>
          <w:iCs/>
          <w:sz w:val="20"/>
          <w:szCs w:val="20"/>
        </w:rPr>
        <w:t xml:space="preserve">Self-assessment of the REDD+ readiness phase by stakeholders report</w:t>
      </w:r>
      <w:r>
        <w:rPr>
          <w:rFonts w:ascii="Arial" w:cs="Arial" w:eastAsia="Arial" w:hAnsi="Arial"/>
          <w:sz w:val="20"/>
          <w:szCs w:val="20"/>
        </w:rPr>
        <w:t xml:space="preserve"> [R-Package]. Forest Carbon Partnership Facility. Available at: https://www.forestcarbonpartnership.org/system/files/documents/Cameroon%20R-Package%20%20%20review_25-2-19.pdf</w:t>
      </w:r>
    </w:p>
    <w:p>
      <w:pPr>
        <w:spacing w:after="100"/>
        <w:ind w:left="567" w:hanging="567"/>
      </w:pPr>
      <w:r>
        <w:rPr>
          <w:rFonts w:ascii="Arial" w:cs="Arial" w:eastAsia="Arial" w:hAnsi="Arial"/>
          <w:sz w:val="20"/>
          <w:szCs w:val="20"/>
        </w:rPr>
        <w:t xml:space="preserve">Sims, M., Stanimirova, R., Raichuk, A., Neumann, M. et al. (2025) ‘Global drivers of forest loss at 1 km resolution’, </w:t>
      </w:r>
      <w:r>
        <w:rPr>
          <w:rFonts w:ascii="Arial" w:cs="Arial" w:eastAsia="Arial" w:hAnsi="Arial"/>
          <w:i/>
          <w:iCs/>
          <w:sz w:val="20"/>
          <w:szCs w:val="20"/>
        </w:rPr>
        <w:t xml:space="preserve">Environmental Research Letters</w:t>
      </w:r>
      <w:r>
        <w:rPr>
          <w:rFonts w:ascii="Arial" w:cs="Arial" w:eastAsia="Arial" w:hAnsi="Arial"/>
          <w:sz w:val="20"/>
          <w:szCs w:val="20"/>
        </w:rPr>
        <w:t xml:space="preserve">, 20(7), 074027. doi:10.1088/1748-9326/add606.</w:t>
      </w:r>
    </w:p>
    <w:p>
      <w:pPr>
        <w:spacing w:after="100"/>
        <w:ind w:left="567" w:hanging="567"/>
      </w:pPr>
      <w:r>
        <w:rPr>
          <w:rFonts w:ascii="Arial" w:cs="Arial" w:eastAsia="Arial" w:hAnsi="Arial"/>
          <w:sz w:val="20"/>
          <w:szCs w:val="20"/>
        </w:rPr>
        <w:t xml:space="preserve">United Nations (2015) </w:t>
      </w:r>
      <w:r>
        <w:rPr>
          <w:rFonts w:ascii="Arial" w:cs="Arial" w:eastAsia="Arial" w:hAnsi="Arial"/>
          <w:i/>
          <w:iCs/>
          <w:sz w:val="20"/>
          <w:szCs w:val="20"/>
        </w:rPr>
        <w:t xml:space="preserve">Transforming our world: the 2030 Agenda for Sustainable Development</w:t>
      </w:r>
      <w:r>
        <w:rPr>
          <w:rFonts w:ascii="Arial" w:cs="Arial" w:eastAsia="Arial" w:hAnsi="Arial"/>
          <w:sz w:val="20"/>
          <w:szCs w:val="20"/>
        </w:rPr>
        <w:t xml:space="preserve"> (A/RES/70/1). New York: United Nations.</w:t>
      </w:r>
    </w:p>
    <w:p>
      <w:pPr>
        <w:spacing w:after="100"/>
        <w:ind w:left="567" w:hanging="567"/>
      </w:pPr>
      <w:r>
        <w:rPr>
          <w:rFonts w:ascii="Arial" w:cs="Arial" w:eastAsia="Arial" w:hAnsi="Arial"/>
          <w:sz w:val="20"/>
          <w:szCs w:val="20"/>
        </w:rPr>
        <w:t xml:space="preserve">World Bank (n.d.) </w:t>
      </w:r>
      <w:r>
        <w:rPr>
          <w:rFonts w:ascii="Arial" w:cs="Arial" w:eastAsia="Arial" w:hAnsi="Arial"/>
          <w:i/>
          <w:iCs/>
          <w:sz w:val="20"/>
          <w:szCs w:val="20"/>
        </w:rPr>
        <w:t xml:space="preserve">Carbon dioxide (CO₂) emissions (total) excluding LULUCF (Mt CO₂e)</w:t>
      </w:r>
      <w:r>
        <w:rPr>
          <w:rFonts w:ascii="Arial" w:cs="Arial" w:eastAsia="Arial" w:hAnsi="Arial"/>
          <w:sz w:val="20"/>
          <w:szCs w:val="20"/>
        </w:rPr>
        <w:t xml:space="preserve"> [indicator EN.GHG.CO2.MT.CE.AR5]. World Development Indicators. Available at: https://data.worldbank.org/indicator/EN.GHG.CO2.MT.CE.AR5</w:t>
      </w:r>
    </w:p>
    <w:p>
      <w:pPr>
        <w:spacing w:after="100"/>
        <w:ind w:left="567" w:hanging="567"/>
      </w:pPr>
      <w:r>
        <w:rPr>
          <w:rFonts w:ascii="Arial" w:cs="Arial" w:eastAsia="Arial" w:hAnsi="Arial"/>
          <w:sz w:val="20"/>
          <w:szCs w:val="20"/>
        </w:rPr>
        <w:t xml:space="preserve">World Bank Group (2022) </w:t>
      </w:r>
      <w:r>
        <w:rPr>
          <w:rFonts w:ascii="Arial" w:cs="Arial" w:eastAsia="Arial" w:hAnsi="Arial"/>
          <w:i/>
          <w:iCs/>
          <w:sz w:val="20"/>
          <w:szCs w:val="20"/>
        </w:rPr>
        <w:t xml:space="preserve">Cameroon Country Climate and Development Report</w:t>
      </w:r>
      <w:r>
        <w:rPr>
          <w:rFonts w:ascii="Arial" w:cs="Arial" w:eastAsia="Arial" w:hAnsi="Arial"/>
          <w:sz w:val="20"/>
          <w:szCs w:val="20"/>
        </w:rPr>
        <w:t xml:space="preserve">. CCDR Series. Washington, DC: World Bank. Available at: https://documents1.worldbank.org/curated/en/099950111012212064/pdf/P1772970d596ef0c1099f50769d4371d04b.pdf</w:t>
      </w:r>
    </w:p>
    <w:p>
      <w:pPr>
        <w:pStyle w:val="Heading1"/>
      </w:pPr>
      <w:bookmarkStart w:name="_Toc_36" w:id="36"/>
      <w:r>
        <w:rPr>
          <w:rFonts w:ascii="Arial" w:cs="Arial" w:eastAsia="Arial" w:hAnsi="Arial"/>
        </w:rPr>
        <w:t xml:space="preserve">Declaration of AI assistance</w:t>
      </w:r>
      <w:bookmarkEnd w:id="36"/>
    </w:p>
    <w:p>
      <w:r>
        <w:rPr>
          <w:rFonts w:ascii="Arial" w:cs="Arial" w:eastAsia="Arial" w:hAnsi="Arial"/>
          <w:i/>
          <w:iCs/>
          <w:sz w:val="20"/>
          <w:szCs w:val="20"/>
        </w:rPr>
        <w:t xml:space="preserve">[To be completed by the candidate according to the school’s academic integrity policy and IB guidance on AI tools: state which tool was used, for what purpose, the prompt(s) and the date.]</w:t>
      </w:r>
    </w:p>
    <w:p>
      <w:pPr>
        <w:pStyle w:val="Heading1"/>
      </w:pPr>
      <w:bookmarkStart w:name="_Toc_37" w:id="37"/>
      <w:r>
        <w:rPr>
          <w:rFonts w:ascii="Arial" w:cs="Arial" w:eastAsia="Arial" w:hAnsi="Arial"/>
        </w:rPr>
        <w:t xml:space="preserve">Appendix A: Data provenance and independent checks</w:t>
      </w:r>
      <w:bookmarkEnd w:id="37"/>
    </w:p>
    <w:p>
      <w:r>
        <w:rPr>
          <w:rFonts w:ascii="Arial" w:cs="Arial" w:eastAsia="Arial" w:hAnsi="Arial"/>
          <w:sz w:val="20"/>
          <w:szCs w:val="20"/>
        </w:rPr>
        <w:t xml:space="preserve">All raw files are kept unmodified with SHA-256 checksums so the extraction can be repeated exactly.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800"/>
        <w:gridCol w:w="3626"/>
      </w:tblGrid>
      <w:tr>
        <w:trPr>
          <w:cantSplit/>
          <w:tblHeader/>
        </w:trPr>
        <w:tc>
          <w:tcPr>
            <w:tcW w:type="dxa" w:w="26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7"/>
                <w:szCs w:val="17"/>
              </w:rPr>
              <w:t xml:space="preserve">File</w:t>
            </w:r>
          </w:p>
        </w:tc>
        <w:tc>
          <w:tcPr>
            <w:tcW w:type="dxa" w:w="28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7"/>
                <w:szCs w:val="17"/>
              </w:rPr>
              <w:t xml:space="preserve">Version / date</w:t>
            </w:r>
          </w:p>
        </w:tc>
        <w:tc>
          <w:tcPr>
            <w:tcW w:type="dxa" w:w="3626"/>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7"/>
                <w:szCs w:val="17"/>
              </w:rPr>
              <w:t xml:space="preserve">Content used</w:t>
            </w:r>
          </w:p>
        </w:tc>
      </w:tr>
      <w:tr>
        <w:trPr>
          <w:cantSplit/>
        </w:trPr>
        <w:tc>
          <w:tcPr>
            <w:tcW w:type="dxa" w:w="2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CMR.xlsx (GFW)</w:t>
            </w:r>
          </w:p>
        </w:tc>
        <w:tc>
          <w:tcPr>
            <w:tcW w:type="dxa" w:w="28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v20260427; downloaded 23 Sep 2026</w:t>
            </w:r>
          </w:p>
        </w:tc>
        <w:tc>
          <w:tcPr>
            <w:tcW w:type="dxa" w:w="36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“Country tree cover loss” (threshold 30); “Country drivers”; “Country carbon data”</w:t>
            </w:r>
          </w:p>
        </w:tc>
      </w:tr>
      <w:tr>
        <w:trPr>
          <w:cantSplit/>
        </w:trPr>
        <w:tc>
          <w:tcPr>
            <w:tcW w:type="dxa" w:w="2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CMR.xlsx, previous GFW release</w:t>
            </w:r>
          </w:p>
        </w:tc>
        <w:tc>
          <w:tcPr>
            <w:tcW w:type="dxa" w:w="28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2001–2024 release; downloaded 23 Sep 2026</w:t>
            </w:r>
          </w:p>
        </w:tc>
        <w:tc>
          <w:tcPr>
            <w:tcW w:type="dxa" w:w="36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Reliability check only (maximum difference 1 ha)</w:t>
            </w:r>
          </w:p>
        </w:tc>
      </w:tr>
      <w:tr>
        <w:trPr>
          <w:cantSplit/>
        </w:trPr>
        <w:tc>
          <w:tcPr>
            <w:tcW w:type="dxa" w:w="26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owid-co2-data.csv and codebook (OWID)</w:t>
            </w:r>
          </w:p>
        </w:tc>
        <w:tc>
          <w:tcPr>
            <w:tcW w:type="dxa" w:w="28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updated 1 June 2026; downloaded 23 Sep 2026</w:t>
            </w:r>
          </w:p>
        </w:tc>
        <w:tc>
          <w:tcPr>
            <w:tcW w:type="dxa" w:w="36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co2, land_use_change_co2, oil_co2, gas_co2, cement_co2, flaring_co2, population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200"/>
        <w:gridCol w:w="3526"/>
      </w:tblGrid>
      <w:tr>
        <w:trPr>
          <w:cantSplit/>
          <w:tblHeader/>
        </w:trPr>
        <w:tc>
          <w:tcPr>
            <w:tcW w:type="dxa" w:w="23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7"/>
                <w:szCs w:val="17"/>
              </w:rPr>
              <w:t xml:space="preserve">Statistic</w:t>
            </w:r>
          </w:p>
        </w:tc>
        <w:tc>
          <w:tcPr>
            <w:tcW w:type="dxa" w:w="3200"/>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7"/>
                <w:szCs w:val="17"/>
              </w:rPr>
              <w:t xml:space="preserve">Main calculation (Sections 6.2–6.4)</w:t>
            </w:r>
          </w:p>
        </w:tc>
        <w:tc>
          <w:tcPr>
            <w:tcW w:type="dxa" w:w="3526"/>
            <w:tcBorders>
              <w:top w:val="single" w:color="A6A6A6" w:sz="4"/>
              <w:left w:val="single" w:color="A6A6A6" w:sz="4"/>
              <w:bottom w:val="single" w:color="A6A6A6" w:sz="4"/>
              <w:right w:val="single" w:color="A6A6A6" w:sz="4"/>
            </w:tcBorders>
            <w:shd w:fill="E8E7E3" w:color="auto" w:val="clear"/>
            <w:tcMar>
              <w:top w:type="dxa" w:w="40"/>
              <w:left w:type="dxa" w:w="90"/>
              <w:bottom w:type="dxa" w:w="40"/>
              <w:right w:type="dxa" w:w="90"/>
            </w:tcMar>
            <w:vAlign w:val="center"/>
          </w:tcPr>
          <w:p>
            <w:pPr>
              <w:keepNext/>
              <w:spacing w:after="0" w:before="0" w:line="240" w:lineRule="auto"/>
              <w:jc w:val="left"/>
            </w:pPr>
            <w:r>
              <w:rPr>
                <w:rFonts w:ascii="Arial" w:cs="Arial" w:eastAsia="Arial" w:hAnsi="Arial"/>
                <w:b/>
                <w:bCs/>
                <w:sz w:val="17"/>
                <w:szCs w:val="17"/>
              </w:rPr>
              <w:t xml:space="preserve">Independent check</w:t>
            </w:r>
          </w:p>
        </w:tc>
      </w:tr>
      <w:tr>
        <w:trPr>
          <w:cantSplit/>
        </w:trPr>
        <w:tc>
          <w:tcPr>
            <w:tcW w:type="dxa" w:w="2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i/>
                <w:iCs/>
                <w:sz w:val="17"/>
                <w:szCs w:val="17"/>
              </w:rPr>
              <w:t xml:space="preserve">r</w:t>
            </w:r>
            <w:r>
              <w:rPr>
                <w:rFonts w:ascii="Arial" w:cs="Arial" w:eastAsia="Arial" w:hAnsi="Arial"/>
                <w:sz w:val="17"/>
                <w:szCs w:val="17"/>
                <w:vertAlign w:val="subscript"/>
              </w:rPr>
              <w:t xml:space="preserve">s</w:t>
            </w:r>
            <w:r>
              <w:rPr>
                <w:rFonts w:ascii="Arial" w:cs="Arial" w:eastAsia="Arial" w:hAnsi="Arial"/>
                <w:sz w:val="17"/>
                <w:szCs w:val="17"/>
              </w:rPr>
              <w:t xml:space="preserve">, loss vs CO</w:t>
            </w:r>
            <w:r>
              <w:rPr>
                <w:rFonts w:ascii="Arial" w:cs="Arial" w:eastAsia="Arial" w:hAnsi="Arial"/>
                <w:sz w:val="17"/>
                <w:szCs w:val="17"/>
                <w:vertAlign w:val="subscript"/>
              </w:rPr>
              <w:t xml:space="preserve">2</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0.753 (hand formula and SciPy)</w:t>
            </w:r>
          </w:p>
        </w:tc>
        <w:tc>
          <w:tcPr>
            <w:tcW w:type="dxa" w:w="35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0.753 (Pearson correlation of ranks, pandas)</w:t>
            </w:r>
          </w:p>
        </w:tc>
      </w:tr>
      <w:tr>
        <w:trPr>
          <w:cantSplit/>
        </w:trPr>
        <w:tc>
          <w:tcPr>
            <w:tcW w:type="dxa" w:w="2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Least-squares line</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a = 6.210, R</w:t>
            </w:r>
            <w:r>
              <w:rPr>
                <w:rFonts w:ascii="Arial" w:cs="Arial" w:eastAsia="Arial" w:hAnsi="Arial"/>
                <w:sz w:val="17"/>
                <w:szCs w:val="17"/>
                <w:vertAlign w:val="superscript"/>
              </w:rPr>
              <w:t xml:space="preserve">2</w:t>
            </w:r>
            <w:r>
              <w:rPr>
                <w:rFonts w:ascii="Arial" w:cs="Arial" w:eastAsia="Arial" w:hAnsi="Arial"/>
                <w:sz w:val="17"/>
                <w:szCs w:val="17"/>
              </w:rPr>
              <w:t xml:space="preserve"> = 0.612 (NumPy)</w:t>
            </w:r>
          </w:p>
        </w:tc>
        <w:tc>
          <w:tcPr>
            <w:tcW w:type="dxa" w:w="35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a = 6.210, R</w:t>
            </w:r>
            <w:r>
              <w:rPr>
                <w:rFonts w:ascii="Arial" w:cs="Arial" w:eastAsia="Arial" w:hAnsi="Arial"/>
                <w:sz w:val="17"/>
                <w:szCs w:val="17"/>
                <w:vertAlign w:val="superscript"/>
              </w:rPr>
              <w:t xml:space="preserve">2</w:t>
            </w:r>
            <w:r>
              <w:rPr>
                <w:rFonts w:ascii="Arial" w:cs="Arial" w:eastAsia="Arial" w:hAnsi="Arial"/>
                <w:sz w:val="17"/>
                <w:szCs w:val="17"/>
              </w:rPr>
              <w:t xml:space="preserve"> = 0.612 (statsmodels)</w:t>
            </w:r>
          </w:p>
        </w:tc>
      </w:tr>
      <w:tr>
        <w:trPr>
          <w:cantSplit/>
        </w:trPr>
        <w:tc>
          <w:tcPr>
            <w:tcW w:type="dxa" w:w="2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i/>
                <w:iCs/>
                <w:sz w:val="17"/>
                <w:szCs w:val="17"/>
              </w:rPr>
              <w:t xml:space="preserve">r</w:t>
            </w:r>
            <w:r>
              <w:rPr>
                <w:rFonts w:ascii="Arial" w:cs="Arial" w:eastAsia="Arial" w:hAnsi="Arial"/>
                <w:sz w:val="17"/>
                <w:szCs w:val="17"/>
                <w:vertAlign w:val="subscript"/>
              </w:rPr>
              <w:t xml:space="preserve">s</w:t>
            </w:r>
            <w:r>
              <w:rPr>
                <w:rFonts w:ascii="Arial" w:cs="Arial" w:eastAsia="Arial" w:hAnsi="Arial"/>
                <w:sz w:val="17"/>
                <w:szCs w:val="17"/>
              </w:rPr>
              <w:t xml:space="preserve">, first differences</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−0.069</w:t>
            </w:r>
          </w:p>
        </w:tc>
        <w:tc>
          <w:tcPr>
            <w:tcW w:type="dxa" w:w="35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−0.069 (pandas)</w:t>
            </w:r>
          </w:p>
        </w:tc>
      </w:tr>
      <w:tr>
        <w:trPr>
          <w:cantSplit/>
        </w:trPr>
        <w:tc>
          <w:tcPr>
            <w:tcW w:type="dxa" w:w="2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p, 2015–2024</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0.035 (all 3,628,800 permutations)</w:t>
            </w:r>
          </w:p>
        </w:tc>
        <w:tc>
          <w:tcPr>
            <w:tcW w:type="dxa" w:w="35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spacing w:after="0" w:before="0" w:line="240" w:lineRule="auto"/>
              <w:jc w:val="left"/>
            </w:pPr>
            <w:r>
              <w:rPr>
                <w:rFonts w:ascii="Arial" w:cs="Arial" w:eastAsia="Arial" w:hAnsi="Arial"/>
                <w:sz w:val="17"/>
                <w:szCs w:val="17"/>
              </w:rPr>
              <w:t xml:space="preserve">0.033 (20,000 random permutations)</w:t>
            </w:r>
          </w:p>
        </w:tc>
      </w:tr>
      <w:tr>
        <w:trPr>
          <w:cantSplit/>
        </w:trPr>
        <w:tc>
          <w:tcPr>
            <w:tcW w:type="dxa" w:w="23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Critical </w:t>
            </w:r>
            <w:r>
              <w:rPr>
                <w:rFonts w:ascii="Arial" w:cs="Arial" w:eastAsia="Arial" w:hAnsi="Arial"/>
                <w:i/>
                <w:iCs/>
                <w:sz w:val="17"/>
                <w:szCs w:val="17"/>
              </w:rPr>
              <w:t xml:space="preserve">r</w:t>
            </w:r>
            <w:r>
              <w:rPr>
                <w:rFonts w:ascii="Arial" w:cs="Arial" w:eastAsia="Arial" w:hAnsi="Arial"/>
                <w:sz w:val="17"/>
                <w:szCs w:val="17"/>
                <w:vertAlign w:val="subscript"/>
              </w:rPr>
              <w:t xml:space="preserve">s</w:t>
            </w:r>
            <w:r>
              <w:rPr>
                <w:rFonts w:ascii="Arial" w:cs="Arial" w:eastAsia="Arial" w:hAnsi="Arial"/>
                <w:sz w:val="17"/>
                <w:szCs w:val="17"/>
              </w:rPr>
              <w:t xml:space="preserve">, n = 24</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0.404 (t-distribution)</w:t>
            </w:r>
          </w:p>
        </w:tc>
        <w:tc>
          <w:tcPr>
            <w:tcW w:type="dxa" w:w="3526"/>
            <w:tcBorders>
              <w:top w:val="single" w:color="A6A6A6" w:sz="4"/>
              <w:left w:val="single" w:color="A6A6A6" w:sz="4"/>
              <w:bottom w:val="single" w:color="A6A6A6" w:sz="4"/>
              <w:right w:val="single" w:color="A6A6A6" w:sz="4"/>
            </w:tcBorders>
            <w:tcMar>
              <w:top w:type="dxa" w:w="40"/>
              <w:left w:type="dxa" w:w="90"/>
              <w:bottom w:type="dxa" w:w="40"/>
              <w:right w:type="dxa" w:w="90"/>
            </w:tcMar>
            <w:vAlign w:val="center"/>
          </w:tcPr>
          <w:p>
            <w:pPr>
              <w:keepNext w:val="false"/>
              <w:spacing w:after="0" w:before="0" w:line="240" w:lineRule="auto"/>
              <w:jc w:val="left"/>
            </w:pPr>
            <w:r>
              <w:rPr>
                <w:rFonts w:ascii="Arial" w:cs="Arial" w:eastAsia="Arial" w:hAnsi="Arial"/>
                <w:sz w:val="17"/>
                <w:szCs w:val="17"/>
              </w:rPr>
              <w:t xml:space="preserve">0.409 (normal approximation, 1.96/√23)</w:t>
            </w:r>
          </w:p>
        </w:tc>
      </w:tr>
    </w:tbl>
    <w:p>
      <w:pPr>
        <w:spacing w:after="80"/>
      </w:pPr>
    </w:p>
    <w:p>
      <w:pPr>
        <w:pStyle w:val="Heading1"/>
      </w:pPr>
      <w:bookmarkStart w:name="_Toc_38" w:id="38"/>
      <w:r>
        <w:rPr>
          <w:rFonts w:ascii="Arial" w:cs="Arial" w:eastAsia="Arial" w:hAnsi="Arial"/>
        </w:rPr>
        <w:t xml:space="preserve">Word-count statement</w:t>
      </w:r>
      <w:bookmarkEnd w:id="38"/>
    </w:p>
    <w:p>
      <w:r>
        <w:rPr>
          <w:rFonts w:ascii="Arial" w:cs="Arial" w:eastAsia="Arial" w:hAnsi="Arial"/>
          <w:sz w:val="20"/>
          <w:szCs w:val="20"/>
        </w:rPr>
        <w:t xml:space="preserve">Approximate word count: </w:t>
      </w:r>
      <w:r>
        <w:rPr>
          <w:rFonts w:ascii="Arial" w:cs="Arial" w:eastAsia="Arial" w:hAnsi="Arial"/>
          <w:b/>
          <w:bCs/>
          <w:sz w:val="20"/>
          <w:szCs w:val="20"/>
        </w:rPr>
        <w:t xml:space="preserve">2,884 words</w:t>
      </w:r>
      <w:r>
        <w:rPr>
          <w:rFonts w:ascii="Arial" w:cs="Arial" w:eastAsia="Arial" w:hAnsi="Arial"/>
          <w:sz w:val="20"/>
          <w:szCs w:val="20"/>
        </w:rPr>
        <w:t xml:space="preserve">.</w:t>
      </w:r>
    </w:p>
    <w:p>
      <w:r>
        <w:rPr>
          <w:rFonts w:ascii="Arial" w:cs="Arial" w:eastAsia="Arial" w:hAnsi="Arial"/>
          <w:sz w:val="20"/>
          <w:szCs w:val="20"/>
        </w:rPr>
        <w:t xml:space="preserve">Counted: all prose in Sections 1–9, counted conservatively to include in-text citations, table and graph captions, and the text-based Tables 1, 2 and 7 (excluding captions and in-text citations, the count is 2,646 words).</w:t>
      </w:r>
    </w:p>
    <w:p>
      <w:r>
        <w:rPr>
          <w:rFonts w:ascii="Arial" w:cs="Arial" w:eastAsia="Arial" w:hAnsi="Arial"/>
          <w:sz w:val="20"/>
          <w:szCs w:val="20"/>
        </w:rPr>
        <w:t xml:space="preserve">Excluded: cover page (42 words); table of contents; headings (158); data tables 3–6 and table notes (595); equations and lines of calculation (153); text inside graphs; references (413); declaration of AI assistance (32); Appendix A (141); this statement.</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start="1"/>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ESS Internal Assessment – Tree-cover loss and CO</w:t>
    </w:r>
    <w:r>
      <w:rPr>
        <w:rFonts w:ascii="Arial" w:cs="Arial" w:eastAsia="Arial" w:hAnsi="Arial"/>
        <w:color w:val="666666"/>
        <w:sz w:val="16"/>
        <w:szCs w:val="16"/>
        <w:vertAlign w:val="subscript"/>
      </w:rPr>
      <w:t xml:space="preserve">2</w:t>
    </w:r>
    <w:r>
      <w:rPr>
        <w:rFonts w:ascii="Arial" w:cs="Arial" w:eastAsia="Arial" w:hAnsi="Arial"/>
        <w:color w:val="666666"/>
        <w:sz w:val="16"/>
        <w:szCs w:val="16"/>
      </w:rPr>
      <w:t xml:space="preserve"> emissions in Cameroon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4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40" w:before="300" w:line="276" w:lineRule="auto"/>
    </w:pPr>
    <w:rPr>
      <w:rFonts w:ascii="Arial" w:cs="Arial" w:eastAsia="Arial" w:hAnsi="Arial"/>
      <w:b/>
      <w:bCs/>
      <w:color w:val="1F1F1F"/>
      <w:sz w:val="28"/>
      <w:szCs w:val="28"/>
    </w:rPr>
  </w:style>
  <w:style w:type="paragraph" w:styleId="Heading2">
    <w:name w:val="Heading 2"/>
    <w:basedOn w:val="Normal"/>
    <w:next w:val="Normal"/>
    <w:qFormat/>
    <w:pPr>
      <w:keepNext/>
      <w:spacing w:after="100" w:before="200" w:line="276" w:lineRule="auto"/>
    </w:pPr>
    <w:rPr>
      <w:rFonts w:ascii="Arial" w:cs="Arial" w:eastAsia="Arial" w:hAnsi="Arial"/>
      <w:b/>
      <w:bCs/>
      <w:color w:val="3333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uiPriority w:val="39"/>
    <w:pPr>
      <w:spacing w:after="40" w:before="120"/>
    </w:pPr>
    <w:rPr>
      <w:rFonts w:ascii="Arial" w:cs="Arial" w:eastAsia="Arial" w:hAnsi="Arial"/>
      <w:sz w:val="22"/>
      <w:szCs w:val="22"/>
    </w:rPr>
  </w:style>
  <w:style w:type="paragraph" w:styleId="TOC2">
    <w:name w:val="toc 2"/>
    <w:basedOn w:val="Normal"/>
    <w:next w:val="Normal"/>
    <w:uiPriority w:val="39"/>
    <w:pPr>
      <w:spacing w:after="30" w:before="0"/>
      <w:ind w:left="400"/>
    </w:pPr>
    <w:rPr>
      <w:rFonts w:ascii="Arial" w:cs="Arial" w:eastAsia="Arial" w:hAnsi="Arial"/>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07584ad04f7fda0b2fa4665d0a2fc279bd617e3.png"/><Relationship Id="rId12" Type="http://schemas.openxmlformats.org/officeDocument/2006/relationships/image" Target="media/d5df414502709426b0897cf844a656ff9bc8376a.png"/><Relationship Id="rId13" Type="http://schemas.openxmlformats.org/officeDocument/2006/relationships/image" Target="media/16bc2e41cdf953a4e3aa8861a1a5499ec89abff9.png"/><Relationship Id="rId14" Type="http://schemas.openxmlformats.org/officeDocument/2006/relationships/image" Target="media/973e0e1b329cc2a77c3c377289bf0a2afe4208e7.png"/><Relationship Id="rId15" Type="http://schemas.openxmlformats.org/officeDocument/2006/relationships/image" Target="media/9d6e19ee5a7aae548014a015f86a2805c821879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 Internal Assessment: tree-cover loss and CO2 emissions in Cameroon</dc:title>
  <dc:creator>ESS IA</dc:creator>
  <cp:lastModifiedBy>Un-named</cp:lastModifiedBy>
  <cp:revision>1</cp:revision>
  <dcterms:created xsi:type="dcterms:W3CDTF">2026-09-23T14:29:54.200Z</dcterms:created>
  <dcterms:modified xsi:type="dcterms:W3CDTF">2026-09-23T14:29:54.200Z</dcterms:modified>
</cp:coreProperties>
</file>

<file path=docProps/custom.xml><?xml version="1.0" encoding="utf-8"?>
<Properties xmlns="http://schemas.openxmlformats.org/officeDocument/2006/custom-properties" xmlns:vt="http://schemas.openxmlformats.org/officeDocument/2006/docPropsVTypes"/>
</file>