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1po8v2ekgf7" w:id="0"/>
      <w:bookmarkEnd w:id="0"/>
      <w:r w:rsidDel="00000000" w:rsidR="00000000" w:rsidRPr="00000000">
        <w:rPr>
          <w:rtl w:val="0"/>
        </w:rPr>
        <w:t xml:space="preserve">Selected Model &amp; Optimization Technique</w:t>
      </w:r>
    </w:p>
    <w:tbl>
      <w:tblPr>
        <w:tblStyle w:val="Table1"/>
        <w:tblW w:w="9360.0" w:type="dxa"/>
        <w:jc w:val="left"/>
        <w:tblBorders>
          <w:top w:color="bdbdbd" w:space="0" w:sz="4" w:val="single"/>
          <w:left w:color="000000" w:space="0" w:sz="0" w:val="nil"/>
          <w:bottom w:color="bdbdbd" w:space="0" w:sz="4" w:val="single"/>
          <w:right w:color="000000" w:space="0" w:sz="0" w:val="nil"/>
          <w:insideH w:color="eeeeee" w:space="0" w:sz="4" w:val="single"/>
          <w:insideV w:color="eeeeee" w:space="0" w:sz="4" w:val="single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Selection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MobileNetV2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Optimization Technique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rtl w:val="0"/>
              </w:rPr>
              <w:t xml:space="preserve">Post-Training Quantization (float32 → int8)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3hkwi6s7jm0" w:id="1"/>
      <w:bookmarkEnd w:id="1"/>
      <w:r w:rsidDel="00000000" w:rsidR="00000000" w:rsidRPr="00000000">
        <w:rPr>
          <w:rtl w:val="0"/>
        </w:rPr>
        <w:t xml:space="preserve">Model 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Model Size:</w:t>
      </w:r>
      <w:r w:rsidDel="00000000" w:rsidR="00000000" w:rsidRPr="00000000">
        <w:rPr>
          <w:rtl w:val="0"/>
        </w:rPr>
        <w:t xml:space="preserve"> MobileNetV2 typically has approximately </w:t>
      </w:r>
      <w:r w:rsidDel="00000000" w:rsidR="00000000" w:rsidRPr="00000000">
        <w:rPr>
          <w:b w:val="1"/>
          <w:bCs w:val="1"/>
          <w:rtl w:val="0"/>
        </w:rPr>
        <w:t xml:space="preserve">3.4 million parameters</w:t>
      </w:r>
      <w:r w:rsidDel="00000000" w:rsidR="00000000" w:rsidRPr="00000000">
        <w:rPr>
          <w:rtl w:val="0"/>
        </w:rPr>
        <w:t xml:space="preserve">, which equates to roughly </w:t>
      </w:r>
      <w:r w:rsidDel="00000000" w:rsidR="00000000" w:rsidRPr="00000000">
        <w:rPr>
          <w:b w:val="1"/>
          <w:bCs w:val="1"/>
          <w:rtl w:val="0"/>
        </w:rPr>
        <w:t xml:space="preserve">14 MB</w:t>
      </w:r>
      <w:r w:rsidDel="00000000" w:rsidR="00000000" w:rsidRPr="00000000">
        <w:rPr>
          <w:rtl w:val="0"/>
        </w:rPr>
        <w:t xml:space="preserve"> when using standard 32-bit floating-point (float32) precision.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 Changes:</w:t>
      </w:r>
      <w:r w:rsidDel="00000000" w:rsidR="00000000" w:rsidRPr="00000000">
        <w:rPr>
          <w:rtl w:val="0"/>
        </w:rPr>
        <w:t xml:space="preserve"> The quantization process modifies the model's weight and activation representations from 32-bit floats to 8-bit integers (int8). It involves mapping the continuous range of floating-point values to a discrete range of 256 integer values.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Effects: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A significant reduction in model size, typically by </w:t>
      </w:r>
      <w:r w:rsidDel="00000000" w:rsidR="00000000" w:rsidRPr="00000000">
        <w:rPr>
          <w:b w:val="1"/>
          <w:bCs w:val="1"/>
          <w:rtl w:val="0"/>
        </w:rPr>
        <w:t xml:space="preserve">4x</w:t>
      </w:r>
      <w:r w:rsidDel="00000000" w:rsidR="00000000" w:rsidRPr="00000000">
        <w:rPr>
          <w:rtl w:val="0"/>
        </w:rPr>
        <w:t xml:space="preserve"> (shrinking the 14 MB model to approximately </w:t>
      </w:r>
      <w:r w:rsidDel="00000000" w:rsidR="00000000" w:rsidRPr="00000000">
        <w:rPr>
          <w:b w:val="1"/>
          <w:bCs w:val="1"/>
          <w:rtl w:val="0"/>
        </w:rPr>
        <w:t xml:space="preserve">3.5 MB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Faster inference speeds, especially on hardware with integer-optimized processing units or SIMD instructions, as integer math is computationally cheaper than floating-point math.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A minor tradeoff in accuracy (typically &lt;1-2%) due to the loss of precision from discretization.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q26h90lfo9ll" w:id="2"/>
      <w:bookmarkEnd w:id="2"/>
      <w:r w:rsidDel="00000000" w:rsidR="00000000" w:rsidRPr="00000000">
        <w:rPr>
          <w:rtl w:val="0"/>
        </w:rPr>
        <w:t xml:space="preserve">Why this optimization is appropriate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Compatibility:</w:t>
      </w:r>
      <w:r w:rsidDel="00000000" w:rsidR="00000000" w:rsidRPr="00000000">
        <w:rPr>
          <w:rtl w:val="0"/>
        </w:rPr>
        <w:t xml:space="preserve"> Many low-power edge devices and microcontrollers lack dedicated Floating Point Units (FPUs); quantization allows them to execute models efficiently using integer arithmetic.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Footprint:</w:t>
      </w:r>
      <w:r w:rsidDel="00000000" w:rsidR="00000000" w:rsidRPr="00000000">
        <w:rPr>
          <w:rtl w:val="0"/>
        </w:rPr>
        <w:t xml:space="preserve"> Reducing the model size from 14 MB to 3.5 MB is critical for fitting the entire network within the limited Flash and SRAM storage available on edge hardware.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Efficiency:</w:t>
      </w:r>
      <w:r w:rsidDel="00000000" w:rsidR="00000000" w:rsidRPr="00000000">
        <w:rPr>
          <w:rtl w:val="0"/>
        </w:rPr>
        <w:t xml:space="preserve"> Integer operations require fewer clock cycles and significantly less energy per operation compared to floating-point calculations, which is vital for battery-powered IoT devices.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Latency:</w:t>
      </w:r>
      <w:r w:rsidDel="00000000" w:rsidR="00000000" w:rsidRPr="00000000">
        <w:rPr>
          <w:rtl w:val="0"/>
        </w:rPr>
        <w:t xml:space="preserve"> By streamlining the math and reducing the amount of data moved between memory and the CPU, quantization ensures the "real-time" responsiveness required for applications like gesture or object detection.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Bandwidth Efficiency:</w:t>
      </w:r>
      <w:r w:rsidDel="00000000" w:rsidR="00000000" w:rsidRPr="00000000">
        <w:rPr>
          <w:rtl w:val="0"/>
        </w:rPr>
        <w:t xml:space="preserve"> Smaller model weights mean less data needs to be fetched from memory during each inference cycle, further reducing the computational bottleneck on resource-constrained chips.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12121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0d47a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Roboto" w:cs="Roboto" w:eastAsia="Roboto" w:hAnsi="Roboto"/>
      <w:b w:val="0"/>
      <w:bCs w:val="0"/>
      <w:i w:val="1"/>
      <w:iCs w:val="1"/>
      <w:color w:val="546e7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1a237e"/>
        <w:sz w:val="22"/>
        <w:szCs w:val="22"/>
      </w:rPr>
      <w:tcPr>
        <w:shd w:fill="f5f5f5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