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ATLAS learner migration scenario for Region IV A from 2027 to 2035</w:t>
      </w:r>
    </w:p>
    <w:p>
      <w:r>
        <w:t>This report examines CALABARZON learner enrollment under assumed net migration rates, using DepEd aggregates and five research studies. The results are conditional what-if scenarios, not a calibrated migration forecast.</w:t>
      </w:r>
    </w:p>
    <w:p>
      <w:pPr>
        <w:pStyle w:val="Heading1"/>
      </w:pPr>
      <w:r>
        <w:t>Observed baseline and inspected data</w:t>
      </w:r>
    </w:p>
    <w:p>
      <w:pPr/>
      <w:r>
        <w:t xml:space="preserve">Actual enrollment baseline: </w:t>
      </w:r>
      <w:r>
        <w:rPr>
          <w:b/>
        </w:rPr>
        <w:t>3,822,536 learners</w:t>
      </w:r>
      <w:r>
        <w:t xml:space="preserve">, SY 2025-2026, from </w:t>
      </w:r>
      <w:r>
        <w:t>depedprototype/depedprot/regional_profiles/Region IV-A:enrollment_total_2526</w:t>
      </w:r>
      <w:r>
        <w:t>. The index normalizes this observed count to 100 at school-year ending year 2026. Year 2027 represents SY 2026-2027; year 2035 represents SY 2034-2035.</w:t>
      </w:r>
    </w:p>
    <w:p>
      <w:pPr/>
      <w:r>
        <w:t>The connector inspected regional_profiles, 35 selected-region historical KPI records (2018-2019 to 2024-2025), national_kpi_timeline, and 79 raw/materialized-view catalog entries. It is no longer based only on department_orders. Snapshots and document paths are in deped-source.json.</w:t>
      </w:r>
    </w:p>
    <w:p>
      <w:pPr/>
      <w:r>
        <w:t>Regional enrollment stock: SY 2023-2024 = 3,951,663; SY 2024-2025 = 3,871,761; SY 2025-2026 = 3,822,536. Enrollment changes alone do not identify migration: reporting, geographic boundaries, cohort changes, progression and exits may also contribute.</w:t>
      </w:r>
    </w:p>
    <w:p>
      <w:pPr>
        <w:pStyle w:val="Heading1"/>
      </w:pPr>
      <w:r>
        <w:t>Historical education indicators SY 2024 2025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008"/>
        <w:gridCol w:w="1008"/>
        <w:gridCol w:w="1512"/>
        <w:gridCol w:w="1512"/>
        <w:gridCol w:w="2448"/>
      </w:tblGrid>
      <w:tr>
        <w:trPr>
          <w:tblHeader/>
          <w:cantSplit/>
        </w:trPr>
        <w:tc>
          <w:tcPr>
            <w:tcW w:type="dxa" w:w="1656"/>
            <w:vAlign w:val="center"/>
            <w:tcMar>
              <w:top w:w="100" w:type="dxa"/>
              <w:bottom w:w="100" w:type="dxa"/>
              <w:left w:w="100" w:type="dxa"/>
              <w:right w:w="100" w:type="dxa"/>
            </w:tcMar>
            <w:shd w:fill="233E50"/>
          </w:tcPr>
          <w:p>
            <w:pPr>
              <w:spacing w:after="0" w:line="252" w:lineRule="auto"/>
              <w:jc w:val="center"/>
            </w:pPr>
            <w:r>
              <w:rPr>
                <w:b/>
                <w:color w:val="FFFFFF"/>
                <w:sz w:val="20"/>
              </w:rPr>
              <w:t>Level</w:t>
            </w:r>
          </w:p>
        </w:tc>
        <w:tc>
          <w:tcPr>
            <w:tcW w:type="dxa" w:w="1008"/>
            <w:vAlign w:val="center"/>
            <w:tcMar>
              <w:top w:w="100" w:type="dxa"/>
              <w:bottom w:w="100" w:type="dxa"/>
              <w:left w:w="100" w:type="dxa"/>
              <w:right w:w="100" w:type="dxa"/>
            </w:tcMar>
            <w:shd w:fill="233E50"/>
          </w:tcPr>
          <w:p>
            <w:pPr>
              <w:spacing w:after="0" w:line="252" w:lineRule="auto"/>
              <w:jc w:val="center"/>
            </w:pPr>
            <w:r>
              <w:rPr>
                <w:b/>
                <w:color w:val="FFFFFF"/>
                <w:sz w:val="20"/>
              </w:rPr>
              <w:t>GER (%)</w:t>
            </w:r>
          </w:p>
        </w:tc>
        <w:tc>
          <w:tcPr>
            <w:tcW w:type="dxa" w:w="1008"/>
            <w:vAlign w:val="center"/>
            <w:tcMar>
              <w:top w:w="100" w:type="dxa"/>
              <w:bottom w:w="100" w:type="dxa"/>
              <w:left w:w="100" w:type="dxa"/>
              <w:right w:w="100" w:type="dxa"/>
            </w:tcMar>
            <w:shd w:fill="233E50"/>
          </w:tcPr>
          <w:p>
            <w:pPr>
              <w:spacing w:after="0" w:line="252" w:lineRule="auto"/>
              <w:jc w:val="center"/>
            </w:pPr>
            <w:r>
              <w:rPr>
                <w:b/>
                <w:color w:val="FFFFFF"/>
                <w:sz w:val="20"/>
              </w:rPr>
              <w:t>NER (%)</w:t>
            </w:r>
          </w:p>
        </w:tc>
        <w:tc>
          <w:tcPr>
            <w:tcW w:type="dxa" w:w="1512"/>
            <w:vAlign w:val="center"/>
            <w:tcMar>
              <w:top w:w="100" w:type="dxa"/>
              <w:bottom w:w="100" w:type="dxa"/>
              <w:left w:w="100" w:type="dxa"/>
              <w:right w:w="100" w:type="dxa"/>
            </w:tcMar>
            <w:shd w:fill="233E50"/>
          </w:tcPr>
          <w:p>
            <w:pPr>
              <w:spacing w:after="0" w:line="252" w:lineRule="auto"/>
              <w:jc w:val="center"/>
            </w:pPr>
            <w:r>
              <w:rPr>
                <w:b/>
                <w:color w:val="FFFFFF"/>
                <w:sz w:val="20"/>
              </w:rPr>
              <w:t>Retention (%)</w:t>
            </w:r>
          </w:p>
        </w:tc>
        <w:tc>
          <w:tcPr>
            <w:tcW w:type="dxa" w:w="1512"/>
            <w:vAlign w:val="center"/>
            <w:tcMar>
              <w:top w:w="100" w:type="dxa"/>
              <w:bottom w:w="100" w:type="dxa"/>
              <w:left w:w="100" w:type="dxa"/>
              <w:right w:w="100" w:type="dxa"/>
            </w:tcMar>
            <w:shd w:fill="233E50"/>
          </w:tcPr>
          <w:p>
            <w:pPr>
              <w:spacing w:after="0" w:line="252" w:lineRule="auto"/>
              <w:jc w:val="center"/>
            </w:pPr>
            <w:r>
              <w:rPr>
                <w:b/>
                <w:color w:val="FFFFFF"/>
                <w:sz w:val="20"/>
              </w:rPr>
              <w:t>Transition (%)</w:t>
            </w:r>
          </w:p>
        </w:tc>
        <w:tc>
          <w:tcPr>
            <w:tcW w:type="dxa" w:w="2448"/>
            <w:vAlign w:val="center"/>
            <w:tcMar>
              <w:top w:w="100" w:type="dxa"/>
              <w:bottom w:w="100" w:type="dxa"/>
              <w:left w:w="100" w:type="dxa"/>
              <w:right w:w="100" w:type="dxa"/>
            </w:tcMar>
            <w:shd w:fill="233E50"/>
          </w:tcPr>
          <w:p>
            <w:pPr>
              <w:spacing w:after="0" w:line="252" w:lineRule="auto"/>
              <w:jc w:val="center"/>
            </w:pPr>
            <w:r>
              <w:rPr>
                <w:b/>
                <w:color w:val="FFFFFF"/>
                <w:sz w:val="20"/>
              </w:rPr>
              <w:t>School-leaver (%)</w:t>
            </w:r>
          </w:p>
        </w:tc>
      </w:tr>
      <w:tr>
        <w:trPr>
          <w:cantSplit/>
        </w:trPr>
        <w:tc>
          <w:tcPr>
            <w:tcW w:type="dxa" w:w="1656"/>
            <w:vAlign w:val="center"/>
            <w:tcMar>
              <w:top w:w="100" w:type="dxa"/>
              <w:bottom w:w="100" w:type="dxa"/>
              <w:left w:w="100" w:type="dxa"/>
              <w:right w:w="100" w:type="dxa"/>
            </w:tcMar>
            <w:shd w:fill="F1F5F7"/>
          </w:tcPr>
          <w:p>
            <w:pPr>
              <w:spacing w:after="0" w:line="252" w:lineRule="auto"/>
              <w:jc w:val="center"/>
            </w:pPr>
            <w:r>
              <w:rPr>
                <w:sz w:val="20"/>
              </w:rPr>
              <w:t>Elementary</w:t>
            </w:r>
          </w:p>
        </w:tc>
        <w:tc>
          <w:tcPr>
            <w:tcW w:type="dxa" w:w="1008"/>
            <w:vAlign w:val="center"/>
            <w:tcMar>
              <w:top w:w="100" w:type="dxa"/>
              <w:bottom w:w="100" w:type="dxa"/>
              <w:left w:w="100" w:type="dxa"/>
              <w:right w:w="100" w:type="dxa"/>
            </w:tcMar>
            <w:shd w:fill="F1F5F7"/>
          </w:tcPr>
          <w:p>
            <w:pPr>
              <w:spacing w:after="0" w:line="252" w:lineRule="auto"/>
              <w:jc w:val="center"/>
            </w:pPr>
            <w:r>
              <w:rPr>
                <w:sz w:val="20"/>
              </w:rPr>
              <w:t>96.17</w:t>
            </w:r>
          </w:p>
        </w:tc>
        <w:tc>
          <w:tcPr>
            <w:tcW w:type="dxa" w:w="1008"/>
            <w:vAlign w:val="center"/>
            <w:tcMar>
              <w:top w:w="100" w:type="dxa"/>
              <w:bottom w:w="100" w:type="dxa"/>
              <w:left w:w="100" w:type="dxa"/>
              <w:right w:w="100" w:type="dxa"/>
            </w:tcMar>
            <w:shd w:fill="F1F5F7"/>
          </w:tcPr>
          <w:p>
            <w:pPr>
              <w:spacing w:after="0" w:line="252" w:lineRule="auto"/>
              <w:jc w:val="center"/>
            </w:pPr>
            <w:r>
              <w:rPr>
                <w:sz w:val="20"/>
              </w:rPr>
              <w:t>88.02</w:t>
            </w:r>
          </w:p>
        </w:tc>
        <w:tc>
          <w:tcPr>
            <w:tcW w:type="dxa" w:w="1512"/>
            <w:vAlign w:val="center"/>
            <w:tcMar>
              <w:top w:w="100" w:type="dxa"/>
              <w:bottom w:w="100" w:type="dxa"/>
              <w:left w:w="100" w:type="dxa"/>
              <w:right w:w="100" w:type="dxa"/>
            </w:tcMar>
            <w:shd w:fill="F1F5F7"/>
          </w:tcPr>
          <w:p>
            <w:pPr>
              <w:spacing w:after="0" w:line="252" w:lineRule="auto"/>
              <w:jc w:val="center"/>
            </w:pPr>
            <w:r>
              <w:rPr>
                <w:sz w:val="20"/>
              </w:rPr>
              <w:t>99.22</w:t>
            </w:r>
          </w:p>
        </w:tc>
        <w:tc>
          <w:tcPr>
            <w:tcW w:type="dxa" w:w="1512"/>
            <w:vAlign w:val="center"/>
            <w:tcMar>
              <w:top w:w="100" w:type="dxa"/>
              <w:bottom w:w="100" w:type="dxa"/>
              <w:left w:w="100" w:type="dxa"/>
              <w:right w:w="100" w:type="dxa"/>
            </w:tcMar>
            <w:shd w:fill="F1F5F7"/>
          </w:tcPr>
          <w:p>
            <w:pPr>
              <w:spacing w:after="0" w:line="252" w:lineRule="auto"/>
              <w:jc w:val="center"/>
            </w:pPr>
            <w:r>
              <w:rPr>
                <w:sz w:val="20"/>
              </w:rPr>
              <w:t>98.21</w:t>
            </w:r>
          </w:p>
        </w:tc>
        <w:tc>
          <w:tcPr>
            <w:tcW w:type="dxa" w:w="2448"/>
            <w:vAlign w:val="center"/>
            <w:tcMar>
              <w:top w:w="100" w:type="dxa"/>
              <w:bottom w:w="100" w:type="dxa"/>
              <w:left w:w="100" w:type="dxa"/>
              <w:right w:w="100" w:type="dxa"/>
            </w:tcMar>
            <w:shd w:fill="F1F5F7"/>
          </w:tcPr>
          <w:p>
            <w:pPr>
              <w:spacing w:after="0" w:line="252" w:lineRule="auto"/>
              <w:jc w:val="center"/>
            </w:pPr>
            <w:r>
              <w:rPr>
                <w:sz w:val="20"/>
              </w:rPr>
              <w:t>0.54</w:t>
            </w:r>
          </w:p>
        </w:tc>
      </w:tr>
      <w:tr>
        <w:trPr>
          <w:cantSplit/>
        </w:trPr>
        <w:tc>
          <w:tcPr>
            <w:tcW w:type="dxa" w:w="1656"/>
            <w:vAlign w:val="center"/>
            <w:tcMar>
              <w:top w:w="100" w:type="dxa"/>
              <w:bottom w:w="100" w:type="dxa"/>
              <w:left w:w="100" w:type="dxa"/>
              <w:right w:w="100" w:type="dxa"/>
            </w:tcMar>
            <w:shd w:fill="FFFFFF"/>
          </w:tcPr>
          <w:p>
            <w:pPr>
              <w:spacing w:after="0" w:line="252" w:lineRule="auto"/>
              <w:jc w:val="center"/>
            </w:pPr>
            <w:r>
              <w:rPr>
                <w:sz w:val="20"/>
              </w:rPr>
              <w:t>JHS</w:t>
            </w:r>
          </w:p>
        </w:tc>
        <w:tc>
          <w:tcPr>
            <w:tcW w:type="dxa" w:w="1008"/>
            <w:vAlign w:val="center"/>
            <w:tcMar>
              <w:top w:w="100" w:type="dxa"/>
              <w:bottom w:w="100" w:type="dxa"/>
              <w:left w:w="100" w:type="dxa"/>
              <w:right w:w="100" w:type="dxa"/>
            </w:tcMar>
            <w:shd w:fill="FFFFFF"/>
          </w:tcPr>
          <w:p>
            <w:pPr>
              <w:spacing w:after="0" w:line="252" w:lineRule="auto"/>
              <w:jc w:val="center"/>
            </w:pPr>
            <w:r>
              <w:rPr>
                <w:sz w:val="20"/>
              </w:rPr>
              <w:t>91.05</w:t>
            </w:r>
          </w:p>
        </w:tc>
        <w:tc>
          <w:tcPr>
            <w:tcW w:type="dxa" w:w="1008"/>
            <w:vAlign w:val="center"/>
            <w:tcMar>
              <w:top w:w="100" w:type="dxa"/>
              <w:bottom w:w="100" w:type="dxa"/>
              <w:left w:w="100" w:type="dxa"/>
              <w:right w:w="100" w:type="dxa"/>
            </w:tcMar>
            <w:shd w:fill="FFFFFF"/>
          </w:tcPr>
          <w:p>
            <w:pPr>
              <w:spacing w:after="0" w:line="252" w:lineRule="auto"/>
              <w:jc w:val="center"/>
            </w:pPr>
            <w:r>
              <w:rPr>
                <w:sz w:val="20"/>
              </w:rPr>
              <w:t>84.23</w:t>
            </w:r>
          </w:p>
        </w:tc>
        <w:tc>
          <w:tcPr>
            <w:tcW w:type="dxa" w:w="1512"/>
            <w:vAlign w:val="center"/>
            <w:tcMar>
              <w:top w:w="100" w:type="dxa"/>
              <w:bottom w:w="100" w:type="dxa"/>
              <w:left w:w="100" w:type="dxa"/>
              <w:right w:w="100" w:type="dxa"/>
            </w:tcMar>
            <w:shd w:fill="FFFFFF"/>
          </w:tcPr>
          <w:p>
            <w:pPr>
              <w:spacing w:after="0" w:line="252" w:lineRule="auto"/>
              <w:jc w:val="center"/>
            </w:pPr>
            <w:r>
              <w:rPr>
                <w:sz w:val="20"/>
              </w:rPr>
              <w:t>97.08</w:t>
            </w:r>
          </w:p>
        </w:tc>
        <w:tc>
          <w:tcPr>
            <w:tcW w:type="dxa" w:w="1512"/>
            <w:vAlign w:val="center"/>
            <w:tcMar>
              <w:top w:w="100" w:type="dxa"/>
              <w:bottom w:w="100" w:type="dxa"/>
              <w:left w:w="100" w:type="dxa"/>
              <w:right w:w="100" w:type="dxa"/>
            </w:tcMar>
            <w:shd w:fill="FFFFFF"/>
          </w:tcPr>
          <w:p>
            <w:pPr>
              <w:spacing w:after="0" w:line="252" w:lineRule="auto"/>
              <w:jc w:val="center"/>
            </w:pPr>
            <w:r>
              <w:rPr>
                <w:sz w:val="20"/>
              </w:rPr>
              <w:t>97.74</w:t>
            </w:r>
          </w:p>
        </w:tc>
        <w:tc>
          <w:tcPr>
            <w:tcW w:type="dxa" w:w="2448"/>
            <w:vAlign w:val="center"/>
            <w:tcMar>
              <w:top w:w="100" w:type="dxa"/>
              <w:bottom w:w="100" w:type="dxa"/>
              <w:left w:w="100" w:type="dxa"/>
              <w:right w:w="100" w:type="dxa"/>
            </w:tcMar>
            <w:shd w:fill="FFFFFF"/>
          </w:tcPr>
          <w:p>
            <w:pPr>
              <w:spacing w:after="0" w:line="252" w:lineRule="auto"/>
              <w:jc w:val="center"/>
            </w:pPr>
            <w:r>
              <w:rPr>
                <w:sz w:val="20"/>
              </w:rPr>
              <w:t>2.93</w:t>
            </w:r>
          </w:p>
        </w:tc>
      </w:tr>
      <w:tr>
        <w:trPr>
          <w:cantSplit/>
        </w:trPr>
        <w:tc>
          <w:tcPr>
            <w:tcW w:type="dxa" w:w="1656"/>
            <w:vAlign w:val="center"/>
            <w:tcMar>
              <w:top w:w="100" w:type="dxa"/>
              <w:bottom w:w="100" w:type="dxa"/>
              <w:left w:w="100" w:type="dxa"/>
              <w:right w:w="100" w:type="dxa"/>
            </w:tcMar>
            <w:shd w:fill="F1F5F7"/>
          </w:tcPr>
          <w:p>
            <w:pPr>
              <w:spacing w:after="0" w:line="252" w:lineRule="auto"/>
              <w:jc w:val="center"/>
            </w:pPr>
            <w:r>
              <w:rPr>
                <w:sz w:val="20"/>
              </w:rPr>
              <w:t>JHS to SHS</w:t>
            </w:r>
          </w:p>
        </w:tc>
        <w:tc>
          <w:tcPr>
            <w:tcW w:type="dxa" w:w="1008"/>
            <w:vAlign w:val="center"/>
            <w:tcMar>
              <w:top w:w="100" w:type="dxa"/>
              <w:bottom w:w="100" w:type="dxa"/>
              <w:left w:w="100" w:type="dxa"/>
              <w:right w:w="100" w:type="dxa"/>
            </w:tcMar>
            <w:shd w:fill="F1F5F7"/>
          </w:tcPr>
          <w:p>
            <w:pPr>
              <w:spacing w:after="0" w:line="252" w:lineRule="auto"/>
              <w:jc w:val="center"/>
            </w:pPr>
            <w:r>
              <w:rPr>
                <w:sz w:val="20"/>
              </w:rPr>
              <w:t>94.39</w:t>
            </w:r>
          </w:p>
        </w:tc>
        <w:tc>
          <w:tcPr>
            <w:tcW w:type="dxa" w:w="1008"/>
            <w:vAlign w:val="center"/>
            <w:tcMar>
              <w:top w:w="100" w:type="dxa"/>
              <w:bottom w:w="100" w:type="dxa"/>
              <w:left w:w="100" w:type="dxa"/>
              <w:right w:w="100" w:type="dxa"/>
            </w:tcMar>
            <w:shd w:fill="F1F5F7"/>
          </w:tcPr>
          <w:p>
            <w:pPr>
              <w:spacing w:after="0" w:line="252" w:lineRule="auto"/>
              <w:jc w:val="center"/>
            </w:pPr>
            <w:r>
              <w:rPr>
                <w:sz w:val="20"/>
              </w:rPr>
              <w:t>87.02</w:t>
            </w:r>
          </w:p>
        </w:tc>
        <w:tc>
          <w:tcPr>
            <w:tcW w:type="dxa" w:w="1512"/>
            <w:vAlign w:val="center"/>
            <w:tcMar>
              <w:top w:w="100" w:type="dxa"/>
              <w:bottom w:w="100" w:type="dxa"/>
              <w:left w:w="100" w:type="dxa"/>
              <w:right w:w="100" w:type="dxa"/>
            </w:tcMar>
            <w:shd w:fill="F1F5F7"/>
          </w:tcPr>
          <w:p>
            <w:pPr>
              <w:spacing w:after="0" w:line="252" w:lineRule="auto"/>
              <w:jc w:val="center"/>
            </w:pPr>
            <w:r>
              <w:rPr>
                <w:sz w:val="20"/>
              </w:rPr>
              <w:t>96.89</w:t>
            </w:r>
          </w:p>
        </w:tc>
        <w:tc>
          <w:tcPr>
            <w:tcW w:type="dxa" w:w="1512"/>
            <w:vAlign w:val="center"/>
            <w:tcMar>
              <w:top w:w="100" w:type="dxa"/>
              <w:bottom w:w="100" w:type="dxa"/>
              <w:left w:w="100" w:type="dxa"/>
              <w:right w:w="100" w:type="dxa"/>
            </w:tcMar>
            <w:shd w:fill="F1F5F7"/>
          </w:tcPr>
          <w:p>
            <w:pPr>
              <w:spacing w:after="0" w:line="252" w:lineRule="auto"/>
              <w:jc w:val="center"/>
            </w:pPr>
            <w:r>
              <w:rPr>
                <w:sz w:val="20"/>
              </w:rPr>
              <w:t>98.28</w:t>
            </w:r>
          </w:p>
        </w:tc>
        <w:tc>
          <w:tcPr>
            <w:tcW w:type="dxa" w:w="2448"/>
            <w:vAlign w:val="center"/>
            <w:tcMar>
              <w:top w:w="100" w:type="dxa"/>
              <w:bottom w:w="100" w:type="dxa"/>
              <w:left w:w="100" w:type="dxa"/>
              <w:right w:w="100" w:type="dxa"/>
            </w:tcMar>
            <w:shd w:fill="F1F5F7"/>
          </w:tcPr>
          <w:p>
            <w:pPr>
              <w:spacing w:after="0" w:line="252" w:lineRule="auto"/>
              <w:jc w:val="center"/>
            </w:pPr>
            <w:r>
              <w:rPr>
                <w:sz w:val="20"/>
              </w:rPr>
              <w:t>3.02</w:t>
            </w:r>
          </w:p>
        </w:tc>
      </w:tr>
      <w:tr>
        <w:trPr>
          <w:cantSplit/>
        </w:trPr>
        <w:tc>
          <w:tcPr>
            <w:tcW w:type="dxa" w:w="1656"/>
            <w:vAlign w:val="center"/>
            <w:tcMar>
              <w:top w:w="100" w:type="dxa"/>
              <w:bottom w:w="100" w:type="dxa"/>
              <w:left w:w="100" w:type="dxa"/>
              <w:right w:w="100" w:type="dxa"/>
            </w:tcMar>
            <w:shd w:fill="FFFFFF"/>
          </w:tcPr>
          <w:p>
            <w:pPr>
              <w:spacing w:after="0" w:line="252" w:lineRule="auto"/>
              <w:jc w:val="center"/>
            </w:pPr>
            <w:r>
              <w:rPr>
                <w:sz w:val="20"/>
              </w:rPr>
              <w:t>Kindergarten</w:t>
            </w:r>
          </w:p>
        </w:tc>
        <w:tc>
          <w:tcPr>
            <w:tcW w:type="dxa" w:w="1008"/>
            <w:vAlign w:val="center"/>
            <w:tcMar>
              <w:top w:w="100" w:type="dxa"/>
              <w:bottom w:w="100" w:type="dxa"/>
              <w:left w:w="100" w:type="dxa"/>
              <w:right w:w="100" w:type="dxa"/>
            </w:tcMar>
            <w:shd w:fill="FFFFFF"/>
          </w:tcPr>
          <w:p>
            <w:pPr>
              <w:spacing w:after="0" w:line="252" w:lineRule="auto"/>
              <w:jc w:val="center"/>
            </w:pPr>
            <w:r>
              <w:rPr>
                <w:sz w:val="20"/>
              </w:rPr>
              <w:t>85.33</w:t>
            </w:r>
          </w:p>
        </w:tc>
        <w:tc>
          <w:tcPr>
            <w:tcW w:type="dxa" w:w="1008"/>
            <w:vAlign w:val="center"/>
            <w:tcMar>
              <w:top w:w="100" w:type="dxa"/>
              <w:bottom w:w="100" w:type="dxa"/>
              <w:left w:w="100" w:type="dxa"/>
              <w:right w:w="100" w:type="dxa"/>
            </w:tcMar>
            <w:shd w:fill="FFFFFF"/>
          </w:tcPr>
          <w:p>
            <w:pPr>
              <w:spacing w:after="0" w:line="252" w:lineRule="auto"/>
              <w:jc w:val="center"/>
            </w:pPr>
            <w:r>
              <w:rPr>
                <w:sz w:val="20"/>
              </w:rPr>
              <w:t>75.97</w:t>
            </w:r>
          </w:p>
        </w:tc>
        <w:tc>
          <w:tcPr>
            <w:tcW w:type="dxa" w:w="1512"/>
            <w:vAlign w:val="center"/>
            <w:tcMar>
              <w:top w:w="100" w:type="dxa"/>
              <w:bottom w:w="100" w:type="dxa"/>
              <w:left w:w="100" w:type="dxa"/>
              <w:right w:w="100" w:type="dxa"/>
            </w:tcMar>
            <w:shd w:fill="FFFFFF"/>
          </w:tcPr>
          <w:p>
            <w:pPr>
              <w:spacing w:after="0" w:line="252" w:lineRule="auto"/>
              <w:jc w:val="center"/>
            </w:pPr>
            <w:r>
              <w:rPr>
                <w:sz w:val="20"/>
              </w:rPr>
              <w:t>Not supplied</w:t>
            </w:r>
          </w:p>
        </w:tc>
        <w:tc>
          <w:tcPr>
            <w:tcW w:type="dxa" w:w="1512"/>
            <w:vAlign w:val="center"/>
            <w:tcMar>
              <w:top w:w="100" w:type="dxa"/>
              <w:bottom w:w="100" w:type="dxa"/>
              <w:left w:w="100" w:type="dxa"/>
              <w:right w:w="100" w:type="dxa"/>
            </w:tcMar>
            <w:shd w:fill="FFFFFF"/>
          </w:tcPr>
          <w:p>
            <w:pPr>
              <w:spacing w:after="0" w:line="252" w:lineRule="auto"/>
              <w:jc w:val="center"/>
            </w:pPr>
            <w:r>
              <w:rPr>
                <w:sz w:val="20"/>
              </w:rPr>
              <w:t>98.39</w:t>
            </w:r>
          </w:p>
        </w:tc>
        <w:tc>
          <w:tcPr>
            <w:tcW w:type="dxa" w:w="2448"/>
            <w:vAlign w:val="center"/>
            <w:tcMar>
              <w:top w:w="100" w:type="dxa"/>
              <w:bottom w:w="100" w:type="dxa"/>
              <w:left w:w="100" w:type="dxa"/>
              <w:right w:w="100" w:type="dxa"/>
            </w:tcMar>
            <w:shd w:fill="FFFFFF"/>
          </w:tcPr>
          <w:p>
            <w:pPr>
              <w:spacing w:after="0" w:line="252" w:lineRule="auto"/>
              <w:jc w:val="center"/>
            </w:pPr>
            <w:r>
              <w:rPr>
                <w:sz w:val="20"/>
              </w:rPr>
              <w:t>Not supplied</w:t>
            </w:r>
          </w:p>
        </w:tc>
      </w:tr>
      <w:tr>
        <w:trPr>
          <w:cantSplit/>
        </w:trPr>
        <w:tc>
          <w:tcPr>
            <w:tcW w:type="dxa" w:w="1656"/>
            <w:vAlign w:val="center"/>
            <w:tcMar>
              <w:top w:w="100" w:type="dxa"/>
              <w:bottom w:w="100" w:type="dxa"/>
              <w:left w:w="100" w:type="dxa"/>
              <w:right w:w="100" w:type="dxa"/>
            </w:tcMar>
            <w:shd w:fill="F1F5F7"/>
          </w:tcPr>
          <w:p>
            <w:pPr>
              <w:spacing w:after="0" w:line="252" w:lineRule="auto"/>
              <w:jc w:val="center"/>
            </w:pPr>
            <w:r>
              <w:rPr>
                <w:sz w:val="20"/>
              </w:rPr>
              <w:t>SHS</w:t>
            </w:r>
          </w:p>
        </w:tc>
        <w:tc>
          <w:tcPr>
            <w:tcW w:type="dxa" w:w="1008"/>
            <w:vAlign w:val="center"/>
            <w:tcMar>
              <w:top w:w="100" w:type="dxa"/>
              <w:bottom w:w="100" w:type="dxa"/>
              <w:left w:w="100" w:type="dxa"/>
              <w:right w:w="100" w:type="dxa"/>
            </w:tcMar>
            <w:shd w:fill="F1F5F7"/>
          </w:tcPr>
          <w:p>
            <w:pPr>
              <w:spacing w:after="0" w:line="252" w:lineRule="auto"/>
              <w:jc w:val="center"/>
            </w:pPr>
            <w:r>
              <w:rPr>
                <w:sz w:val="20"/>
              </w:rPr>
              <w:t>95.52</w:t>
            </w:r>
          </w:p>
        </w:tc>
        <w:tc>
          <w:tcPr>
            <w:tcW w:type="dxa" w:w="1008"/>
            <w:vAlign w:val="center"/>
            <w:tcMar>
              <w:top w:w="100" w:type="dxa"/>
              <w:bottom w:w="100" w:type="dxa"/>
              <w:left w:w="100" w:type="dxa"/>
              <w:right w:w="100" w:type="dxa"/>
            </w:tcMar>
            <w:shd w:fill="F1F5F7"/>
          </w:tcPr>
          <w:p>
            <w:pPr>
              <w:spacing w:after="0" w:line="252" w:lineRule="auto"/>
              <w:jc w:val="center"/>
            </w:pPr>
            <w:r>
              <w:rPr>
                <w:sz w:val="20"/>
              </w:rPr>
              <w:t>74.93</w:t>
            </w:r>
          </w:p>
        </w:tc>
        <w:tc>
          <w:tcPr>
            <w:tcW w:type="dxa" w:w="1512"/>
            <w:vAlign w:val="center"/>
            <w:tcMar>
              <w:top w:w="100" w:type="dxa"/>
              <w:bottom w:w="100" w:type="dxa"/>
              <w:left w:w="100" w:type="dxa"/>
              <w:right w:w="100" w:type="dxa"/>
            </w:tcMar>
            <w:shd w:fill="F1F5F7"/>
          </w:tcPr>
          <w:p>
            <w:pPr>
              <w:spacing w:after="0" w:line="252" w:lineRule="auto"/>
              <w:jc w:val="center"/>
            </w:pPr>
            <w:r>
              <w:rPr>
                <w:sz w:val="20"/>
              </w:rPr>
              <w:t>Not supplied</w:t>
            </w:r>
          </w:p>
        </w:tc>
        <w:tc>
          <w:tcPr>
            <w:tcW w:type="dxa" w:w="1512"/>
            <w:vAlign w:val="center"/>
            <w:tcMar>
              <w:top w:w="100" w:type="dxa"/>
              <w:bottom w:w="100" w:type="dxa"/>
              <w:left w:w="100" w:type="dxa"/>
              <w:right w:w="100" w:type="dxa"/>
            </w:tcMar>
            <w:shd w:fill="F1F5F7"/>
          </w:tcPr>
          <w:p>
            <w:pPr>
              <w:spacing w:after="0" w:line="252" w:lineRule="auto"/>
              <w:jc w:val="center"/>
            </w:pPr>
            <w:r>
              <w:rPr>
                <w:sz w:val="20"/>
              </w:rPr>
              <w:t>Not supplied</w:t>
            </w:r>
          </w:p>
        </w:tc>
        <w:tc>
          <w:tcPr>
            <w:tcW w:type="dxa" w:w="2448"/>
            <w:vAlign w:val="center"/>
            <w:tcMar>
              <w:top w:w="100" w:type="dxa"/>
              <w:bottom w:w="100" w:type="dxa"/>
              <w:left w:w="100" w:type="dxa"/>
              <w:right w:w="100" w:type="dxa"/>
            </w:tcMar>
            <w:shd w:fill="F1F5F7"/>
          </w:tcPr>
          <w:p>
            <w:pPr>
              <w:spacing w:after="0" w:line="252" w:lineRule="auto"/>
              <w:jc w:val="center"/>
            </w:pPr>
            <w:r>
              <w:rPr>
                <w:sz w:val="20"/>
              </w:rPr>
              <w:t>Not supplied</w:t>
            </w:r>
          </w:p>
        </w:tc>
      </w:tr>
    </w:tbl>
    <w:p>
      <w:pPr>
        <w:spacing w:after="40"/>
      </w:pPr>
    </w:p>
    <w:p>
      <w:pPr/>
      <w:r>
        <w:t>Values above are percentage values copied from kes_historical and rounded to two decimals for presentation. Profile retention/transition fields use proportions; their units must be normalized before combining data. Missing values remain missing. These indicators provide education context; they are not annual learner migration rates and are not inputs to the current calculator.</w:t>
      </w:r>
    </w:p>
    <w:p>
      <w:pPr>
        <w:pStyle w:val="Heading1"/>
      </w:pPr>
      <w:r>
        <w:t>Research evidence</w:t>
      </w:r>
    </w:p>
    <w:p>
      <w:pPr/>
      <w:r>
        <w:t>The supplied studies provide research context, not a calibrated learner-transfer rate. Each study is analyzed separately using at most 24 relevance-ranked chunks, not a full-document review. Zero verified findings means no relevant evidence passed validation, not that the study has no relevant information. Historical policy statements describe the study publication period and do not establish current policy status. Overlapping studies are not automatically independent corroboration.</w:t>
      </w:r>
    </w:p>
    <w:p>
      <w:pPr>
        <w:pStyle w:val="ListBullet"/>
        <w:spacing w:after="120"/>
      </w:pPr>
      <w:r>
        <w:t>2020_PHILCCA Snapshots Forests_FA.pdf: 0 verified findings; 9/9 chunks selected; 0 findings rejected.</w:t>
      </w:r>
    </w:p>
    <w:p>
      <w:pPr>
        <w:pStyle w:val="ListBullet"/>
        <w:spacing w:after="120"/>
      </w:pPr>
      <w:r>
        <w:t>2021_PHILCCA-Snapshots-Human-Health_FA.pdf: 0 verified findings; 12/12 chunks selected; 0 findings rejected.</w:t>
      </w:r>
    </w:p>
    <w:p>
      <w:pPr>
        <w:pStyle w:val="ListBullet"/>
        <w:spacing w:after="120"/>
      </w:pPr>
      <w:r>
        <w:t>IMPACT-Study-Final-web-page-2.pdf: 3 verified findings; 24/126 chunks selected; 2 findings rejected.</w:t>
      </w:r>
    </w:p>
    <w:p>
      <w:pPr>
        <w:pStyle w:val="ListBullet"/>
        <w:spacing w:after="120"/>
      </w:pPr>
      <w:r>
        <w:t>PhilCCA WG1.pdf: 0 verified findings; 24/151 chunks selected; 0 findings rejected.</w:t>
      </w:r>
    </w:p>
    <w:p>
      <w:pPr>
        <w:pStyle w:val="ListBullet"/>
        <w:spacing w:after="120"/>
      </w:pPr>
      <w:r>
        <w:t>PhilCCA WG3 (1).pdf: 2 verified findings; 24/154 chunks selected; 3 findings rejected.</w:t>
      </w:r>
    </w:p>
    <w:p>
      <w:pPr>
        <w:pStyle w:val="ListBullet"/>
        <w:spacing w:after="120"/>
      </w:pPr>
      <w:r>
        <w:t>IMPACT-Study-Final-web-page-2.pdf, PDF page 17, chunk IMPACT-Study-Final-web-page-2-chunks:99b56eaaa0b2:p017-c01: "Internal migration in the Philippines can be described as largely rural to urban and rural to rural, it is also most commonly carried out by women and youth (Gultiano and Xenos 2004; Quisumbing and McNiven 2005). Migration flows are mainly interprovincial, with the National Capital Region (NCR) and surrounding areas as the prime destination (Quisumbing and McNiven 2005)."</w:t>
      </w:r>
    </w:p>
    <w:p>
      <w:pPr/>
      <w:r>
        <w:t>Population: Internal migrants within the Philippines, commonly women and youth. Limitation: Limited integration of climate-related variables in population surveys; internal migration patterns may not reflect climate migration specifically.</w:t>
      </w:r>
    </w:p>
    <w:p>
      <w:pPr>
        <w:pStyle w:val="ListBullet"/>
        <w:spacing w:after="120"/>
      </w:pPr>
      <w:r>
        <w:t>IMPACT-Study-Final-web-page-2.pdf, PDF page 67, chunk IMPACT-Study-Final-web-page-2-chunks:99b56eaaa0b2:p067-c01: "Among sectors that are highly climate sensitive, such as agriculture, climate variability and its associated uncertainty motivated people to migrate through the impacts of temperature and rainfall on livelihood. Particularly for the young and landless, environmental stress often pushed for livelihood changes that resulted in migration."</w:t>
      </w:r>
    </w:p>
    <w:p>
      <w:pPr/>
      <w:r>
        <w:t>Population: Smallholder farmers and rural populations dependent on climate-sensitive livelihoods. Limitation: Findings are qualitative, based on perceptions; causality between climate variables and migration not quantified.</w:t>
      </w:r>
    </w:p>
    <w:p>
      <w:pPr>
        <w:pStyle w:val="ListBullet"/>
        <w:spacing w:after="120"/>
      </w:pPr>
      <w:r>
        <w:t>IMPACT-Study-Final-web-page-2.pdf, PDF page 70, chunk IMPACT-Study-Final-web-page-2-chunks:99b56eaaa0b2:p070-c02: "Human (im)mobility in the context of climate change has no legal and policy basis in the Philippines. There is no policy framework that provides the authority and mandate as well as necessary resources to support actions to address human (im)mobility and climate change."</w:t>
      </w:r>
    </w:p>
    <w:p>
      <w:pPr/>
      <w:r>
        <w:t>Population: Policy environment affecting migrants and displaced populations. Limitation: Does not specify ongoing or localized informal practices; focuses on national policy gap.</w:t>
      </w:r>
    </w:p>
    <w:p>
      <w:pPr>
        <w:pStyle w:val="ListBullet"/>
        <w:spacing w:after="120"/>
      </w:pPr>
      <w:r>
        <w:t>PhilCCA WG3 (1).pdf, PDF page 29, chunk PhilCCA WG3 (1)-chunks:ecf4deef6e2e:p029-c01: "The CCC has created the road map towards climate resiliency as illustrated in the National Framework Strategy on Climate Change (NFSCC), which is being implemented through the National Climate Change Action Plan (NCCAP). These NFSCC and NCCAP serve as guides in mainstreaming climate change mitigation strategies into local policies, projects, and programs. Climate change mitigation is also mainstreamed into the different sectors through departmental policies and regulations. Relevant national policies are also taken into consideration in the formulation of new sectoral policies on climate change."</w:t>
      </w:r>
    </w:p>
    <w:p>
      <w:pPr/>
      <w:r>
        <w:t>Population: Climate Change Commission and related institutions in the Philippines. Limitation: Provides institutional mechanisms but lacks quantitative assessment of effectiveness.</w:t>
      </w:r>
    </w:p>
    <w:p>
      <w:pPr>
        <w:pStyle w:val="ListBullet"/>
        <w:spacing w:after="120"/>
      </w:pPr>
      <w:r>
        <w:t>PhilCCA WG3 (1).pdf, PDF page 19, chunk PhilCCA WG3 (1)-chunks:ecf4deef6e2e:p019-c01: "National Greening Program A massive forest rehabilitation program of the national government established by virtue of Executive Order No. 26 issued on 24 February 2011 by President Benigno S. Aquino III. It aims to grow 1.5 billion trees in 1.5 million hectares nationwide from 2011 to 2016 to revitalize the denuded areas and improve forest condition (DENR, 2018)."</w:t>
      </w:r>
    </w:p>
    <w:p>
      <w:pPr/>
      <w:r>
        <w:t>Population: Forestry sector land and programs in the Philippines. Limitation: No specific data presented on carbon sequestration achieved or emissions reduced.</w:t>
      </w:r>
    </w:p>
    <w:p>
      <w:pPr>
        <w:pStyle w:val="Heading2"/>
      </w:pPr>
      <w:r>
        <w:t>Study specific evidence gaps</w:t>
      </w:r>
    </w:p>
    <w:p>
      <w:pPr>
        <w:pStyle w:val="ListBullet"/>
        <w:spacing w:after="120"/>
      </w:pPr>
      <w:r>
        <w:t>2020_PHILCCA Snapshots Forests_FA.pdf: The supplied document chunks focus on forests, climate change impacts, ecosystem services, carbon sink/source dynamics, and adaptation and mitigation strategies related to forest management in the Philippines.</w:t>
      </w:r>
    </w:p>
    <w:p>
      <w:pPr>
        <w:pStyle w:val="ListBullet"/>
        <w:spacing w:after="120"/>
      </w:pPr>
      <w:r>
        <w:t>2020_PHILCCA Snapshots Forests_FA.pdf: There is no mention or evidence of learner migration, either internal migration, international migration, or learner transfers within educational contexts.</w:t>
      </w:r>
    </w:p>
    <w:p>
      <w:pPr>
        <w:pStyle w:val="ListBullet"/>
        <w:spacing w:after="120"/>
      </w:pPr>
      <w:r>
        <w:t>2020_PHILCCA Snapshots Forests_FA.pdf: No data or discussion about population movement, education sector migration, student mobility, or related demographic shifts that would inform learner migration rates is presented.</w:t>
      </w:r>
    </w:p>
    <w:p>
      <w:pPr>
        <w:pStyle w:val="ListBullet"/>
        <w:spacing w:after="120"/>
      </w:pPr>
      <w:r>
        <w:t>2020_PHILCCA Snapshots Forests_FA.pdf: Climate, forest, or health evidence alone is present but does not constitute proof of learner migration.</w:t>
      </w:r>
    </w:p>
    <w:p>
      <w:pPr>
        <w:pStyle w:val="ListBullet"/>
        <w:spacing w:after="120"/>
      </w:pPr>
      <w:r>
        <w:t>2020_PHILCCA Snapshots Forests_FA.pdf: Hence, there is no relevant evidence in the supplied document chunks about learner migration.</w:t>
      </w:r>
    </w:p>
    <w:p>
      <w:pPr>
        <w:pStyle w:val="ListBullet"/>
        <w:spacing w:after="120"/>
      </w:pPr>
      <w:r>
        <w:t>2021_PHILCCA-Snapshots-Human-Health_FA.pdf: The supplied document text focuses on the impacts of climate change and health system vulnerabilities in the Philippines and related adaptation and mitigation strategies.</w:t>
      </w:r>
    </w:p>
    <w:p>
      <w:pPr>
        <w:pStyle w:val="ListBullet"/>
        <w:spacing w:after="120"/>
      </w:pPr>
      <w:r>
        <w:t>2021_PHILCCA-Snapshots-Human-Health_FA.pdf: There is no specific evidence or data on internal migration, international migration, or learner transfers related to climate change or health issues.</w:t>
      </w:r>
    </w:p>
    <w:p>
      <w:pPr>
        <w:pStyle w:val="ListBullet"/>
        <w:spacing w:after="120"/>
      </w:pPr>
      <w:r>
        <w:t>2021_PHILCCA-Snapshots-Human-Health_FA.pdf: No indication or statistics regarding learner migration rates, migration flows, or educational transfers in relation to climate or health conditions are provided.</w:t>
      </w:r>
    </w:p>
    <w:p>
      <w:pPr>
        <w:pStyle w:val="ListBullet"/>
        <w:spacing w:after="120"/>
      </w:pPr>
      <w:r>
        <w:t>2021_PHILCCA-Snapshots-Human-Health_FA.pdf: The document highlights health risks, disease incidence, healthcare capacity, and policy responses but does not address population movement or educational migration.</w:t>
      </w:r>
    </w:p>
    <w:p>
      <w:pPr>
        <w:pStyle w:val="ListBullet"/>
        <w:spacing w:after="120"/>
      </w:pPr>
      <w:r>
        <w:t>2021_PHILCCA-Snapshots-Human-Health_FA.pdf: Hence, there is a data gap on migration or learner transfer evidence within the Philippine context from the provided chunks.</w:t>
      </w:r>
    </w:p>
    <w:p>
      <w:pPr>
        <w:pStyle w:val="ListBullet"/>
        <w:spacing w:after="120"/>
      </w:pPr>
      <w:r>
        <w:t>IMPACT-Study-Final-web-page-2.pdf: Quantitative empirical data directly linking slow onset climate events to migration rates is lacking.</w:t>
      </w:r>
    </w:p>
    <w:p>
      <w:pPr>
        <w:pStyle w:val="ListBullet"/>
        <w:spacing w:after="120"/>
      </w:pPr>
      <w:r>
        <w:t>IMPACT-Study-Final-web-page-2.pdf: Separated statistics on climate-induced migration versus general economic or social migration are insufficient.</w:t>
      </w:r>
    </w:p>
    <w:p>
      <w:pPr>
        <w:pStyle w:val="ListBullet"/>
        <w:spacing w:after="120"/>
      </w:pPr>
      <w:r>
        <w:t>IMPACT-Study-Final-web-page-2.pdf: Information on learner transfer rates related to migration is absent in provided chunks.</w:t>
      </w:r>
    </w:p>
    <w:p>
      <w:pPr>
        <w:pStyle w:val="ListBullet"/>
        <w:spacing w:after="120"/>
      </w:pPr>
      <w:r>
        <w:t>IMPACT-Study-Final-web-page-2.pdf: Detailed policy evaluations or interventions specifically targeting climate-induced migration are not described.</w:t>
      </w:r>
    </w:p>
    <w:p>
      <w:pPr>
        <w:pStyle w:val="ListBullet"/>
        <w:spacing w:after="120"/>
      </w:pPr>
      <w:r>
        <w:t>IMPACT-Study-Final-web-page-2.pdf: Disaggregated data distinguishing between internal migration, international migration, and learner transfers in the context of climate change is limited.</w:t>
      </w:r>
    </w:p>
    <w:p>
      <w:pPr>
        <w:pStyle w:val="ListBullet"/>
        <w:spacing w:after="120"/>
      </w:pPr>
      <w:r>
        <w:t>PhilCCA WG1.pdf: The provided text from the PhilCCA WG1 report focuses primarily on climate change science in the Philippines, including observed and projected physical climate changes, climate modeling, and local climate drivers. There is no direct discussion, evidence, or data related to learner migration (internal, international, or learner transfers) or educational migration flows influenced by climate or other factors.</w:t>
      </w:r>
    </w:p>
    <w:p>
      <w:pPr>
        <w:pStyle w:val="ListBullet"/>
        <w:spacing w:after="120"/>
      </w:pPr>
      <w:r>
        <w:t>PhilCCA WG1.pdf: The material details climate phenomena, impacts on ecosystems, and projections but does not include information on population movements, migration patterns, or education-related migration statistics or dynamics.</w:t>
      </w:r>
    </w:p>
    <w:p>
      <w:pPr>
        <w:pStyle w:val="ListBullet"/>
        <w:spacing w:after="120"/>
      </w:pPr>
      <w:r>
        <w:t>PhilCCA WG1.pdf: No methodology, statistics, or analysis of learner migration or migration due to climate change impacts on education are present in the provided chunks.</w:t>
      </w:r>
    </w:p>
    <w:p>
      <w:pPr>
        <w:pStyle w:val="ListBullet"/>
        <w:spacing w:after="120"/>
      </w:pPr>
      <w:r>
        <w:t>PhilCCA WG1.pdf: Hence, there is a clear evidence gap regarding learner migration in this climate change-focused document.</w:t>
      </w:r>
    </w:p>
    <w:p>
      <w:pPr>
        <w:pStyle w:val="ListBullet"/>
        <w:spacing w:after="120"/>
      </w:pPr>
      <w:r>
        <w:t>PhilCCA WG3 (1).pdf: No direct data on learner migration rates or patterns is provided.</w:t>
      </w:r>
    </w:p>
    <w:p>
      <w:pPr>
        <w:pStyle w:val="ListBullet"/>
        <w:spacing w:after="120"/>
      </w:pPr>
      <w:r>
        <w:t>PhilCCA WG3 (1).pdf: No information on internal or international learner migration specific to education sectors.</w:t>
      </w:r>
    </w:p>
    <w:p>
      <w:pPr>
        <w:pStyle w:val="ListBullet"/>
        <w:spacing w:after="120"/>
      </w:pPr>
      <w:r>
        <w:t>PhilCCA WG3 (1).pdf: No evidence on learner transfer statistics or impact of climate policies on learner mobility.</w:t>
      </w:r>
    </w:p>
    <w:p>
      <w:pPr>
        <w:pStyle w:val="ListBullet"/>
        <w:spacing w:after="120"/>
      </w:pPr>
      <w:r>
        <w:t>PhilCCA WG3 (1).pdf: Lack of quantitative evaluation of policy effectiveness on emission reduction tied to learner populations.</w:t>
      </w:r>
    </w:p>
    <w:p>
      <w:pPr/>
      <w:r>
        <w:t>Validation confirms quote text and page provenance, not the truth of every LLM claim or its causal relevance. Some excerpts concern institutions or climate mitigation and are background only, not direct learner-migration evidence. Cross-study interpretation is retained in explanation-agent.json as an LLM draft, not verified calibration evidence. Added studies can change the explanation but do not change the assumed rates or calculator results unless those numerical inputs change.</w:t>
      </w:r>
    </w:p>
    <w:p>
      <w:pPr>
        <w:pStyle w:val="Heading1"/>
      </w:pPr>
      <w:r>
        <w:t>PSA BetterGov and ASEAN</w:t>
      </w:r>
    </w:p>
    <w:p>
      <w:pPr>
        <w:pStyle w:val="ListBullet"/>
        <w:spacing w:after="120"/>
      </w:pPr>
      <w:r>
        <w:t>PSA: web_retrieved; 7 source citations retained. Connection type: Public web search; not a statistical API integration.</w:t>
      </w:r>
    </w:p>
    <w:p>
      <w:pPr>
        <w:pStyle w:val="ListBullet"/>
        <w:spacing w:after="120"/>
      </w:pPr>
      <w:r>
        <w:t>BetterGov: web_retrieved; 1 source citations retained. Connection type: Public web search; not a statistical API integration.</w:t>
      </w:r>
    </w:p>
    <w:p>
      <w:pPr>
        <w:pStyle w:val="ListBullet"/>
        <w:spacing w:after="120"/>
      </w:pPr>
      <w:r>
        <w:t>ASEAN: no_cited_source; 0 source citations retained. Connection type: Public web search; not a statistical API integration.</w:t>
      </w:r>
    </w:p>
    <w:p>
      <w:pPr/>
      <w:r>
        <w:t>PSA publishes 2020 Census historical origin-destination migration tables (2015-2020) and population projections. Those household/population measures require population, age, geography and time alignment before estimating enrolled-learner flows. Place-of-school measures may represent commuting rather than residential migration or a school transfer. Retrieved URLs appear below; the present run has not loaded their statistical tables into the calculator. BetterGov is a community portal; upstream PSA provenance must be retained. ASEAN sources offer regional context, not a measured Philippine learner-transfer series in this calculation.</w:t>
      </w:r>
    </w:p>
    <w:p>
      <w:pPr>
        <w:pStyle w:val="Heading1"/>
      </w:pPr>
      <w:r>
        <w:t>Calculation and 2027 2035 results</w:t>
      </w:r>
    </w:p>
    <w:p>
      <w:pPr/>
      <w:r>
        <w:t xml:space="preserve">Assumed annual net migration contributions: </w:t>
      </w:r>
      <w:r>
        <w:rPr>
          <w:b/>
        </w:rPr>
        <w:t>-0.5%, 0%, 0.5%</w:t>
      </w:r>
      <w:r>
        <w:t>. These are illustrative defaults, not empirically estimated. Formula: learners(y) = round(baseEnrollment x (1 + r/100)^(y-2026)). Neither PSA flows nor research statistics were used to estimate r. All nonmigration changes are held fixed.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448"/>
        <w:gridCol w:w="2448"/>
        <w:gridCol w:w="2448"/>
      </w:tblGrid>
      <w:tr>
        <w:trPr>
          <w:tblHeader/>
          <w:cantSplit/>
        </w:trPr>
        <w:tc>
          <w:tcPr>
            <w:tcW w:type="dxa" w:w="1800"/>
            <w:vAlign w:val="center"/>
            <w:tcMar>
              <w:top w:w="100" w:type="dxa"/>
              <w:bottom w:w="100" w:type="dxa"/>
              <w:left w:w="100" w:type="dxa"/>
              <w:right w:w="100" w:type="dxa"/>
            </w:tcMar>
            <w:shd w:fill="233E50"/>
          </w:tcPr>
          <w:p>
            <w:pPr>
              <w:spacing w:after="0" w:line="252" w:lineRule="auto"/>
              <w:jc w:val="center"/>
            </w:pPr>
            <w:r>
              <w:rPr>
                <w:b/>
                <w:color w:val="FFFFFF"/>
                <w:sz w:val="20"/>
              </w:rPr>
              <w:t>School year</w:t>
            </w:r>
          </w:p>
        </w:tc>
        <w:tc>
          <w:tcPr>
            <w:tcW w:type="dxa" w:w="2448"/>
            <w:vAlign w:val="center"/>
            <w:tcMar>
              <w:top w:w="100" w:type="dxa"/>
              <w:bottom w:w="100" w:type="dxa"/>
              <w:left w:w="100" w:type="dxa"/>
              <w:right w:w="100" w:type="dxa"/>
            </w:tcMar>
            <w:shd w:fill="233E50"/>
          </w:tcPr>
          <w:p>
            <w:pPr>
              <w:spacing w:after="0" w:line="252" w:lineRule="auto"/>
              <w:jc w:val="center"/>
            </w:pPr>
            <w:r>
              <w:rPr>
                <w:b/>
                <w:color w:val="FFFFFF"/>
                <w:sz w:val="20"/>
              </w:rPr>
              <w:t>Low learners</w:t>
            </w:r>
          </w:p>
        </w:tc>
        <w:tc>
          <w:tcPr>
            <w:tcW w:type="dxa" w:w="2448"/>
            <w:vAlign w:val="center"/>
            <w:tcMar>
              <w:top w:w="100" w:type="dxa"/>
              <w:bottom w:w="100" w:type="dxa"/>
              <w:left w:w="100" w:type="dxa"/>
              <w:right w:w="100" w:type="dxa"/>
            </w:tcMar>
            <w:shd w:fill="233E50"/>
          </w:tcPr>
          <w:p>
            <w:pPr>
              <w:spacing w:after="0" w:line="252" w:lineRule="auto"/>
              <w:jc w:val="center"/>
            </w:pPr>
            <w:r>
              <w:rPr>
                <w:b/>
                <w:color w:val="FFFFFF"/>
                <w:sz w:val="20"/>
              </w:rPr>
              <w:t>Base learners</w:t>
            </w:r>
          </w:p>
        </w:tc>
        <w:tc>
          <w:tcPr>
            <w:tcW w:type="dxa" w:w="2448"/>
            <w:vAlign w:val="center"/>
            <w:tcMar>
              <w:top w:w="100" w:type="dxa"/>
              <w:bottom w:w="100" w:type="dxa"/>
              <w:left w:w="100" w:type="dxa"/>
              <w:right w:w="100" w:type="dxa"/>
            </w:tcMar>
            <w:shd w:fill="233E50"/>
          </w:tcPr>
          <w:p>
            <w:pPr>
              <w:spacing w:after="0" w:line="252" w:lineRule="auto"/>
              <w:jc w:val="center"/>
            </w:pPr>
            <w:r>
              <w:rPr>
                <w:b/>
                <w:color w:val="FFFFFF"/>
                <w:sz w:val="20"/>
              </w:rPr>
              <w:t>High learners</w:t>
            </w:r>
          </w:p>
        </w:tc>
      </w:tr>
      <w:tr>
        <w:trPr>
          <w:cantSplit/>
        </w:trPr>
        <w:tc>
          <w:tcPr>
            <w:tcW w:type="dxa" w:w="1800"/>
            <w:vAlign w:val="center"/>
            <w:tcMar>
              <w:top w:w="100" w:type="dxa"/>
              <w:bottom w:w="100" w:type="dxa"/>
              <w:left w:w="100" w:type="dxa"/>
              <w:right w:w="100" w:type="dxa"/>
            </w:tcMar>
            <w:shd w:fill="F1F5F7"/>
          </w:tcPr>
          <w:p>
            <w:pPr>
              <w:spacing w:after="0" w:line="252" w:lineRule="auto"/>
              <w:jc w:val="center"/>
            </w:pPr>
            <w:r>
              <w:rPr>
                <w:sz w:val="20"/>
              </w:rPr>
              <w:t>2026-2027</w:t>
            </w:r>
          </w:p>
        </w:tc>
        <w:tc>
          <w:tcPr>
            <w:tcW w:type="dxa" w:w="2448"/>
            <w:vAlign w:val="center"/>
            <w:tcMar>
              <w:top w:w="100" w:type="dxa"/>
              <w:bottom w:w="100" w:type="dxa"/>
              <w:left w:w="100" w:type="dxa"/>
              <w:right w:w="100" w:type="dxa"/>
            </w:tcMar>
            <w:shd w:fill="F1F5F7"/>
          </w:tcPr>
          <w:p>
            <w:pPr>
              <w:spacing w:after="0" w:line="252" w:lineRule="auto"/>
              <w:jc w:val="center"/>
            </w:pPr>
            <w:r>
              <w:rPr>
                <w:sz w:val="20"/>
              </w:rPr>
              <w:t>3,803,423</w:t>
            </w:r>
          </w:p>
        </w:tc>
        <w:tc>
          <w:tcPr>
            <w:tcW w:type="dxa" w:w="2448"/>
            <w:vAlign w:val="center"/>
            <w:tcMar>
              <w:top w:w="100" w:type="dxa"/>
              <w:bottom w:w="100" w:type="dxa"/>
              <w:left w:w="100" w:type="dxa"/>
              <w:right w:w="100" w:type="dxa"/>
            </w:tcMar>
            <w:shd w:fill="F1F5F7"/>
          </w:tcPr>
          <w:p>
            <w:pPr>
              <w:spacing w:after="0" w:line="252" w:lineRule="auto"/>
              <w:jc w:val="center"/>
            </w:pPr>
            <w:r>
              <w:rPr>
                <w:sz w:val="20"/>
              </w:rPr>
              <w:t>3,822,536</w:t>
            </w:r>
          </w:p>
        </w:tc>
        <w:tc>
          <w:tcPr>
            <w:tcW w:type="dxa" w:w="2448"/>
            <w:vAlign w:val="center"/>
            <w:tcMar>
              <w:top w:w="100" w:type="dxa"/>
              <w:bottom w:w="100" w:type="dxa"/>
              <w:left w:w="100" w:type="dxa"/>
              <w:right w:w="100" w:type="dxa"/>
            </w:tcMar>
            <w:shd w:fill="F1F5F7"/>
          </w:tcPr>
          <w:p>
            <w:pPr>
              <w:spacing w:after="0" w:line="252" w:lineRule="auto"/>
              <w:jc w:val="center"/>
            </w:pPr>
            <w:r>
              <w:rPr>
                <w:sz w:val="20"/>
              </w:rPr>
              <w:t>3,841,649</w:t>
            </w:r>
          </w:p>
        </w:tc>
      </w:tr>
      <w:tr>
        <w:trPr>
          <w:cantSplit/>
        </w:trPr>
        <w:tc>
          <w:tcPr>
            <w:tcW w:type="dxa" w:w="1800"/>
            <w:vAlign w:val="center"/>
            <w:tcMar>
              <w:top w:w="100" w:type="dxa"/>
              <w:bottom w:w="100" w:type="dxa"/>
              <w:left w:w="100" w:type="dxa"/>
              <w:right w:w="100" w:type="dxa"/>
            </w:tcMar>
            <w:shd w:fill="FFFFFF"/>
          </w:tcPr>
          <w:p>
            <w:pPr>
              <w:spacing w:after="0" w:line="252" w:lineRule="auto"/>
              <w:jc w:val="center"/>
            </w:pPr>
            <w:r>
              <w:rPr>
                <w:sz w:val="20"/>
              </w:rPr>
              <w:t>2027-2028</w:t>
            </w:r>
          </w:p>
        </w:tc>
        <w:tc>
          <w:tcPr>
            <w:tcW w:type="dxa" w:w="2448"/>
            <w:vAlign w:val="center"/>
            <w:tcMar>
              <w:top w:w="100" w:type="dxa"/>
              <w:bottom w:w="100" w:type="dxa"/>
              <w:left w:w="100" w:type="dxa"/>
              <w:right w:w="100" w:type="dxa"/>
            </w:tcMar>
            <w:shd w:fill="FFFFFF"/>
          </w:tcPr>
          <w:p>
            <w:pPr>
              <w:spacing w:after="0" w:line="252" w:lineRule="auto"/>
              <w:jc w:val="center"/>
            </w:pPr>
            <w:r>
              <w:rPr>
                <w:sz w:val="20"/>
              </w:rPr>
              <w:t>3,784,406</w:t>
            </w:r>
          </w:p>
        </w:tc>
        <w:tc>
          <w:tcPr>
            <w:tcW w:type="dxa" w:w="2448"/>
            <w:vAlign w:val="center"/>
            <w:tcMar>
              <w:top w:w="100" w:type="dxa"/>
              <w:bottom w:w="100" w:type="dxa"/>
              <w:left w:w="100" w:type="dxa"/>
              <w:right w:w="100" w:type="dxa"/>
            </w:tcMar>
            <w:shd w:fill="FFFFFF"/>
          </w:tcPr>
          <w:p>
            <w:pPr>
              <w:spacing w:after="0" w:line="252" w:lineRule="auto"/>
              <w:jc w:val="center"/>
            </w:pPr>
            <w:r>
              <w:rPr>
                <w:sz w:val="20"/>
              </w:rPr>
              <w:t>3,822,536</w:t>
            </w:r>
          </w:p>
        </w:tc>
        <w:tc>
          <w:tcPr>
            <w:tcW w:type="dxa" w:w="2448"/>
            <w:vAlign w:val="center"/>
            <w:tcMar>
              <w:top w:w="100" w:type="dxa"/>
              <w:bottom w:w="100" w:type="dxa"/>
              <w:left w:w="100" w:type="dxa"/>
              <w:right w:w="100" w:type="dxa"/>
            </w:tcMar>
            <w:shd w:fill="FFFFFF"/>
          </w:tcPr>
          <w:p>
            <w:pPr>
              <w:spacing w:after="0" w:line="252" w:lineRule="auto"/>
              <w:jc w:val="center"/>
            </w:pPr>
            <w:r>
              <w:rPr>
                <w:sz w:val="20"/>
              </w:rPr>
              <w:t>3,860,857</w:t>
            </w:r>
          </w:p>
        </w:tc>
      </w:tr>
      <w:tr>
        <w:trPr>
          <w:cantSplit/>
        </w:trPr>
        <w:tc>
          <w:tcPr>
            <w:tcW w:type="dxa" w:w="1800"/>
            <w:vAlign w:val="center"/>
            <w:tcMar>
              <w:top w:w="100" w:type="dxa"/>
              <w:bottom w:w="100" w:type="dxa"/>
              <w:left w:w="100" w:type="dxa"/>
              <w:right w:w="100" w:type="dxa"/>
            </w:tcMar>
            <w:shd w:fill="F1F5F7"/>
          </w:tcPr>
          <w:p>
            <w:pPr>
              <w:spacing w:after="0" w:line="252" w:lineRule="auto"/>
              <w:jc w:val="center"/>
            </w:pPr>
            <w:r>
              <w:rPr>
                <w:sz w:val="20"/>
              </w:rPr>
              <w:t>2028-2029</w:t>
            </w:r>
          </w:p>
        </w:tc>
        <w:tc>
          <w:tcPr>
            <w:tcW w:type="dxa" w:w="2448"/>
            <w:vAlign w:val="center"/>
            <w:tcMar>
              <w:top w:w="100" w:type="dxa"/>
              <w:bottom w:w="100" w:type="dxa"/>
              <w:left w:w="100" w:type="dxa"/>
              <w:right w:w="100" w:type="dxa"/>
            </w:tcMar>
            <w:shd w:fill="F1F5F7"/>
          </w:tcPr>
          <w:p>
            <w:pPr>
              <w:spacing w:after="0" w:line="252" w:lineRule="auto"/>
              <w:jc w:val="center"/>
            </w:pPr>
            <w:r>
              <w:rPr>
                <w:sz w:val="20"/>
              </w:rPr>
              <w:t>3,765,484</w:t>
            </w:r>
          </w:p>
        </w:tc>
        <w:tc>
          <w:tcPr>
            <w:tcW w:type="dxa" w:w="2448"/>
            <w:vAlign w:val="center"/>
            <w:tcMar>
              <w:top w:w="100" w:type="dxa"/>
              <w:bottom w:w="100" w:type="dxa"/>
              <w:left w:w="100" w:type="dxa"/>
              <w:right w:w="100" w:type="dxa"/>
            </w:tcMar>
            <w:shd w:fill="F1F5F7"/>
          </w:tcPr>
          <w:p>
            <w:pPr>
              <w:spacing w:after="0" w:line="252" w:lineRule="auto"/>
              <w:jc w:val="center"/>
            </w:pPr>
            <w:r>
              <w:rPr>
                <w:sz w:val="20"/>
              </w:rPr>
              <w:t>3,822,536</w:t>
            </w:r>
          </w:p>
        </w:tc>
        <w:tc>
          <w:tcPr>
            <w:tcW w:type="dxa" w:w="2448"/>
            <w:vAlign w:val="center"/>
            <w:tcMar>
              <w:top w:w="100" w:type="dxa"/>
              <w:bottom w:w="100" w:type="dxa"/>
              <w:left w:w="100" w:type="dxa"/>
              <w:right w:w="100" w:type="dxa"/>
            </w:tcMar>
            <w:shd w:fill="F1F5F7"/>
          </w:tcPr>
          <w:p>
            <w:pPr>
              <w:spacing w:after="0" w:line="252" w:lineRule="auto"/>
              <w:jc w:val="center"/>
            </w:pPr>
            <w:r>
              <w:rPr>
                <w:sz w:val="20"/>
              </w:rPr>
              <w:t>3,880,161</w:t>
            </w:r>
          </w:p>
        </w:tc>
      </w:tr>
      <w:tr>
        <w:trPr>
          <w:cantSplit/>
        </w:trPr>
        <w:tc>
          <w:tcPr>
            <w:tcW w:type="dxa" w:w="1800"/>
            <w:vAlign w:val="center"/>
            <w:tcMar>
              <w:top w:w="100" w:type="dxa"/>
              <w:bottom w:w="100" w:type="dxa"/>
              <w:left w:w="100" w:type="dxa"/>
              <w:right w:w="100" w:type="dxa"/>
            </w:tcMar>
            <w:shd w:fill="FFFFFF"/>
          </w:tcPr>
          <w:p>
            <w:pPr>
              <w:spacing w:after="0" w:line="252" w:lineRule="auto"/>
              <w:jc w:val="center"/>
            </w:pPr>
            <w:r>
              <w:rPr>
                <w:sz w:val="20"/>
              </w:rPr>
              <w:t>2029-2030</w:t>
            </w:r>
          </w:p>
        </w:tc>
        <w:tc>
          <w:tcPr>
            <w:tcW w:type="dxa" w:w="2448"/>
            <w:vAlign w:val="center"/>
            <w:tcMar>
              <w:top w:w="100" w:type="dxa"/>
              <w:bottom w:w="100" w:type="dxa"/>
              <w:left w:w="100" w:type="dxa"/>
              <w:right w:w="100" w:type="dxa"/>
            </w:tcMar>
            <w:shd w:fill="FFFFFF"/>
          </w:tcPr>
          <w:p>
            <w:pPr>
              <w:spacing w:after="0" w:line="252" w:lineRule="auto"/>
              <w:jc w:val="center"/>
            </w:pPr>
            <w:r>
              <w:rPr>
                <w:sz w:val="20"/>
              </w:rPr>
              <w:t>3,746,657</w:t>
            </w:r>
          </w:p>
        </w:tc>
        <w:tc>
          <w:tcPr>
            <w:tcW w:type="dxa" w:w="2448"/>
            <w:vAlign w:val="center"/>
            <w:tcMar>
              <w:top w:w="100" w:type="dxa"/>
              <w:bottom w:w="100" w:type="dxa"/>
              <w:left w:w="100" w:type="dxa"/>
              <w:right w:w="100" w:type="dxa"/>
            </w:tcMar>
            <w:shd w:fill="FFFFFF"/>
          </w:tcPr>
          <w:p>
            <w:pPr>
              <w:spacing w:after="0" w:line="252" w:lineRule="auto"/>
              <w:jc w:val="center"/>
            </w:pPr>
            <w:r>
              <w:rPr>
                <w:sz w:val="20"/>
              </w:rPr>
              <w:t>3,822,536</w:t>
            </w:r>
          </w:p>
        </w:tc>
        <w:tc>
          <w:tcPr>
            <w:tcW w:type="dxa" w:w="2448"/>
            <w:vAlign w:val="center"/>
            <w:tcMar>
              <w:top w:w="100" w:type="dxa"/>
              <w:bottom w:w="100" w:type="dxa"/>
              <w:left w:w="100" w:type="dxa"/>
              <w:right w:w="100" w:type="dxa"/>
            </w:tcMar>
            <w:shd w:fill="FFFFFF"/>
          </w:tcPr>
          <w:p>
            <w:pPr>
              <w:spacing w:after="0" w:line="252" w:lineRule="auto"/>
              <w:jc w:val="center"/>
            </w:pPr>
            <w:r>
              <w:rPr>
                <w:sz w:val="20"/>
              </w:rPr>
              <w:t>3,899,562</w:t>
            </w:r>
          </w:p>
        </w:tc>
      </w:tr>
      <w:tr>
        <w:trPr>
          <w:cantSplit/>
        </w:trPr>
        <w:tc>
          <w:tcPr>
            <w:tcW w:type="dxa" w:w="1800"/>
            <w:vAlign w:val="center"/>
            <w:tcMar>
              <w:top w:w="100" w:type="dxa"/>
              <w:bottom w:w="100" w:type="dxa"/>
              <w:left w:w="100" w:type="dxa"/>
              <w:right w:w="100" w:type="dxa"/>
            </w:tcMar>
            <w:shd w:fill="F1F5F7"/>
          </w:tcPr>
          <w:p>
            <w:pPr>
              <w:spacing w:after="0" w:line="252" w:lineRule="auto"/>
              <w:jc w:val="center"/>
            </w:pPr>
            <w:r>
              <w:rPr>
                <w:sz w:val="20"/>
              </w:rPr>
              <w:t>2030-2031</w:t>
            </w:r>
          </w:p>
        </w:tc>
        <w:tc>
          <w:tcPr>
            <w:tcW w:type="dxa" w:w="2448"/>
            <w:vAlign w:val="center"/>
            <w:tcMar>
              <w:top w:w="100" w:type="dxa"/>
              <w:bottom w:w="100" w:type="dxa"/>
              <w:left w:w="100" w:type="dxa"/>
              <w:right w:w="100" w:type="dxa"/>
            </w:tcMar>
            <w:shd w:fill="F1F5F7"/>
          </w:tcPr>
          <w:p>
            <w:pPr>
              <w:spacing w:after="0" w:line="252" w:lineRule="auto"/>
              <w:jc w:val="center"/>
            </w:pPr>
            <w:r>
              <w:rPr>
                <w:sz w:val="20"/>
              </w:rPr>
              <w:t>3,727,923</w:t>
            </w:r>
          </w:p>
        </w:tc>
        <w:tc>
          <w:tcPr>
            <w:tcW w:type="dxa" w:w="2448"/>
            <w:vAlign w:val="center"/>
            <w:tcMar>
              <w:top w:w="100" w:type="dxa"/>
              <w:bottom w:w="100" w:type="dxa"/>
              <w:left w:w="100" w:type="dxa"/>
              <w:right w:w="100" w:type="dxa"/>
            </w:tcMar>
            <w:shd w:fill="F1F5F7"/>
          </w:tcPr>
          <w:p>
            <w:pPr>
              <w:spacing w:after="0" w:line="252" w:lineRule="auto"/>
              <w:jc w:val="center"/>
            </w:pPr>
            <w:r>
              <w:rPr>
                <w:sz w:val="20"/>
              </w:rPr>
              <w:t>3,822,536</w:t>
            </w:r>
          </w:p>
        </w:tc>
        <w:tc>
          <w:tcPr>
            <w:tcW w:type="dxa" w:w="2448"/>
            <w:vAlign w:val="center"/>
            <w:tcMar>
              <w:top w:w="100" w:type="dxa"/>
              <w:bottom w:w="100" w:type="dxa"/>
              <w:left w:w="100" w:type="dxa"/>
              <w:right w:w="100" w:type="dxa"/>
            </w:tcMar>
            <w:shd w:fill="F1F5F7"/>
          </w:tcPr>
          <w:p>
            <w:pPr>
              <w:spacing w:after="0" w:line="252" w:lineRule="auto"/>
              <w:jc w:val="center"/>
            </w:pPr>
            <w:r>
              <w:rPr>
                <w:sz w:val="20"/>
              </w:rPr>
              <w:t>3,919,060</w:t>
            </w:r>
          </w:p>
        </w:tc>
      </w:tr>
      <w:tr>
        <w:trPr>
          <w:cantSplit/>
        </w:trPr>
        <w:tc>
          <w:tcPr>
            <w:tcW w:type="dxa" w:w="1800"/>
            <w:vAlign w:val="center"/>
            <w:tcMar>
              <w:top w:w="100" w:type="dxa"/>
              <w:bottom w:w="100" w:type="dxa"/>
              <w:left w:w="100" w:type="dxa"/>
              <w:right w:w="100" w:type="dxa"/>
            </w:tcMar>
            <w:shd w:fill="FFFFFF"/>
          </w:tcPr>
          <w:p>
            <w:pPr>
              <w:spacing w:after="0" w:line="252" w:lineRule="auto"/>
              <w:jc w:val="center"/>
            </w:pPr>
            <w:r>
              <w:rPr>
                <w:sz w:val="20"/>
              </w:rPr>
              <w:t>2031-2032</w:t>
            </w:r>
          </w:p>
        </w:tc>
        <w:tc>
          <w:tcPr>
            <w:tcW w:type="dxa" w:w="2448"/>
            <w:vAlign w:val="center"/>
            <w:tcMar>
              <w:top w:w="100" w:type="dxa"/>
              <w:bottom w:w="100" w:type="dxa"/>
              <w:left w:w="100" w:type="dxa"/>
              <w:right w:w="100" w:type="dxa"/>
            </w:tcMar>
            <w:shd w:fill="FFFFFF"/>
          </w:tcPr>
          <w:p>
            <w:pPr>
              <w:spacing w:after="0" w:line="252" w:lineRule="auto"/>
              <w:jc w:val="center"/>
            </w:pPr>
            <w:r>
              <w:rPr>
                <w:sz w:val="20"/>
              </w:rPr>
              <w:t>3,709,284</w:t>
            </w:r>
          </w:p>
        </w:tc>
        <w:tc>
          <w:tcPr>
            <w:tcW w:type="dxa" w:w="2448"/>
            <w:vAlign w:val="center"/>
            <w:tcMar>
              <w:top w:w="100" w:type="dxa"/>
              <w:bottom w:w="100" w:type="dxa"/>
              <w:left w:w="100" w:type="dxa"/>
              <w:right w:w="100" w:type="dxa"/>
            </w:tcMar>
            <w:shd w:fill="FFFFFF"/>
          </w:tcPr>
          <w:p>
            <w:pPr>
              <w:spacing w:after="0" w:line="252" w:lineRule="auto"/>
              <w:jc w:val="center"/>
            </w:pPr>
            <w:r>
              <w:rPr>
                <w:sz w:val="20"/>
              </w:rPr>
              <w:t>3,822,536</w:t>
            </w:r>
          </w:p>
        </w:tc>
        <w:tc>
          <w:tcPr>
            <w:tcW w:type="dxa" w:w="2448"/>
            <w:vAlign w:val="center"/>
            <w:tcMar>
              <w:top w:w="100" w:type="dxa"/>
              <w:bottom w:w="100" w:type="dxa"/>
              <w:left w:w="100" w:type="dxa"/>
              <w:right w:w="100" w:type="dxa"/>
            </w:tcMar>
            <w:shd w:fill="FFFFFF"/>
          </w:tcPr>
          <w:p>
            <w:pPr>
              <w:spacing w:after="0" w:line="252" w:lineRule="auto"/>
              <w:jc w:val="center"/>
            </w:pPr>
            <w:r>
              <w:rPr>
                <w:sz w:val="20"/>
              </w:rPr>
              <w:t>3,938,655</w:t>
            </w:r>
          </w:p>
        </w:tc>
      </w:tr>
      <w:tr>
        <w:trPr>
          <w:cantSplit/>
        </w:trPr>
        <w:tc>
          <w:tcPr>
            <w:tcW w:type="dxa" w:w="1800"/>
            <w:vAlign w:val="center"/>
            <w:tcMar>
              <w:top w:w="100" w:type="dxa"/>
              <w:bottom w:w="100" w:type="dxa"/>
              <w:left w:w="100" w:type="dxa"/>
              <w:right w:w="100" w:type="dxa"/>
            </w:tcMar>
            <w:shd w:fill="F1F5F7"/>
          </w:tcPr>
          <w:p>
            <w:pPr>
              <w:spacing w:after="0" w:line="252" w:lineRule="auto"/>
              <w:jc w:val="center"/>
            </w:pPr>
            <w:r>
              <w:rPr>
                <w:sz w:val="20"/>
              </w:rPr>
              <w:t>2032-2033</w:t>
            </w:r>
          </w:p>
        </w:tc>
        <w:tc>
          <w:tcPr>
            <w:tcW w:type="dxa" w:w="2448"/>
            <w:vAlign w:val="center"/>
            <w:tcMar>
              <w:top w:w="100" w:type="dxa"/>
              <w:bottom w:w="100" w:type="dxa"/>
              <w:left w:w="100" w:type="dxa"/>
              <w:right w:w="100" w:type="dxa"/>
            </w:tcMar>
            <w:shd w:fill="F1F5F7"/>
          </w:tcPr>
          <w:p>
            <w:pPr>
              <w:spacing w:after="0" w:line="252" w:lineRule="auto"/>
              <w:jc w:val="center"/>
            </w:pPr>
            <w:r>
              <w:rPr>
                <w:sz w:val="20"/>
              </w:rPr>
              <w:t>3,690,737</w:t>
            </w:r>
          </w:p>
        </w:tc>
        <w:tc>
          <w:tcPr>
            <w:tcW w:type="dxa" w:w="2448"/>
            <w:vAlign w:val="center"/>
            <w:tcMar>
              <w:top w:w="100" w:type="dxa"/>
              <w:bottom w:w="100" w:type="dxa"/>
              <w:left w:w="100" w:type="dxa"/>
              <w:right w:w="100" w:type="dxa"/>
            </w:tcMar>
            <w:shd w:fill="F1F5F7"/>
          </w:tcPr>
          <w:p>
            <w:pPr>
              <w:spacing w:after="0" w:line="252" w:lineRule="auto"/>
              <w:jc w:val="center"/>
            </w:pPr>
            <w:r>
              <w:rPr>
                <w:sz w:val="20"/>
              </w:rPr>
              <w:t>3,822,536</w:t>
            </w:r>
          </w:p>
        </w:tc>
        <w:tc>
          <w:tcPr>
            <w:tcW w:type="dxa" w:w="2448"/>
            <w:vAlign w:val="center"/>
            <w:tcMar>
              <w:top w:w="100" w:type="dxa"/>
              <w:bottom w:w="100" w:type="dxa"/>
              <w:left w:w="100" w:type="dxa"/>
              <w:right w:w="100" w:type="dxa"/>
            </w:tcMar>
            <w:shd w:fill="F1F5F7"/>
          </w:tcPr>
          <w:p>
            <w:pPr>
              <w:spacing w:after="0" w:line="252" w:lineRule="auto"/>
              <w:jc w:val="center"/>
            </w:pPr>
            <w:r>
              <w:rPr>
                <w:sz w:val="20"/>
              </w:rPr>
              <w:t>3,958,348</w:t>
            </w:r>
          </w:p>
        </w:tc>
      </w:tr>
      <w:tr>
        <w:trPr>
          <w:cantSplit/>
        </w:trPr>
        <w:tc>
          <w:tcPr>
            <w:tcW w:type="dxa" w:w="1800"/>
            <w:vAlign w:val="center"/>
            <w:tcMar>
              <w:top w:w="100" w:type="dxa"/>
              <w:bottom w:w="100" w:type="dxa"/>
              <w:left w:w="100" w:type="dxa"/>
              <w:right w:w="100" w:type="dxa"/>
            </w:tcMar>
            <w:shd w:fill="FFFFFF"/>
          </w:tcPr>
          <w:p>
            <w:pPr>
              <w:spacing w:after="0" w:line="252" w:lineRule="auto"/>
              <w:jc w:val="center"/>
            </w:pPr>
            <w:r>
              <w:rPr>
                <w:sz w:val="20"/>
              </w:rPr>
              <w:t>2033-2034</w:t>
            </w:r>
          </w:p>
        </w:tc>
        <w:tc>
          <w:tcPr>
            <w:tcW w:type="dxa" w:w="2448"/>
            <w:vAlign w:val="center"/>
            <w:tcMar>
              <w:top w:w="100" w:type="dxa"/>
              <w:bottom w:w="100" w:type="dxa"/>
              <w:left w:w="100" w:type="dxa"/>
              <w:right w:w="100" w:type="dxa"/>
            </w:tcMar>
            <w:shd w:fill="FFFFFF"/>
          </w:tcPr>
          <w:p>
            <w:pPr>
              <w:spacing w:after="0" w:line="252" w:lineRule="auto"/>
              <w:jc w:val="center"/>
            </w:pPr>
            <w:r>
              <w:rPr>
                <w:sz w:val="20"/>
              </w:rPr>
              <w:t>3,672,284</w:t>
            </w:r>
          </w:p>
        </w:tc>
        <w:tc>
          <w:tcPr>
            <w:tcW w:type="dxa" w:w="2448"/>
            <w:vAlign w:val="center"/>
            <w:tcMar>
              <w:top w:w="100" w:type="dxa"/>
              <w:bottom w:w="100" w:type="dxa"/>
              <w:left w:w="100" w:type="dxa"/>
              <w:right w:w="100" w:type="dxa"/>
            </w:tcMar>
            <w:shd w:fill="FFFFFF"/>
          </w:tcPr>
          <w:p>
            <w:pPr>
              <w:spacing w:after="0" w:line="252" w:lineRule="auto"/>
              <w:jc w:val="center"/>
            </w:pPr>
            <w:r>
              <w:rPr>
                <w:sz w:val="20"/>
              </w:rPr>
              <w:t>3,822,536</w:t>
            </w:r>
          </w:p>
        </w:tc>
        <w:tc>
          <w:tcPr>
            <w:tcW w:type="dxa" w:w="2448"/>
            <w:vAlign w:val="center"/>
            <w:tcMar>
              <w:top w:w="100" w:type="dxa"/>
              <w:bottom w:w="100" w:type="dxa"/>
              <w:left w:w="100" w:type="dxa"/>
              <w:right w:w="100" w:type="dxa"/>
            </w:tcMar>
            <w:shd w:fill="FFFFFF"/>
          </w:tcPr>
          <w:p>
            <w:pPr>
              <w:spacing w:after="0" w:line="252" w:lineRule="auto"/>
              <w:jc w:val="center"/>
            </w:pPr>
            <w:r>
              <w:rPr>
                <w:sz w:val="20"/>
              </w:rPr>
              <w:t>3,978,140</w:t>
            </w:r>
          </w:p>
        </w:tc>
      </w:tr>
      <w:tr>
        <w:trPr>
          <w:cantSplit/>
        </w:trPr>
        <w:tc>
          <w:tcPr>
            <w:tcW w:type="dxa" w:w="1800"/>
            <w:vAlign w:val="center"/>
            <w:tcMar>
              <w:top w:w="100" w:type="dxa"/>
              <w:bottom w:w="100" w:type="dxa"/>
              <w:left w:w="100" w:type="dxa"/>
              <w:right w:w="100" w:type="dxa"/>
            </w:tcMar>
            <w:shd w:fill="F1F5F7"/>
          </w:tcPr>
          <w:p>
            <w:pPr>
              <w:spacing w:after="0" w:line="252" w:lineRule="auto"/>
              <w:jc w:val="center"/>
            </w:pPr>
            <w:r>
              <w:rPr>
                <w:sz w:val="20"/>
              </w:rPr>
              <w:t>2034-2035</w:t>
            </w:r>
          </w:p>
        </w:tc>
        <w:tc>
          <w:tcPr>
            <w:tcW w:type="dxa" w:w="2448"/>
            <w:vAlign w:val="center"/>
            <w:tcMar>
              <w:top w:w="100" w:type="dxa"/>
              <w:bottom w:w="100" w:type="dxa"/>
              <w:left w:w="100" w:type="dxa"/>
              <w:right w:w="100" w:type="dxa"/>
            </w:tcMar>
            <w:shd w:fill="F1F5F7"/>
          </w:tcPr>
          <w:p>
            <w:pPr>
              <w:spacing w:after="0" w:line="252" w:lineRule="auto"/>
              <w:jc w:val="center"/>
            </w:pPr>
            <w:r>
              <w:rPr>
                <w:sz w:val="20"/>
              </w:rPr>
              <w:t>3,653,922</w:t>
            </w:r>
          </w:p>
        </w:tc>
        <w:tc>
          <w:tcPr>
            <w:tcW w:type="dxa" w:w="2448"/>
            <w:vAlign w:val="center"/>
            <w:tcMar>
              <w:top w:w="100" w:type="dxa"/>
              <w:bottom w:w="100" w:type="dxa"/>
              <w:left w:w="100" w:type="dxa"/>
              <w:right w:w="100" w:type="dxa"/>
            </w:tcMar>
            <w:shd w:fill="F1F5F7"/>
          </w:tcPr>
          <w:p>
            <w:pPr>
              <w:spacing w:after="0" w:line="252" w:lineRule="auto"/>
              <w:jc w:val="center"/>
            </w:pPr>
            <w:r>
              <w:rPr>
                <w:sz w:val="20"/>
              </w:rPr>
              <w:t>3,822,536</w:t>
            </w:r>
          </w:p>
        </w:tc>
        <w:tc>
          <w:tcPr>
            <w:tcW w:type="dxa" w:w="2448"/>
            <w:vAlign w:val="center"/>
            <w:tcMar>
              <w:top w:w="100" w:type="dxa"/>
              <w:bottom w:w="100" w:type="dxa"/>
              <w:left w:w="100" w:type="dxa"/>
              <w:right w:w="100" w:type="dxa"/>
            </w:tcMar>
            <w:shd w:fill="F1F5F7"/>
          </w:tcPr>
          <w:p>
            <w:pPr>
              <w:spacing w:after="0" w:line="252" w:lineRule="auto"/>
              <w:jc w:val="center"/>
            </w:pPr>
            <w:r>
              <w:rPr>
                <w:sz w:val="20"/>
              </w:rPr>
              <w:t>3,998,031</w:t>
            </w:r>
          </w:p>
        </w:tc>
      </w:tr>
    </w:tbl>
    <w:p>
      <w:pPr>
        <w:spacing w:after="40"/>
      </w:pPr>
    </w:p>
    <w:p>
      <w:pPr/>
      <w:r>
        <w:t>Internal transfers are conserved: other domestic learners = 25,910,491 - modeled regional learners. PSO is excluded. The other domestic regions form a pooled counterpart; the model does not identify individual origin or destination counterparts. This is a sensitivity scenario conditional on the assumed rates, not a calibrated migration forecast or a full demographic enrollment projection.</w:t>
      </w:r>
    </w:p>
    <w:p>
      <w:pPr>
        <w:pStyle w:val="Heading1"/>
      </w:pPr>
      <w:r>
        <w:t>Revised conclusion and next steps</w:t>
      </w:r>
    </w:p>
    <w:p>
      <w:pPr/>
      <w:r>
        <w:t>There is usable existing DepEd enrollment/KPI history and PSA migration/population evidence. The remaining task is to align their measures and estimate the learner-specific component, rather than assume data is absent. This run has not confirmed a direct learner origin-destination flow field in the inspected catalog entries; underlying source artifacts and uncatalogued tables remain to be investigated. Missing retrieval does not establish dataset absence.</w:t>
      </w:r>
    </w:p>
    <w:p>
      <w:pPr/>
      <w:r>
        <w:t>For calibration: retrieve the PSA statistical tables, reconcile geographic boundaries and age groups with DepEd enrollment, distinguish commuting from transfers and residential moves, fit the learner-specific component, and evaluate against held-out observations. Climate indicators are needed when estimating climate-related effects. Check whether any adopted PSA projection already includes migration assumptions before adding a separate migration adjustment.</w:t>
      </w:r>
    </w:p>
    <w:p>
      <w:pPr/>
      <w:r>
        <w:t>Calculation citations: calculation.json; observed snapshots: deped-source.json; research provenance: research-evidence.json and research-manifest.json (source filenames and content hashes); arithmetic implementation: scripts/run-migration-agents.mjs. The original LLM explanation is retained separately as a draft in explanation-agent.json; this report replaces its unverified KPI summaries and broad current-policy assertions with snapshot values and bounded evidence.</w:t>
      </w:r>
    </w:p>
    <w:p>
      <w:pPr>
        <w:pStyle w:val="Heading1"/>
      </w:pPr>
      <w:r>
        <w:t>Retrieved source citations</w:t>
      </w:r>
    </w:p>
    <w:p>
      <w:pPr>
        <w:pStyle w:val="ListBullet"/>
        <w:spacing w:after="120"/>
      </w:pPr>
      <w:r>
        <w:t xml:space="preserve">PSA: </w:t>
      </w:r>
      <w:hyperlink r:id="rId9">
        <w:r>
          <w:rPr>
            <w:color w:val="195D86"/>
            <w:u w:val="single"/>
          </w:rPr>
          <w:t>CALABARZON to Retain Top Spot as Most Populous Region Until 2035 | Philippine Statistics Authority</w:t>
        </w:r>
      </w:hyperlink>
    </w:p>
    <w:p>
      <w:pPr>
        <w:pStyle w:val="ListBullet"/>
        <w:spacing w:after="120"/>
      </w:pPr>
      <w:r>
        <w:t xml:space="preserve">PSA: </w:t>
      </w:r>
      <w:hyperlink r:id="rId10">
        <w:r>
          <w:rPr>
            <w:color w:val="195D86"/>
            <w:u w:val="single"/>
          </w:rPr>
          <w:t>Republic of the Philippines</w:t>
        </w:r>
      </w:hyperlink>
    </w:p>
    <w:p>
      <w:pPr>
        <w:pStyle w:val="ListBullet"/>
        <w:spacing w:after="120"/>
      </w:pPr>
      <w:r>
        <w:t xml:space="preserve">PSA: </w:t>
      </w:r>
      <w:hyperlink r:id="rId11">
        <w:r>
          <w:rPr>
            <w:color w:val="195D86"/>
            <w:u w:val="single"/>
          </w:rPr>
          <w:t>TECHNICAL NOTES</w:t>
        </w:r>
      </w:hyperlink>
    </w:p>
    <w:p>
      <w:pPr>
        <w:pStyle w:val="ListBullet"/>
        <w:spacing w:after="120"/>
      </w:pPr>
      <w:r>
        <w:t xml:space="preserve">PSA: </w:t>
      </w:r>
      <w:hyperlink r:id="rId12">
        <w:r>
          <w:rPr>
            <w:color w:val="195D86"/>
            <w:u w:val="single"/>
          </w:rPr>
          <w:t>2020 CENSUS-BASED NATIONAL POPULATION PROJECTIONS</w:t>
        </w:r>
      </w:hyperlink>
    </w:p>
    <w:p>
      <w:pPr>
        <w:pStyle w:val="ListBullet"/>
        <w:spacing w:after="120"/>
      </w:pPr>
      <w:r>
        <w:t xml:space="preserve">PSA: </w:t>
      </w:r>
      <w:hyperlink r:id="rId13">
        <w:r>
          <w:rPr>
            <w:color w:val="195D86"/>
            <w:u w:val="single"/>
          </w:rPr>
          <w:t>2020 Census of Population and Housing (CPH): Migration in CAR | Philippine Statistics Authority</w:t>
        </w:r>
      </w:hyperlink>
    </w:p>
    <w:p>
      <w:pPr>
        <w:pStyle w:val="ListBullet"/>
        <w:spacing w:after="120"/>
      </w:pPr>
      <w:r>
        <w:t xml:space="preserve">BetterGov: </w:t>
      </w:r>
      <w:hyperlink r:id="rId14">
        <w:r>
          <w:rPr>
            <w:color w:val="195D86"/>
            <w:u w:val="single"/>
          </w:rPr>
          <w:t>Philippine statistics, topics &amp; datasets · Philippine Data Explorer</w:t>
        </w:r>
      </w:hyperlink>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sa.gov.ph/content/calabarzon-retain-top-spot-most-populous-region-until-2035?utm_source=openai" TargetMode="External"/><Relationship Id="rId10" Type="http://schemas.openxmlformats.org/officeDocument/2006/relationships/hyperlink" Target="https://psa.gov.ph/system/files/dhsd/Press%20Release%20%282020%20CBPP%20Subnational%29.pdf?utm_source=openai" TargetMode="External"/><Relationship Id="rId11" Type="http://schemas.openxmlformats.org/officeDocument/2006/relationships/hyperlink" Target="https://psa.gov.ph/system/files/dhsd/Technical%20Notes%20%282020%20CBPP%20Subnational%29.pdf?utm_source=openai" TargetMode="External"/><Relationship Id="rId12" Type="http://schemas.openxmlformats.org/officeDocument/2006/relationships/hyperlink" Target="https://psa.gov.ph/sites/default/files/dhsd/Statistical%20Tables%20CBPP_0.pdf?utm_source=openai" TargetMode="External"/><Relationship Id="rId13" Type="http://schemas.openxmlformats.org/officeDocument/2006/relationships/hyperlink" Target="https://rssocar.psa.gov.ph/content/2020-census-population-and-housing-cph-migration-car?utm_source=openai" TargetMode="External"/><Relationship Id="rId14" Type="http://schemas.openxmlformats.org/officeDocument/2006/relationships/hyperlink" Target="https://statistics.bettergov.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learner migration scenario for Region IV A from 2027 to 2035</dc:title>
  <dc:subject>Multiple study migration sensitivity report</dc:subject>
  <dc:creator>Project ATLAS</dc:creator>
  <cp:keywords/>
  <dc:description>generated by python-docx</dc:description>
  <cp:lastModifiedBy/>
  <cp:revision>1</cp:revision>
  <dcterms:created xsi:type="dcterms:W3CDTF">2013-12-23T23:15:00Z</dcterms:created>
  <dcterms:modified xsi:type="dcterms:W3CDTF">2013-12-23T23:15:00Z</dcterms:modified>
  <cp:category/>
</cp:coreProperties>
</file>