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FA4F2" w14:textId="77777777" w:rsidR="00B37FDD" w:rsidRDefault="00B37FDD" w:rsidP="003C30EE">
      <w:pPr>
        <w:jc w:val="center"/>
      </w:pPr>
      <w:r>
        <w:rPr>
          <w:noProof/>
          <w:lang w:eastAsia="es-PE"/>
        </w:rPr>
        <w:drawing>
          <wp:inline distT="0" distB="0" distL="0" distR="0" wp14:anchorId="45BBF334" wp14:editId="566DE9B5">
            <wp:extent cx="1293962" cy="914089"/>
            <wp:effectExtent l="0" t="0" r="1905" b="635"/>
            <wp:docPr id="1" name="Imagen 1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77" cy="9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9C40" w14:textId="6BF98675" w:rsidR="00B37FDD" w:rsidRPr="007E20A2" w:rsidRDefault="00DA2B96" w:rsidP="003C30EE">
      <w:pPr>
        <w:pStyle w:val="Heading1"/>
        <w:jc w:val="center"/>
        <w:rPr>
          <w:sz w:val="22"/>
          <w:szCs w:val="22"/>
        </w:rPr>
      </w:pPr>
      <w:r>
        <w:rPr>
          <w:sz w:val="22"/>
          <w:szCs w:val="22"/>
        </w:rPr>
        <w:t>CALIDAD Y MEJORA DE PROCESOS DE SOFTWARE</w:t>
      </w:r>
      <w:r w:rsidR="00C613BC">
        <w:rPr>
          <w:sz w:val="22"/>
          <w:szCs w:val="22"/>
        </w:rPr>
        <w:t xml:space="preserve"> (SI438)</w:t>
      </w:r>
    </w:p>
    <w:p w14:paraId="20920FE7" w14:textId="48CCEA56" w:rsidR="00B37FDD" w:rsidRPr="007E20A2" w:rsidRDefault="00B37FDD" w:rsidP="003C30EE">
      <w:pPr>
        <w:pStyle w:val="Heading1"/>
        <w:jc w:val="center"/>
        <w:rPr>
          <w:sz w:val="22"/>
          <w:szCs w:val="22"/>
        </w:rPr>
      </w:pPr>
      <w:r w:rsidRPr="007E20A2">
        <w:rPr>
          <w:sz w:val="22"/>
          <w:szCs w:val="22"/>
        </w:rPr>
        <w:t xml:space="preserve">EXAMEN </w:t>
      </w:r>
      <w:r w:rsidR="002F13A4">
        <w:rPr>
          <w:sz w:val="22"/>
          <w:szCs w:val="22"/>
        </w:rPr>
        <w:t>FINAL</w:t>
      </w:r>
    </w:p>
    <w:p w14:paraId="1E78E3CB" w14:textId="38BB81C9" w:rsidR="00B37FDD" w:rsidRPr="007E20A2" w:rsidRDefault="00F61066" w:rsidP="003C30EE">
      <w:pPr>
        <w:pStyle w:val="Heading1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Ciclo </w:t>
      </w:r>
      <w:r w:rsidR="00B37FDD" w:rsidRPr="007E20A2">
        <w:rPr>
          <w:sz w:val="22"/>
          <w:szCs w:val="22"/>
        </w:rPr>
        <w:t>20</w:t>
      </w:r>
      <w:r w:rsidR="004C760C">
        <w:rPr>
          <w:sz w:val="22"/>
          <w:szCs w:val="22"/>
        </w:rPr>
        <w:t>2</w:t>
      </w:r>
      <w:r w:rsidR="00B44B0D">
        <w:rPr>
          <w:sz w:val="22"/>
          <w:szCs w:val="22"/>
        </w:rPr>
        <w:t>4</w:t>
      </w:r>
      <w:r w:rsidR="00B37FDD" w:rsidRPr="007E20A2">
        <w:rPr>
          <w:sz w:val="22"/>
          <w:szCs w:val="22"/>
        </w:rPr>
        <w:t>-0</w:t>
      </w:r>
      <w:r w:rsidR="00665B18">
        <w:rPr>
          <w:sz w:val="22"/>
          <w:szCs w:val="22"/>
        </w:rPr>
        <w:t>2</w:t>
      </w:r>
    </w:p>
    <w:p w14:paraId="1EC7922E" w14:textId="77777777" w:rsidR="00B37FDD" w:rsidRPr="007E20A2" w:rsidRDefault="00B37FDD" w:rsidP="0091791E">
      <w:pPr>
        <w:jc w:val="both"/>
        <w:rPr>
          <w:rFonts w:ascii="Times New Roman" w:hAnsi="Times New Roman" w:cs="Times New Roman"/>
        </w:rPr>
      </w:pPr>
    </w:p>
    <w:p w14:paraId="137CCB4A" w14:textId="693ECB9E" w:rsidR="00C613BC" w:rsidRPr="00382B88" w:rsidRDefault="00C613BC" w:rsidP="00C613BC">
      <w:pPr>
        <w:pStyle w:val="Heading1"/>
        <w:rPr>
          <w:sz w:val="22"/>
          <w:szCs w:val="22"/>
        </w:rPr>
      </w:pPr>
      <w:r w:rsidRPr="00382B88">
        <w:rPr>
          <w:sz w:val="22"/>
          <w:szCs w:val="22"/>
        </w:rPr>
        <w:t xml:space="preserve">Sección: </w:t>
      </w:r>
      <w:r w:rsidRPr="00382B88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B44B0D">
        <w:rPr>
          <w:b w:val="0"/>
          <w:sz w:val="22"/>
          <w:szCs w:val="22"/>
        </w:rPr>
        <w:t>Todas</w:t>
      </w:r>
    </w:p>
    <w:p w14:paraId="2D77F020" w14:textId="17AB486F" w:rsidR="0029780E" w:rsidRDefault="00C613BC" w:rsidP="00C613BC">
      <w:pPr>
        <w:pStyle w:val="Heading1"/>
        <w:rPr>
          <w:b w:val="0"/>
          <w:sz w:val="22"/>
          <w:szCs w:val="22"/>
        </w:rPr>
      </w:pPr>
      <w:r w:rsidRPr="00382B88">
        <w:rPr>
          <w:sz w:val="22"/>
          <w:szCs w:val="22"/>
        </w:rPr>
        <w:t>Profesor</w:t>
      </w:r>
      <w:r w:rsidR="0029780E">
        <w:rPr>
          <w:sz w:val="22"/>
          <w:szCs w:val="22"/>
        </w:rPr>
        <w:t>es</w:t>
      </w:r>
      <w:r w:rsidRPr="00382B88">
        <w:rPr>
          <w:sz w:val="22"/>
          <w:szCs w:val="22"/>
        </w:rPr>
        <w:t>:</w:t>
      </w:r>
      <w:r w:rsidRPr="00382B88">
        <w:rPr>
          <w:sz w:val="22"/>
          <w:szCs w:val="22"/>
        </w:rPr>
        <w:tab/>
      </w:r>
      <w:r>
        <w:rPr>
          <w:b w:val="0"/>
          <w:sz w:val="22"/>
          <w:szCs w:val="22"/>
        </w:rPr>
        <w:t xml:space="preserve">: </w:t>
      </w:r>
      <w:r w:rsidR="00B44B0D">
        <w:rPr>
          <w:b w:val="0"/>
          <w:sz w:val="22"/>
          <w:szCs w:val="22"/>
        </w:rPr>
        <w:t>Bautista Fuentes, Iván</w:t>
      </w:r>
    </w:p>
    <w:p w14:paraId="22952E40" w14:textId="4F8AB76A" w:rsidR="00B44B0D" w:rsidRDefault="0029780E" w:rsidP="00B44B0D">
      <w:pPr>
        <w:pStyle w:val="Heading1"/>
        <w:ind w:left="708" w:firstLine="708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</w:t>
      </w:r>
      <w:r w:rsidR="00B44B0D">
        <w:rPr>
          <w:b w:val="0"/>
          <w:sz w:val="22"/>
          <w:szCs w:val="22"/>
        </w:rPr>
        <w:t>Prialé de la Peña, Mónica</w:t>
      </w:r>
    </w:p>
    <w:p w14:paraId="606FAAC1" w14:textId="57ED2FAA" w:rsidR="00C613BC" w:rsidRPr="00382B88" w:rsidRDefault="00C613BC" w:rsidP="00C613BC">
      <w:pPr>
        <w:rPr>
          <w:rFonts w:ascii="Times New Roman" w:hAnsi="Times New Roman"/>
          <w:b/>
          <w:lang w:val="es-ES" w:eastAsia="es-ES"/>
        </w:rPr>
      </w:pPr>
      <w:r w:rsidRPr="00382B88">
        <w:rPr>
          <w:rFonts w:ascii="Times New Roman" w:hAnsi="Times New Roman"/>
          <w:b/>
          <w:lang w:val="es-ES" w:eastAsia="es-ES"/>
        </w:rPr>
        <w:t>Duración:</w:t>
      </w:r>
      <w:r w:rsidRPr="00382B88">
        <w:rPr>
          <w:rFonts w:ascii="Times New Roman" w:hAnsi="Times New Roman"/>
          <w:b/>
          <w:lang w:val="es-ES" w:eastAsia="es-ES"/>
        </w:rPr>
        <w:tab/>
      </w:r>
      <w:r>
        <w:rPr>
          <w:rFonts w:ascii="Times New Roman" w:eastAsia="Times New Roman" w:hAnsi="Times New Roman"/>
          <w:bCs/>
          <w:lang w:val="es-ES" w:eastAsia="es-ES"/>
        </w:rPr>
        <w:t xml:space="preserve">: </w:t>
      </w:r>
      <w:r w:rsidR="006326D1">
        <w:rPr>
          <w:rFonts w:ascii="Times New Roman" w:eastAsia="Times New Roman" w:hAnsi="Times New Roman"/>
          <w:bCs/>
          <w:lang w:val="es-ES" w:eastAsia="es-ES"/>
        </w:rPr>
        <w:t>11</w:t>
      </w:r>
      <w:r>
        <w:rPr>
          <w:rFonts w:ascii="Times New Roman" w:eastAsia="Times New Roman" w:hAnsi="Times New Roman"/>
          <w:bCs/>
          <w:lang w:val="es-ES" w:eastAsia="es-ES"/>
        </w:rPr>
        <w:t>0 minutos</w:t>
      </w:r>
    </w:p>
    <w:p w14:paraId="2C4E7BDB" w14:textId="39D8356B" w:rsidR="00C613BC" w:rsidRPr="00FE6671" w:rsidRDefault="00C613BC" w:rsidP="00FE6671">
      <w:pPr>
        <w:rPr>
          <w:rFonts w:ascii="Times New Roman" w:hAnsi="Times New Roman"/>
          <w:b/>
        </w:rPr>
      </w:pPr>
      <w:r w:rsidRPr="00382B88">
        <w:rPr>
          <w:rFonts w:ascii="Times New Roman" w:hAnsi="Times New Roman"/>
          <w:b/>
        </w:rPr>
        <w:t>Indicaciones:</w:t>
      </w:r>
    </w:p>
    <w:p w14:paraId="7AC4A180" w14:textId="77777777" w:rsidR="00DE1630" w:rsidRPr="00EA5222" w:rsidRDefault="00DE1630" w:rsidP="00DE1630">
      <w:pPr>
        <w:pStyle w:val="NormalWeb"/>
        <w:numPr>
          <w:ilvl w:val="0"/>
          <w:numId w:val="46"/>
        </w:numPr>
        <w:shd w:val="clear" w:color="auto" w:fill="FFFFFF"/>
        <w:spacing w:after="0" w:line="233" w:lineRule="atLeast"/>
        <w:jc w:val="both"/>
        <w:rPr>
          <w:rFonts w:ascii="Calibri" w:hAnsi="Calibri" w:cs="Calibri"/>
          <w:sz w:val="22"/>
          <w:szCs w:val="22"/>
          <w:bdr w:val="none" w:sz="0" w:space="0" w:color="auto" w:frame="1"/>
        </w:rPr>
      </w:pPr>
      <w:r w:rsidRPr="00EA5222">
        <w:rPr>
          <w:rFonts w:ascii="Calibri" w:hAnsi="Calibri" w:cs="Calibri"/>
          <w:sz w:val="22"/>
          <w:szCs w:val="22"/>
          <w:bdr w:val="none" w:sz="0" w:space="0" w:color="auto" w:frame="1"/>
        </w:rPr>
        <w:t>El examen consta de 11 preguntas, y tendrá 110 minutos para resolverlas.</w:t>
      </w:r>
    </w:p>
    <w:p w14:paraId="6474A28F" w14:textId="42A06A4A" w:rsidR="00DE1630" w:rsidRDefault="004A24D6" w:rsidP="00DE1630">
      <w:pPr>
        <w:pStyle w:val="NormalWeb"/>
        <w:numPr>
          <w:ilvl w:val="0"/>
          <w:numId w:val="46"/>
        </w:numPr>
        <w:shd w:val="clear" w:color="auto" w:fill="FFFFFF"/>
        <w:spacing w:after="0" w:line="233" w:lineRule="atLeast"/>
        <w:jc w:val="both"/>
        <w:rPr>
          <w:rFonts w:ascii="Calibri" w:hAnsi="Calibri" w:cs="Calibri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10</w:t>
      </w:r>
      <w:r w:rsidR="00DE1630" w:rsidRPr="00DA08D5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DE1630" w:rsidRPr="00EA5222">
        <w:rPr>
          <w:rFonts w:ascii="Calibri" w:hAnsi="Calibri" w:cs="Calibri"/>
          <w:sz w:val="22"/>
          <w:szCs w:val="22"/>
          <w:bdr w:val="none" w:sz="0" w:space="0" w:color="auto" w:frame="1"/>
        </w:rPr>
        <w:t>preguntas son tipo teóricas en Blackboard (con una duración de </w:t>
      </w:r>
      <w:r w:rsidR="00DE1630">
        <w:rPr>
          <w:rFonts w:ascii="Calibri" w:hAnsi="Calibri" w:cs="Calibri"/>
          <w:sz w:val="22"/>
          <w:szCs w:val="22"/>
          <w:bdr w:val="none" w:sz="0" w:space="0" w:color="auto" w:frame="1"/>
        </w:rPr>
        <w:t>30</w:t>
      </w:r>
      <w:r w:rsidR="00DE1630" w:rsidRPr="00EA5222">
        <w:rPr>
          <w:rFonts w:ascii="Calibri" w:hAnsi="Calibri" w:cs="Calibri"/>
          <w:sz w:val="22"/>
          <w:szCs w:val="22"/>
          <w:bdr w:val="none" w:sz="0" w:space="0" w:color="auto" w:frame="1"/>
        </w:rPr>
        <w:t> minutos)</w:t>
      </w:r>
      <w:r w:rsidR="00DE1630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 y valen 10 puntos.</w:t>
      </w:r>
      <w:r w:rsidR="00DE1630" w:rsidRPr="00EA5222">
        <w:rPr>
          <w:rFonts w:ascii="Calibri" w:hAnsi="Calibri" w:cs="Calibri"/>
          <w:sz w:val="22"/>
          <w:szCs w:val="22"/>
          <w:bdr w:val="none" w:sz="0" w:space="0" w:color="auto" w:frame="1"/>
        </w:rPr>
        <w:t> </w:t>
      </w:r>
      <w:r w:rsidR="00DE1630">
        <w:rPr>
          <w:rFonts w:ascii="Calibri" w:hAnsi="Calibri" w:cs="Calibri"/>
          <w:sz w:val="22"/>
          <w:szCs w:val="22"/>
          <w:bdr w:val="none" w:sz="0" w:space="0" w:color="auto" w:frame="1"/>
        </w:rPr>
        <w:t>U</w:t>
      </w:r>
      <w:r w:rsidR="00DE1630" w:rsidRPr="00EA5222">
        <w:rPr>
          <w:rFonts w:ascii="Calibri" w:hAnsi="Calibri" w:cs="Calibri"/>
          <w:sz w:val="22"/>
          <w:szCs w:val="22"/>
          <w:bdr w:val="none" w:sz="0" w:space="0" w:color="auto" w:frame="1"/>
        </w:rPr>
        <w:t>na pregunta es un caso para desarrollar</w:t>
      </w:r>
      <w:r w:rsidR="00DE1630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, vale </w:t>
      </w:r>
      <w:r w:rsidR="00DE1630" w:rsidRPr="00EA5222">
        <w:rPr>
          <w:rFonts w:ascii="Calibri" w:hAnsi="Calibri" w:cs="Calibri"/>
          <w:sz w:val="22"/>
          <w:szCs w:val="22"/>
          <w:bdr w:val="none" w:sz="0" w:space="0" w:color="auto" w:frame="1"/>
        </w:rPr>
        <w:t>10 puntos</w:t>
      </w:r>
      <w:r w:rsidR="00DE1630">
        <w:rPr>
          <w:rFonts w:ascii="Calibri" w:hAnsi="Calibri" w:cs="Calibri"/>
          <w:sz w:val="22"/>
          <w:szCs w:val="22"/>
          <w:bdr w:val="none" w:sz="0" w:space="0" w:color="auto" w:frame="1"/>
        </w:rPr>
        <w:t>,</w:t>
      </w:r>
      <w:r w:rsidR="00DE1630" w:rsidRPr="00EA5222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 con una duración de 8</w:t>
      </w:r>
      <w:r w:rsidR="00DE1630">
        <w:rPr>
          <w:rFonts w:ascii="Calibri" w:hAnsi="Calibri" w:cs="Calibri"/>
          <w:sz w:val="22"/>
          <w:szCs w:val="22"/>
          <w:bdr w:val="none" w:sz="0" w:space="0" w:color="auto" w:frame="1"/>
        </w:rPr>
        <w:t>0</w:t>
      </w:r>
      <w:r w:rsidR="00DE1630" w:rsidRPr="00EA5222">
        <w:rPr>
          <w:rFonts w:ascii="Calibri" w:hAnsi="Calibri" w:cs="Calibri"/>
          <w:sz w:val="22"/>
          <w:szCs w:val="22"/>
          <w:bdr w:val="none" w:sz="0" w:space="0" w:color="auto" w:frame="1"/>
        </w:rPr>
        <w:t xml:space="preserve"> minutos, la entrega de su respuesta es a través de una actividad en Blackboard.</w:t>
      </w:r>
    </w:p>
    <w:p w14:paraId="698D39EA" w14:textId="2D411D7E" w:rsidR="00DE1630" w:rsidRPr="00D32BE3" w:rsidRDefault="00DE1630" w:rsidP="00DE1630">
      <w:pPr>
        <w:pStyle w:val="NormalWeb"/>
        <w:numPr>
          <w:ilvl w:val="0"/>
          <w:numId w:val="46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32BE3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U</w:t>
      </w:r>
      <w:r w:rsidRPr="00D32BE3">
        <w:rPr>
          <w:rFonts w:asciiTheme="minorHAnsi" w:hAnsiTheme="minorHAnsi" w:cstheme="minorHAnsi"/>
          <w:b/>
          <w:bCs/>
          <w:sz w:val="22"/>
          <w:szCs w:val="22"/>
        </w:rPr>
        <w:t>tilice el siguiente formato para el nombre del archivo Word que deberá enviar como respuesta al caso: upc-pre-202</w:t>
      </w:r>
      <w:r w:rsidR="00B44B0D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Pr="00D32BE3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B44B0D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D32BE3">
        <w:rPr>
          <w:rFonts w:asciiTheme="minorHAnsi" w:hAnsiTheme="minorHAnsi" w:cstheme="minorHAnsi"/>
          <w:b/>
          <w:bCs/>
          <w:sz w:val="22"/>
          <w:szCs w:val="22"/>
        </w:rPr>
        <w:t>-si438-examen-</w:t>
      </w:r>
      <w:r>
        <w:rPr>
          <w:rFonts w:asciiTheme="minorHAnsi" w:hAnsiTheme="minorHAnsi" w:cstheme="minorHAnsi"/>
          <w:b/>
          <w:bCs/>
          <w:sz w:val="22"/>
          <w:szCs w:val="22"/>
        </w:rPr>
        <w:t>final</w:t>
      </w:r>
      <w:r w:rsidRPr="00D32BE3">
        <w:rPr>
          <w:rFonts w:asciiTheme="minorHAnsi" w:hAnsiTheme="minorHAnsi" w:cstheme="minorHAnsi"/>
          <w:b/>
          <w:bCs/>
          <w:sz w:val="22"/>
          <w:szCs w:val="22"/>
        </w:rPr>
        <w:t>-nombres_apellidos.docx.</w:t>
      </w:r>
      <w:r w:rsidRPr="00D32BE3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</w:t>
      </w:r>
    </w:p>
    <w:p w14:paraId="079E0BB8" w14:textId="071B7F43" w:rsidR="00C613BC" w:rsidRPr="00597EC3" w:rsidRDefault="00C613BC" w:rsidP="00597EC3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597EC3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Cada examen cuenta con un equipo académico, el cual estará conectado durante los primeros 15 minutos del examen.</w:t>
      </w:r>
    </w:p>
    <w:p w14:paraId="1361D10B" w14:textId="44EDE9CF" w:rsidR="00C613BC" w:rsidRDefault="00C613BC" w:rsidP="00597EC3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El alumno debe dedicar los primeros 15 minutos a revisar las preguntas del examen y de presentarse alguna duda enviar un correo al profesor</w:t>
      </w:r>
    </w:p>
    <w:p w14:paraId="6ACD4322" w14:textId="23DBD908" w:rsidR="00F675FF" w:rsidRPr="00F675FF" w:rsidRDefault="00F675FF" w:rsidP="00F675FF">
      <w:pPr>
        <w:pStyle w:val="NormalWeb"/>
        <w:shd w:val="clear" w:color="auto" w:fill="FFFFFF"/>
        <w:spacing w:before="0" w:beforeAutospacing="0" w:after="0" w:afterAutospacing="0" w:line="233" w:lineRule="atLeast"/>
        <w:ind w:left="780"/>
        <w:jc w:val="both"/>
        <w:rPr>
          <w:rFonts w:ascii="Calibri" w:hAnsi="Calibri" w:cs="Calibri"/>
          <w:i/>
          <w:iCs/>
          <w:color w:val="201F1E"/>
          <w:sz w:val="22"/>
          <w:szCs w:val="22"/>
        </w:rPr>
      </w:pPr>
      <w:r w:rsidRPr="00F675FF">
        <w:rPr>
          <w:rFonts w:ascii="Calibri" w:hAnsi="Calibri" w:cs="Calibri"/>
          <w:i/>
          <w:iCs/>
          <w:color w:val="201F1E"/>
          <w:sz w:val="22"/>
          <w:szCs w:val="22"/>
        </w:rPr>
        <w:t>Jorge Mayta, correo pcsijmay@upc.edu.pe</w:t>
      </w:r>
    </w:p>
    <w:p w14:paraId="3BC199BF" w14:textId="4421C892" w:rsidR="00C613BC" w:rsidRDefault="00C613BC" w:rsidP="00597EC3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De no recibir respuesta del equipo académico, o tener algún inconveniente adicional pasado los primeros 15 minutos, puede comunicarse con el profesor</w:t>
      </w:r>
      <w:r w:rsidR="00F675FF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:</w:t>
      </w:r>
    </w:p>
    <w:p w14:paraId="442ED393" w14:textId="44628923" w:rsidR="00F675FF" w:rsidRPr="00F675FF" w:rsidRDefault="00F675FF" w:rsidP="00F675FF">
      <w:pPr>
        <w:pStyle w:val="NormalWeb"/>
        <w:shd w:val="clear" w:color="auto" w:fill="FFFFFF"/>
        <w:spacing w:before="0" w:beforeAutospacing="0" w:after="0" w:afterAutospacing="0" w:line="233" w:lineRule="atLeast"/>
        <w:ind w:left="780"/>
        <w:jc w:val="both"/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</w:pPr>
      <w:r w:rsidRPr="00F675FF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 xml:space="preserve">Mónica Prialé, correo </w:t>
      </w:r>
      <w:r w:rsidR="00F03797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>pcsimpri</w:t>
      </w:r>
      <w:r w:rsidRPr="00F675FF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>@upc.edu.pe</w:t>
      </w:r>
    </w:p>
    <w:p w14:paraId="0D33F773" w14:textId="3C607EE0" w:rsidR="00C613BC" w:rsidRPr="00597EC3" w:rsidRDefault="00C613BC" w:rsidP="00597EC3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597EC3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Los profesores en </w:t>
      </w:r>
      <w:r w:rsidR="00F675FF" w:rsidRPr="00597EC3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mención</w:t>
      </w:r>
      <w:r w:rsidRPr="00597EC3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solo recibirán correos provenientes de las cuentas UPC, de ninguna manera se recibirán correos de cuentas públicas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.</w:t>
      </w:r>
    </w:p>
    <w:p w14:paraId="6AA98A5E" w14:textId="7CF9BEE3" w:rsidR="00F675FF" w:rsidRPr="00F675FF" w:rsidRDefault="00F675FF" w:rsidP="00F675FF">
      <w:pPr>
        <w:pStyle w:val="NormalWeb"/>
        <w:numPr>
          <w:ilvl w:val="0"/>
          <w:numId w:val="46"/>
        </w:numPr>
        <w:shd w:val="clear" w:color="auto" w:fill="FFFFFF"/>
        <w:spacing w:after="0" w:line="233" w:lineRule="atLeast"/>
        <w:jc w:val="both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F675FF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Tener en cuenta que, ya terminado el estado de emergencia, no hay la posibilidad de tomar exámenes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</w:t>
      </w:r>
      <w:r w:rsidRPr="00F675FF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adicionales y, un alumno que pierde el examen por problemas </w:t>
      </w:r>
      <w:r w:rsidR="00B44B0D" w:rsidRPr="00F675FF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técnicos</w:t>
      </w:r>
      <w:r w:rsidRPr="00F675FF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deberá realizar el proceso de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</w:t>
      </w:r>
      <w:r w:rsidRPr="00F675FF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recuperación formal</w:t>
      </w:r>
    </w:p>
    <w:p w14:paraId="52F63143" w14:textId="77777777" w:rsidR="008F09A1" w:rsidRPr="00A34556" w:rsidRDefault="008F09A1" w:rsidP="0091791E">
      <w:pPr>
        <w:pStyle w:val="ListParagraph"/>
        <w:spacing w:after="0" w:line="240" w:lineRule="auto"/>
        <w:ind w:left="360"/>
        <w:jc w:val="both"/>
        <w:rPr>
          <w:rFonts w:cs="Times New Roman"/>
        </w:rPr>
      </w:pPr>
    </w:p>
    <w:p w14:paraId="49CCACAF" w14:textId="1D28F030" w:rsidR="00230A8C" w:rsidRPr="00A34556" w:rsidRDefault="00230A8C" w:rsidP="0091791E">
      <w:pPr>
        <w:spacing w:after="0" w:line="240" w:lineRule="auto"/>
        <w:jc w:val="both"/>
        <w:rPr>
          <w:rFonts w:cs="Arial"/>
        </w:rPr>
      </w:pPr>
      <w:r w:rsidRPr="00A34556">
        <w:rPr>
          <w:rFonts w:cs="Arial"/>
        </w:rPr>
        <w:t>________________________________________________________________</w:t>
      </w:r>
      <w:r w:rsidR="0077012B" w:rsidRPr="00A34556">
        <w:rPr>
          <w:rFonts w:cs="Arial"/>
        </w:rPr>
        <w:t>______________</w:t>
      </w:r>
      <w:r w:rsidR="007E7252">
        <w:rPr>
          <w:rFonts w:cs="Arial"/>
        </w:rPr>
        <w:t>_________</w:t>
      </w:r>
    </w:p>
    <w:p w14:paraId="4C098B24" w14:textId="77777777" w:rsidR="008F09A1" w:rsidRPr="00A34556" w:rsidRDefault="008F09A1" w:rsidP="0091791E">
      <w:pPr>
        <w:spacing w:after="0" w:line="240" w:lineRule="auto"/>
        <w:jc w:val="both"/>
        <w:rPr>
          <w:rFonts w:cs="Arial"/>
        </w:rPr>
      </w:pPr>
    </w:p>
    <w:p w14:paraId="6E657D59" w14:textId="77777777" w:rsidR="006326D1" w:rsidRDefault="006326D1">
      <w:pPr>
        <w:rPr>
          <w:b/>
          <w:noProof/>
          <w:u w:val="single"/>
          <w:lang w:eastAsia="es-ES"/>
        </w:rPr>
      </w:pPr>
      <w:r>
        <w:rPr>
          <w:b/>
          <w:noProof/>
          <w:u w:val="single"/>
          <w:lang w:eastAsia="es-ES"/>
        </w:rPr>
        <w:br w:type="page"/>
      </w:r>
    </w:p>
    <w:p w14:paraId="5F948171" w14:textId="77777777" w:rsidR="00DE1630" w:rsidRPr="002051E0" w:rsidRDefault="00DE1630" w:rsidP="00DE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</w:rPr>
      </w:pPr>
      <w:r w:rsidRPr="002051E0">
        <w:rPr>
          <w:rFonts w:ascii="Arial" w:hAnsi="Arial" w:cs="Arial"/>
          <w:b/>
          <w:bCs/>
        </w:rPr>
        <w:lastRenderedPageBreak/>
        <w:t>2da PARTE</w:t>
      </w:r>
    </w:p>
    <w:p w14:paraId="5F36C236" w14:textId="77777777" w:rsidR="00DE1630" w:rsidRPr="009E2CD0" w:rsidRDefault="00DE1630" w:rsidP="00DE1630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cs="Calibri"/>
          <w:color w:val="242424"/>
          <w:sz w:val="22"/>
          <w:szCs w:val="22"/>
        </w:rPr>
      </w:pPr>
    </w:p>
    <w:p w14:paraId="52C57C9D" w14:textId="77777777" w:rsidR="00DE1630" w:rsidRPr="00EA5222" w:rsidRDefault="00DE1630" w:rsidP="00DE1630">
      <w:pPr>
        <w:spacing w:after="0" w:line="240" w:lineRule="auto"/>
        <w:rPr>
          <w:rFonts w:ascii="Arial" w:hAnsi="Arial" w:cs="Arial"/>
        </w:rPr>
      </w:pPr>
    </w:p>
    <w:p w14:paraId="7D4A7B8F" w14:textId="77777777" w:rsidR="00DE1630" w:rsidRDefault="00DE1630" w:rsidP="008179EC">
      <w:pPr>
        <w:tabs>
          <w:tab w:val="left" w:pos="426"/>
        </w:tabs>
        <w:spacing w:after="0" w:line="240" w:lineRule="auto"/>
        <w:jc w:val="both"/>
        <w:textAlignment w:val="baseline"/>
        <w:rPr>
          <w:b/>
          <w:noProof/>
          <w:u w:val="single"/>
          <w:lang w:val="es-ES" w:eastAsia="es-ES"/>
        </w:rPr>
      </w:pPr>
      <w:r>
        <w:rPr>
          <w:b/>
          <w:noProof/>
          <w:u w:val="single"/>
          <w:lang w:val="es-ES" w:eastAsia="es-ES"/>
        </w:rPr>
        <w:t xml:space="preserve">CASO PRÁCTICO </w:t>
      </w:r>
    </w:p>
    <w:p w14:paraId="119B34A0" w14:textId="77777777" w:rsidR="00DE1630" w:rsidRDefault="00DE1630" w:rsidP="008179EC">
      <w:pPr>
        <w:tabs>
          <w:tab w:val="left" w:pos="426"/>
        </w:tabs>
        <w:spacing w:after="0" w:line="240" w:lineRule="auto"/>
        <w:jc w:val="both"/>
        <w:textAlignment w:val="baseline"/>
        <w:rPr>
          <w:b/>
          <w:szCs w:val="18"/>
        </w:rPr>
      </w:pPr>
    </w:p>
    <w:p w14:paraId="14C86050" w14:textId="7AB822E6" w:rsidR="006B6B59" w:rsidRDefault="006B6B59" w:rsidP="008179EC">
      <w:pPr>
        <w:tabs>
          <w:tab w:val="left" w:pos="426"/>
        </w:tabs>
        <w:spacing w:after="0" w:line="240" w:lineRule="auto"/>
        <w:jc w:val="both"/>
        <w:textAlignment w:val="baseline"/>
        <w:rPr>
          <w:b/>
          <w:szCs w:val="18"/>
        </w:rPr>
      </w:pPr>
      <w:r>
        <w:rPr>
          <w:b/>
          <w:szCs w:val="18"/>
        </w:rPr>
        <w:t xml:space="preserve">Para el </w:t>
      </w:r>
      <w:r w:rsidR="00194A72">
        <w:rPr>
          <w:b/>
          <w:szCs w:val="18"/>
        </w:rPr>
        <w:t>caso presentado</w:t>
      </w:r>
      <w:r>
        <w:rPr>
          <w:b/>
          <w:szCs w:val="18"/>
        </w:rPr>
        <w:t xml:space="preserve">, </w:t>
      </w:r>
      <w:r w:rsidR="00690537">
        <w:rPr>
          <w:b/>
          <w:szCs w:val="18"/>
        </w:rPr>
        <w:t xml:space="preserve">desarrolle las tres preguntas </w:t>
      </w:r>
      <w:r w:rsidR="00194A72">
        <w:rPr>
          <w:b/>
          <w:szCs w:val="18"/>
        </w:rPr>
        <w:t>siguientes</w:t>
      </w:r>
      <w:r>
        <w:rPr>
          <w:b/>
          <w:szCs w:val="18"/>
        </w:rPr>
        <w:t>:</w:t>
      </w:r>
    </w:p>
    <w:p w14:paraId="0678D7B6" w14:textId="77777777" w:rsidR="007A6755" w:rsidRDefault="007A6755" w:rsidP="008179EC">
      <w:pPr>
        <w:tabs>
          <w:tab w:val="left" w:pos="426"/>
        </w:tabs>
        <w:spacing w:after="0" w:line="240" w:lineRule="auto"/>
        <w:jc w:val="both"/>
        <w:textAlignment w:val="baseline"/>
        <w:rPr>
          <w:b/>
          <w:szCs w:val="18"/>
        </w:rPr>
      </w:pPr>
    </w:p>
    <w:p w14:paraId="46194238" w14:textId="3101B618" w:rsidR="00BE189C" w:rsidRDefault="00BE189C" w:rsidP="00BE189C">
      <w:pPr>
        <w:tabs>
          <w:tab w:val="left" w:pos="426"/>
        </w:tabs>
        <w:spacing w:after="0" w:line="240" w:lineRule="auto"/>
        <w:jc w:val="both"/>
        <w:textAlignment w:val="baseline"/>
        <w:rPr>
          <w:noProof/>
          <w:lang w:eastAsia="es-ES"/>
        </w:rPr>
      </w:pPr>
      <w:r>
        <w:rPr>
          <w:noProof/>
          <w:lang w:eastAsia="es-ES"/>
        </w:rPr>
        <w:t>En ese contexto la Gerencia General le ha solicitado desarrollar lo siguiente:</w:t>
      </w:r>
    </w:p>
    <w:p w14:paraId="283C07F8" w14:textId="77777777" w:rsidR="00377E3C" w:rsidRDefault="00377E3C" w:rsidP="008179EC">
      <w:pPr>
        <w:tabs>
          <w:tab w:val="left" w:pos="426"/>
        </w:tabs>
        <w:spacing w:after="0" w:line="240" w:lineRule="auto"/>
        <w:jc w:val="both"/>
        <w:textAlignment w:val="baseline"/>
        <w:rPr>
          <w:noProof/>
          <w:lang w:eastAsia="es-ES"/>
        </w:rPr>
      </w:pPr>
    </w:p>
    <w:p w14:paraId="1CCB8DF5" w14:textId="42D997A8" w:rsidR="00AA0134" w:rsidRDefault="00AA0134" w:rsidP="008179EC">
      <w:pPr>
        <w:pStyle w:val="ListParagraph"/>
        <w:numPr>
          <w:ilvl w:val="0"/>
          <w:numId w:val="48"/>
        </w:numPr>
        <w:tabs>
          <w:tab w:val="left" w:pos="426"/>
        </w:tabs>
        <w:spacing w:after="0" w:line="240" w:lineRule="auto"/>
        <w:jc w:val="both"/>
        <w:textAlignment w:val="baseline"/>
        <w:rPr>
          <w:noProof/>
          <w:lang w:eastAsia="es-ES"/>
        </w:rPr>
      </w:pPr>
      <w:r w:rsidRPr="00690537">
        <w:rPr>
          <w:b/>
          <w:bCs/>
          <w:noProof/>
          <w:lang w:eastAsia="es-ES"/>
        </w:rPr>
        <w:t>Que describa 4 áreas de práctica del CMMI</w:t>
      </w:r>
      <w:r w:rsidR="001453CF" w:rsidRPr="00690537">
        <w:rPr>
          <w:b/>
          <w:bCs/>
          <w:noProof/>
          <w:lang w:eastAsia="es-ES"/>
        </w:rPr>
        <w:t xml:space="preserve"> versión 2.0</w:t>
      </w:r>
      <w:r w:rsidR="001453CF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que pueden ser aplicados en esta organización</w:t>
      </w:r>
      <w:r w:rsidR="00377E3C">
        <w:rPr>
          <w:noProof/>
          <w:lang w:eastAsia="es-ES"/>
        </w:rPr>
        <w:t>. S</w:t>
      </w:r>
      <w:r>
        <w:rPr>
          <w:noProof/>
          <w:lang w:eastAsia="es-ES"/>
        </w:rPr>
        <w:t>ustente su respuesta en base al caso y al modelo CMMI (mencione las prácticas asociadas).</w:t>
      </w:r>
    </w:p>
    <w:p w14:paraId="0C021CC9" w14:textId="77777777" w:rsidR="00AA0134" w:rsidRDefault="00AA0134" w:rsidP="008179EC">
      <w:pPr>
        <w:pStyle w:val="ListParagraph"/>
        <w:tabs>
          <w:tab w:val="left" w:pos="426"/>
        </w:tabs>
        <w:spacing w:after="0" w:line="240" w:lineRule="auto"/>
        <w:ind w:left="360"/>
        <w:jc w:val="both"/>
        <w:textAlignment w:val="baseline"/>
        <w:rPr>
          <w:noProof/>
          <w:lang w:eastAsia="es-ES"/>
        </w:rPr>
      </w:pPr>
    </w:p>
    <w:p w14:paraId="37DD20E7" w14:textId="77777777" w:rsidR="00AA0134" w:rsidRDefault="00AA0134" w:rsidP="008179EC">
      <w:pPr>
        <w:pStyle w:val="ListParagraph"/>
        <w:tabs>
          <w:tab w:val="left" w:pos="426"/>
        </w:tabs>
        <w:spacing w:after="0" w:line="240" w:lineRule="auto"/>
        <w:ind w:left="360"/>
        <w:jc w:val="both"/>
        <w:textAlignment w:val="baseline"/>
        <w:rPr>
          <w:noProof/>
          <w:lang w:eastAsia="es-E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3"/>
        <w:gridCol w:w="2123"/>
        <w:gridCol w:w="3120"/>
        <w:gridCol w:w="2268"/>
      </w:tblGrid>
      <w:tr w:rsidR="006C3DE9" w14:paraId="5A815960" w14:textId="77777777" w:rsidTr="008179EC">
        <w:tc>
          <w:tcPr>
            <w:tcW w:w="2123" w:type="dxa"/>
          </w:tcPr>
          <w:p w14:paraId="69B72CEA" w14:textId="77777777" w:rsidR="006C3DE9" w:rsidRPr="00E56004" w:rsidRDefault="006C3DE9" w:rsidP="008179EC">
            <w:pPr>
              <w:jc w:val="both"/>
              <w:rPr>
                <w:b/>
                <w:bCs/>
              </w:rPr>
            </w:pPr>
            <w:r w:rsidRPr="00E56004">
              <w:rPr>
                <w:b/>
                <w:bCs/>
              </w:rPr>
              <w:t>Área de Práctica</w:t>
            </w:r>
          </w:p>
        </w:tc>
        <w:tc>
          <w:tcPr>
            <w:tcW w:w="2123" w:type="dxa"/>
          </w:tcPr>
          <w:p w14:paraId="334305B8" w14:textId="77777777" w:rsidR="006C3DE9" w:rsidRPr="00E56004" w:rsidRDefault="006C3DE9" w:rsidP="008179EC">
            <w:pPr>
              <w:jc w:val="both"/>
              <w:rPr>
                <w:b/>
                <w:bCs/>
              </w:rPr>
            </w:pPr>
            <w:r w:rsidRPr="00E56004">
              <w:rPr>
                <w:b/>
                <w:bCs/>
              </w:rPr>
              <w:t>Prácticas</w:t>
            </w:r>
          </w:p>
        </w:tc>
        <w:tc>
          <w:tcPr>
            <w:tcW w:w="3120" w:type="dxa"/>
          </w:tcPr>
          <w:p w14:paraId="2D3F2F39" w14:textId="77777777" w:rsidR="006C3DE9" w:rsidRPr="00E56004" w:rsidRDefault="006C3DE9" w:rsidP="008179EC">
            <w:pPr>
              <w:jc w:val="both"/>
              <w:rPr>
                <w:b/>
                <w:bCs/>
              </w:rPr>
            </w:pPr>
            <w:r w:rsidRPr="00E56004">
              <w:rPr>
                <w:b/>
                <w:bCs/>
              </w:rPr>
              <w:t>Sustento CMMI</w:t>
            </w:r>
          </w:p>
        </w:tc>
        <w:tc>
          <w:tcPr>
            <w:tcW w:w="2268" w:type="dxa"/>
          </w:tcPr>
          <w:p w14:paraId="6C036D34" w14:textId="77777777" w:rsidR="006C3DE9" w:rsidRPr="00E56004" w:rsidRDefault="006C3DE9" w:rsidP="008179EC">
            <w:pPr>
              <w:jc w:val="both"/>
              <w:rPr>
                <w:b/>
                <w:bCs/>
              </w:rPr>
            </w:pPr>
            <w:r w:rsidRPr="00E56004">
              <w:rPr>
                <w:b/>
                <w:bCs/>
              </w:rPr>
              <w:t>Logro esperado</w:t>
            </w:r>
          </w:p>
        </w:tc>
      </w:tr>
      <w:tr w:rsidR="006C3DE9" w14:paraId="71F34243" w14:textId="77777777" w:rsidTr="008179EC">
        <w:tc>
          <w:tcPr>
            <w:tcW w:w="2123" w:type="dxa"/>
          </w:tcPr>
          <w:p w14:paraId="78E4B559" w14:textId="5ED25113" w:rsidR="006C3DE9" w:rsidRPr="008179EC" w:rsidRDefault="00540454" w:rsidP="00540454">
            <w:pPr>
              <w:rPr>
                <w:rFonts w:cstheme="minorHAnsi"/>
              </w:rPr>
            </w:pPr>
            <w:r>
              <w:rPr>
                <w:rFonts w:cstheme="minorHAnsi"/>
              </w:rPr>
              <w:t>Gestión de configuración</w:t>
            </w:r>
          </w:p>
        </w:tc>
        <w:tc>
          <w:tcPr>
            <w:tcW w:w="2123" w:type="dxa"/>
          </w:tcPr>
          <w:p w14:paraId="790E2312" w14:textId="63380AC3" w:rsidR="006C3DE9" w:rsidRPr="008179EC" w:rsidRDefault="00540454" w:rsidP="0054045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Identifica, controla y realiza auditorias en la configuración de los sistemas y aplicaciones Cloud.</w:t>
            </w:r>
          </w:p>
        </w:tc>
        <w:tc>
          <w:tcPr>
            <w:tcW w:w="3120" w:type="dxa"/>
          </w:tcPr>
          <w:p w14:paraId="2E64609A" w14:textId="7595BD6E" w:rsidR="006C3DE9" w:rsidRPr="008179EC" w:rsidRDefault="00421B56" w:rsidP="0054045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892600">
              <w:rPr>
                <w:rFonts w:cstheme="minorHAnsi"/>
              </w:rPr>
              <w:t xml:space="preserve">sta área </w:t>
            </w:r>
            <w:r w:rsidR="00892600" w:rsidRPr="00892600">
              <w:rPr>
                <w:rFonts w:cstheme="minorHAnsi"/>
              </w:rPr>
              <w:t>garantiza la capacidad de respuesta ante cambios y reduce el impacto en la operación, asegurando la estabilidad de las soluciones cloud en entornos dinámicos.</w:t>
            </w:r>
          </w:p>
        </w:tc>
        <w:tc>
          <w:tcPr>
            <w:tcW w:w="2268" w:type="dxa"/>
          </w:tcPr>
          <w:p w14:paraId="5BDABF8C" w14:textId="393FB10F" w:rsidR="006C3DE9" w:rsidRPr="008179EC" w:rsidRDefault="00540454" w:rsidP="00540454">
            <w:pPr>
              <w:rPr>
                <w:rFonts w:cstheme="minorHAnsi"/>
              </w:rPr>
            </w:pPr>
            <w:r>
              <w:rPr>
                <w:rFonts w:cstheme="minorHAnsi"/>
              </w:rPr>
              <w:t>Tener una plataforma cloud alineada con los estándares definidos para asegurar la escalabilidad de las aplicaciones.</w:t>
            </w:r>
          </w:p>
        </w:tc>
      </w:tr>
      <w:tr w:rsidR="006C3DE9" w14:paraId="4EE295DF" w14:textId="77777777" w:rsidTr="008179EC">
        <w:tc>
          <w:tcPr>
            <w:tcW w:w="2123" w:type="dxa"/>
          </w:tcPr>
          <w:p w14:paraId="1C41ED77" w14:textId="0061930B" w:rsidR="006C3DE9" w:rsidRPr="008179EC" w:rsidRDefault="00540454" w:rsidP="00540454">
            <w:pPr>
              <w:rPr>
                <w:rFonts w:cstheme="minorHAnsi"/>
              </w:rPr>
            </w:pPr>
            <w:r>
              <w:rPr>
                <w:rFonts w:cstheme="minorHAnsi"/>
              </w:rPr>
              <w:t>Gestión de riesgos</w:t>
            </w:r>
          </w:p>
        </w:tc>
        <w:tc>
          <w:tcPr>
            <w:tcW w:w="2123" w:type="dxa"/>
          </w:tcPr>
          <w:p w14:paraId="283FC214" w14:textId="59E11D42" w:rsidR="006C3DE9" w:rsidRPr="008179EC" w:rsidRDefault="00540454" w:rsidP="0054045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Identifica los riesgos relacionados con la seguridad, evaluar su impacto e implementa planes de mitigación </w:t>
            </w:r>
          </w:p>
        </w:tc>
        <w:tc>
          <w:tcPr>
            <w:tcW w:w="3120" w:type="dxa"/>
          </w:tcPr>
          <w:p w14:paraId="300AD5C1" w14:textId="41CA5B43" w:rsidR="006C3DE9" w:rsidRPr="008179EC" w:rsidRDefault="00892600" w:rsidP="0054045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uso de CMMI </w:t>
            </w:r>
            <w:r w:rsidRPr="00892600">
              <w:rPr>
                <w:rFonts w:cstheme="minorHAnsi"/>
              </w:rPr>
              <w:t>permite a las organizaciones identificar y abordar proactivamente las amenazas en entornos cloud, apoyando la toma de decisiones estratégicas y evitando interrupciones significativas.</w:t>
            </w:r>
          </w:p>
        </w:tc>
        <w:tc>
          <w:tcPr>
            <w:tcW w:w="2268" w:type="dxa"/>
          </w:tcPr>
          <w:p w14:paraId="2AB723BB" w14:textId="7351685D" w:rsidR="006C3DE9" w:rsidRPr="00540454" w:rsidRDefault="00540454" w:rsidP="00540454">
            <w:pPr>
              <w:rPr>
                <w:rFonts w:cstheme="minorHAnsi"/>
              </w:rPr>
            </w:pPr>
            <w:r>
              <w:rPr>
                <w:rFonts w:cstheme="minorHAnsi"/>
              </w:rPr>
              <w:t>Mitigación de riesgos críticos que puedan afectar la seguridad y desempeño de los recursos.</w:t>
            </w:r>
          </w:p>
        </w:tc>
      </w:tr>
      <w:tr w:rsidR="006C3DE9" w14:paraId="27A3CF6F" w14:textId="77777777" w:rsidTr="008179EC">
        <w:tc>
          <w:tcPr>
            <w:tcW w:w="2123" w:type="dxa"/>
          </w:tcPr>
          <w:p w14:paraId="659C7D27" w14:textId="4C10FBB0" w:rsidR="006C3DE9" w:rsidRPr="008179EC" w:rsidRDefault="00892600" w:rsidP="0054045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Gestión de desarrollo de </w:t>
            </w:r>
            <w:r w:rsidR="00FA1AA6" w:rsidRPr="00321898">
              <w:t>requerimientos</w:t>
            </w:r>
          </w:p>
        </w:tc>
        <w:tc>
          <w:tcPr>
            <w:tcW w:w="2123" w:type="dxa"/>
          </w:tcPr>
          <w:p w14:paraId="3F7A25A6" w14:textId="5558CB60" w:rsidR="006C3DE9" w:rsidRPr="008179EC" w:rsidRDefault="00421B56" w:rsidP="0054045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Recopilar y analizar los </w:t>
            </w:r>
            <w:r w:rsidR="00FA1AA6" w:rsidRPr="00321898">
              <w:t xml:space="preserve">requerimientos </w:t>
            </w:r>
            <w:r>
              <w:rPr>
                <w:rFonts w:cstheme="minorHAnsi"/>
              </w:rPr>
              <w:t>del negocio, validar y priorizarlos para asegurar la trazabilidad entre estos.</w:t>
            </w:r>
          </w:p>
        </w:tc>
        <w:tc>
          <w:tcPr>
            <w:tcW w:w="3120" w:type="dxa"/>
          </w:tcPr>
          <w:p w14:paraId="4C031B09" w14:textId="281B8176" w:rsidR="006C3DE9" w:rsidRPr="008179EC" w:rsidRDefault="00421B56" w:rsidP="00540454">
            <w:pPr>
              <w:spacing w:after="160" w:line="259" w:lineRule="auto"/>
              <w:rPr>
                <w:rFonts w:cstheme="minorHAnsi"/>
              </w:rPr>
            </w:pPr>
            <w:r w:rsidRPr="00421B56">
              <w:rPr>
                <w:rFonts w:cstheme="minorHAnsi"/>
              </w:rPr>
              <w:t>CMMI fomenta un enfoque sistemático para gestionar requerimientos y alinear soluciones con los objetivos de negocio. Esto asegura que las necesidades de los stakeholders sean identificadas y cubiertas, evitando desviaciones que puedan impactar el valor entregado.</w:t>
            </w:r>
          </w:p>
        </w:tc>
        <w:tc>
          <w:tcPr>
            <w:tcW w:w="2268" w:type="dxa"/>
          </w:tcPr>
          <w:p w14:paraId="2E30F7EB" w14:textId="0412B297" w:rsidR="006C3DE9" w:rsidRPr="008179EC" w:rsidRDefault="00421B56" w:rsidP="00540454">
            <w:pPr>
              <w:rPr>
                <w:rFonts w:cstheme="minorHAnsi"/>
              </w:rPr>
            </w:pPr>
            <w:r w:rsidRPr="00421B56">
              <w:rPr>
                <w:rFonts w:cstheme="minorHAnsi"/>
              </w:rPr>
              <w:t xml:space="preserve">Soluciones cloud que cumplen con los </w:t>
            </w:r>
            <w:r w:rsidR="00FA1AA6" w:rsidRPr="00321898">
              <w:t xml:space="preserve">requerimientos </w:t>
            </w:r>
            <w:r w:rsidRPr="00421B56">
              <w:rPr>
                <w:rFonts w:cstheme="minorHAnsi"/>
              </w:rPr>
              <w:t>de los stakeholders y ofrecen valor al negocio.</w:t>
            </w:r>
          </w:p>
        </w:tc>
      </w:tr>
      <w:tr w:rsidR="006C3DE9" w14:paraId="05D8E821" w14:textId="77777777" w:rsidTr="008179EC">
        <w:tc>
          <w:tcPr>
            <w:tcW w:w="2123" w:type="dxa"/>
          </w:tcPr>
          <w:p w14:paraId="52599FBA" w14:textId="567A44A0" w:rsidR="006C3DE9" w:rsidRPr="008179EC" w:rsidRDefault="00421B56" w:rsidP="00540454">
            <w:pPr>
              <w:rPr>
                <w:rFonts w:cstheme="minorHAnsi"/>
              </w:rPr>
            </w:pPr>
            <w:r w:rsidRPr="00421B56">
              <w:rPr>
                <w:rFonts w:cstheme="minorHAnsi"/>
              </w:rPr>
              <w:t>Gestión de acuerdos con proveedores</w:t>
            </w:r>
          </w:p>
        </w:tc>
        <w:tc>
          <w:tcPr>
            <w:tcW w:w="2123" w:type="dxa"/>
          </w:tcPr>
          <w:p w14:paraId="53518A92" w14:textId="6E24BE4C" w:rsidR="006C3DE9" w:rsidRPr="008179EC" w:rsidRDefault="00421B56" w:rsidP="0054045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Seleccionar los proveedores cloud basados en ciertos criterios, definiendo acuerdos de nivel de servicio</w:t>
            </w:r>
            <w:r w:rsidR="00057AB6">
              <w:rPr>
                <w:rFonts w:cstheme="minorHAnsi"/>
              </w:rPr>
              <w:t xml:space="preserve"> (SLAs)</w:t>
            </w:r>
            <w:r>
              <w:rPr>
                <w:rFonts w:cstheme="minorHAnsi"/>
              </w:rPr>
              <w:t xml:space="preserve"> y monitorear el desempeño de estos</w:t>
            </w:r>
          </w:p>
        </w:tc>
        <w:tc>
          <w:tcPr>
            <w:tcW w:w="3120" w:type="dxa"/>
          </w:tcPr>
          <w:p w14:paraId="7A3DE15F" w14:textId="0CF22243" w:rsidR="006C3DE9" w:rsidRPr="008179EC" w:rsidRDefault="00421B56" w:rsidP="00540454">
            <w:pPr>
              <w:rPr>
                <w:rFonts w:cstheme="minorHAnsi"/>
              </w:rPr>
            </w:pPr>
            <w:r w:rsidRPr="00421B56">
              <w:rPr>
                <w:rFonts w:cstheme="minorHAnsi"/>
              </w:rPr>
              <w:t>Esta área asegura que los servicios externos contribuyan al éxito organizacional mediante controles claros y evaluación continua</w:t>
            </w:r>
            <w:r>
              <w:rPr>
                <w:rFonts w:cstheme="minorHAnsi"/>
              </w:rPr>
              <w:t xml:space="preserve"> ya que aborda la necesidad de gestionar las relaciones con proveedores dentro de su ecosistema.</w:t>
            </w:r>
          </w:p>
        </w:tc>
        <w:tc>
          <w:tcPr>
            <w:tcW w:w="2268" w:type="dxa"/>
          </w:tcPr>
          <w:p w14:paraId="32FBEDA7" w14:textId="473B0E2E" w:rsidR="006C3DE9" w:rsidRPr="008179EC" w:rsidRDefault="00421B56" w:rsidP="00540454">
            <w:pPr>
              <w:rPr>
                <w:rFonts w:cstheme="minorHAnsi"/>
              </w:rPr>
            </w:pPr>
            <w:r w:rsidRPr="00421B56">
              <w:rPr>
                <w:rFonts w:cstheme="minorHAnsi"/>
              </w:rPr>
              <w:t>Acuerdos con proveedores que maximizan el retorno de inversión y aseguran un servicio confiable.</w:t>
            </w:r>
          </w:p>
        </w:tc>
      </w:tr>
    </w:tbl>
    <w:p w14:paraId="6D4DDFE6" w14:textId="77777777" w:rsidR="006C3DE9" w:rsidRDefault="006C3DE9" w:rsidP="008179EC">
      <w:pPr>
        <w:jc w:val="both"/>
      </w:pPr>
    </w:p>
    <w:p w14:paraId="4CFC3A6D" w14:textId="12243D88" w:rsidR="00AA0134" w:rsidRPr="00D872EB" w:rsidRDefault="00AA0134" w:rsidP="008179EC">
      <w:pPr>
        <w:pStyle w:val="ListParagraph"/>
        <w:numPr>
          <w:ilvl w:val="0"/>
          <w:numId w:val="48"/>
        </w:numPr>
        <w:tabs>
          <w:tab w:val="left" w:pos="426"/>
        </w:tabs>
        <w:spacing w:after="0" w:line="240" w:lineRule="auto"/>
        <w:jc w:val="both"/>
        <w:textAlignment w:val="baseline"/>
        <w:rPr>
          <w:b/>
          <w:bCs/>
          <w:noProof/>
          <w:lang w:eastAsia="es-ES"/>
        </w:rPr>
      </w:pPr>
      <w:r w:rsidRPr="00D872EB">
        <w:rPr>
          <w:b/>
          <w:bCs/>
          <w:noProof/>
          <w:lang w:eastAsia="es-ES"/>
        </w:rPr>
        <w:lastRenderedPageBreak/>
        <w:t xml:space="preserve">Que mencione 8 oportunidades de mejora </w:t>
      </w:r>
      <w:r w:rsidR="00377E3C" w:rsidRPr="00D872EB">
        <w:rPr>
          <w:b/>
          <w:bCs/>
          <w:noProof/>
          <w:lang w:eastAsia="es-ES"/>
        </w:rPr>
        <w:t>relacionadas al caso descrito</w:t>
      </w:r>
      <w:r w:rsidR="00377E3C">
        <w:rPr>
          <w:noProof/>
          <w:lang w:eastAsia="es-ES"/>
        </w:rPr>
        <w:t xml:space="preserve">, </w:t>
      </w:r>
      <w:r>
        <w:rPr>
          <w:noProof/>
          <w:lang w:eastAsia="es-ES"/>
        </w:rPr>
        <w:t xml:space="preserve">explicando la </w:t>
      </w:r>
      <w:r w:rsidRPr="00D872EB">
        <w:rPr>
          <w:b/>
          <w:bCs/>
          <w:noProof/>
          <w:lang w:eastAsia="es-ES"/>
        </w:rPr>
        <w:t xml:space="preserve">aplicación de las prácticas antes descritas. </w:t>
      </w:r>
    </w:p>
    <w:p w14:paraId="5AA8A08E" w14:textId="77777777" w:rsidR="00377E3C" w:rsidRDefault="00377E3C" w:rsidP="008179EC">
      <w:pPr>
        <w:pStyle w:val="ListParagraph"/>
        <w:tabs>
          <w:tab w:val="left" w:pos="426"/>
        </w:tabs>
        <w:spacing w:after="0" w:line="240" w:lineRule="auto"/>
        <w:ind w:left="360"/>
        <w:jc w:val="both"/>
        <w:textAlignment w:val="baseline"/>
        <w:rPr>
          <w:noProof/>
          <w:lang w:eastAsia="es-E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6C3DE9" w14:paraId="525B0218" w14:textId="77777777" w:rsidTr="008179EC">
        <w:tc>
          <w:tcPr>
            <w:tcW w:w="4673" w:type="dxa"/>
          </w:tcPr>
          <w:p w14:paraId="5F93774F" w14:textId="77777777" w:rsidR="006C3DE9" w:rsidRPr="00333D74" w:rsidRDefault="006C3DE9" w:rsidP="008179EC">
            <w:pPr>
              <w:jc w:val="both"/>
              <w:rPr>
                <w:b/>
                <w:bCs/>
              </w:rPr>
            </w:pPr>
            <w:r w:rsidRPr="00333D74">
              <w:rPr>
                <w:b/>
                <w:bCs/>
              </w:rPr>
              <w:t>Oportunidades de mejora</w:t>
            </w:r>
          </w:p>
        </w:tc>
        <w:tc>
          <w:tcPr>
            <w:tcW w:w="4961" w:type="dxa"/>
          </w:tcPr>
          <w:p w14:paraId="3754FC2C" w14:textId="77777777" w:rsidR="006C3DE9" w:rsidRPr="00333D74" w:rsidRDefault="006C3DE9" w:rsidP="008179EC">
            <w:pPr>
              <w:jc w:val="both"/>
              <w:rPr>
                <w:b/>
                <w:bCs/>
              </w:rPr>
            </w:pPr>
            <w:r w:rsidRPr="00333D74">
              <w:rPr>
                <w:b/>
                <w:bCs/>
              </w:rPr>
              <w:t>Práctica(s) asociada(s)</w:t>
            </w:r>
          </w:p>
        </w:tc>
      </w:tr>
      <w:tr w:rsidR="006C3DE9" w14:paraId="5D27E447" w14:textId="77777777" w:rsidTr="008179EC">
        <w:tc>
          <w:tcPr>
            <w:tcW w:w="4673" w:type="dxa"/>
          </w:tcPr>
          <w:p w14:paraId="086C31F5" w14:textId="2E13E8B3" w:rsidR="006C3DE9" w:rsidRDefault="00421B56" w:rsidP="00421B56">
            <w:r w:rsidRPr="00421B56">
              <w:t>Establecer un repositorio centralizado para gestionar configuraciones de recursos cloud.</w:t>
            </w:r>
          </w:p>
        </w:tc>
        <w:tc>
          <w:tcPr>
            <w:tcW w:w="4961" w:type="dxa"/>
          </w:tcPr>
          <w:p w14:paraId="39C5324F" w14:textId="05888DE7" w:rsidR="006C3DE9" w:rsidRPr="00057AB6" w:rsidRDefault="00057AB6" w:rsidP="00421B56">
            <w:pPr>
              <w:rPr>
                <w:rFonts w:cstheme="minorHAnsi"/>
              </w:rPr>
            </w:pPr>
            <w:r w:rsidRPr="00057AB6">
              <w:rPr>
                <w:rFonts w:cstheme="minorHAnsi"/>
              </w:rPr>
              <w:t>Gestión de la Configuración: Implementar una herramienta como AWS Config o Azure Resource Manager para identificar y registrar configuraciones. Establecer un flujo de control de cambios automatizado.</w:t>
            </w:r>
          </w:p>
        </w:tc>
      </w:tr>
      <w:tr w:rsidR="006C3DE9" w14:paraId="0F2F0AA9" w14:textId="77777777" w:rsidTr="008179EC">
        <w:tc>
          <w:tcPr>
            <w:tcW w:w="4673" w:type="dxa"/>
          </w:tcPr>
          <w:p w14:paraId="5E6D60FE" w14:textId="2AC77C43" w:rsidR="006C3DE9" w:rsidRDefault="00421B56" w:rsidP="00421B56">
            <w:r w:rsidRPr="00421B56">
              <w:t>Implementar un sistema automatizado para identificar riesgos en tiempo real.</w:t>
            </w:r>
          </w:p>
        </w:tc>
        <w:tc>
          <w:tcPr>
            <w:tcW w:w="4961" w:type="dxa"/>
          </w:tcPr>
          <w:p w14:paraId="252ECB03" w14:textId="1B29C0B2" w:rsidR="006C3DE9" w:rsidRPr="00057AB6" w:rsidRDefault="00057AB6" w:rsidP="00421B56">
            <w:pPr>
              <w:rPr>
                <w:rFonts w:cstheme="minorHAnsi"/>
              </w:rPr>
            </w:pPr>
            <w:r w:rsidRPr="00057AB6">
              <w:rPr>
                <w:rFonts w:cstheme="minorHAnsi"/>
              </w:rPr>
              <w:t>Gestión de Riesgos: Integrar una herramienta como CloudHealth para el monitoreo continuo de riesgos, configurando alertas para riesgos críticos.</w:t>
            </w:r>
          </w:p>
        </w:tc>
      </w:tr>
      <w:tr w:rsidR="006C3DE9" w14:paraId="288313CE" w14:textId="77777777" w:rsidTr="008179EC">
        <w:tc>
          <w:tcPr>
            <w:tcW w:w="4673" w:type="dxa"/>
          </w:tcPr>
          <w:p w14:paraId="1AB89D55" w14:textId="6C60CE52" w:rsidR="006C3DE9" w:rsidRDefault="00421B56" w:rsidP="00421B56">
            <w:r w:rsidRPr="00421B56">
              <w:t>Definir un proceso claro de validación y priorización de requerimientos para proyectos.</w:t>
            </w:r>
          </w:p>
        </w:tc>
        <w:tc>
          <w:tcPr>
            <w:tcW w:w="4961" w:type="dxa"/>
          </w:tcPr>
          <w:p w14:paraId="3778989A" w14:textId="501E074A" w:rsidR="006C3DE9" w:rsidRPr="00057AB6" w:rsidRDefault="00057AB6" w:rsidP="00421B56">
            <w:pPr>
              <w:rPr>
                <w:rFonts w:cstheme="minorHAnsi"/>
              </w:rPr>
            </w:pPr>
            <w:r w:rsidRPr="00057AB6">
              <w:rPr>
                <w:rFonts w:cstheme="minorHAnsi"/>
              </w:rPr>
              <w:t xml:space="preserve">Gestión de desarrollo de </w:t>
            </w:r>
            <w:r w:rsidR="00FA1AA6" w:rsidRPr="00321898">
              <w:t>requerimientos</w:t>
            </w:r>
            <w:r w:rsidRPr="00057AB6">
              <w:rPr>
                <w:rFonts w:cstheme="minorHAnsi"/>
              </w:rPr>
              <w:t>: Crear un marco de trabajo basado en reuniones regulares con stakeholders clave para priorizar y validar requerimientos antes de su implementación.</w:t>
            </w:r>
          </w:p>
        </w:tc>
      </w:tr>
      <w:tr w:rsidR="006C3DE9" w14:paraId="0F61CFDE" w14:textId="77777777" w:rsidTr="008179EC">
        <w:tc>
          <w:tcPr>
            <w:tcW w:w="4673" w:type="dxa"/>
          </w:tcPr>
          <w:p w14:paraId="479B80BB" w14:textId="7C261359" w:rsidR="006C3DE9" w:rsidRDefault="00421B56" w:rsidP="00421B56">
            <w:r w:rsidRPr="00421B56">
              <w:t>Revisar y renegociar los SLAs con proveedores para optimizar costos y calidad.</w:t>
            </w:r>
          </w:p>
        </w:tc>
        <w:tc>
          <w:tcPr>
            <w:tcW w:w="4961" w:type="dxa"/>
          </w:tcPr>
          <w:p w14:paraId="33A656EF" w14:textId="3C8A46BB" w:rsidR="006C3DE9" w:rsidRPr="008179EC" w:rsidRDefault="00057AB6" w:rsidP="00421B56">
            <w:pPr>
              <w:rPr>
                <w:rFonts w:cstheme="minorHAnsi"/>
              </w:rPr>
            </w:pPr>
            <w:r w:rsidRPr="00421B56">
              <w:rPr>
                <w:rFonts w:cstheme="minorHAnsi"/>
              </w:rPr>
              <w:t>Gestión de acuerdos con proveedores</w:t>
            </w:r>
            <w:r>
              <w:rPr>
                <w:rFonts w:cstheme="minorHAnsi"/>
              </w:rPr>
              <w:t>:</w:t>
            </w:r>
            <w:r w:rsidRPr="00057AB6">
              <w:rPr>
                <w:rFonts w:cstheme="minorHAnsi"/>
              </w:rPr>
              <w:t xml:space="preserve"> Evaluar métricas clave de desempeño mediante revisiones trimestrales de SLAs y renegociar acuerdos según las necesidades actuales del negocio.</w:t>
            </w:r>
          </w:p>
        </w:tc>
      </w:tr>
      <w:tr w:rsidR="006C3DE9" w14:paraId="194DE3CF" w14:textId="77777777" w:rsidTr="008179EC">
        <w:tc>
          <w:tcPr>
            <w:tcW w:w="4673" w:type="dxa"/>
          </w:tcPr>
          <w:p w14:paraId="36701E3D" w14:textId="61BCF2E9" w:rsidR="006C3DE9" w:rsidRDefault="00421B56" w:rsidP="00421B56">
            <w:r w:rsidRPr="00421B56">
              <w:t>Diseñar una política de control de cambios que involucre revisiones automáticas.</w:t>
            </w:r>
          </w:p>
        </w:tc>
        <w:tc>
          <w:tcPr>
            <w:tcW w:w="4961" w:type="dxa"/>
          </w:tcPr>
          <w:p w14:paraId="0644D28B" w14:textId="5847F832" w:rsidR="006C3DE9" w:rsidRPr="00057AB6" w:rsidRDefault="00057AB6" w:rsidP="00421B56">
            <w:pPr>
              <w:rPr>
                <w:rFonts w:cstheme="minorHAnsi"/>
              </w:rPr>
            </w:pPr>
            <w:r w:rsidRPr="00057AB6">
              <w:rPr>
                <w:rFonts w:cstheme="minorHAnsi"/>
              </w:rPr>
              <w:t>Gestión de la Configuración: Usar herramientas como GitOps para implementar revisiones automatizadas y registros detallados de cambios.</w:t>
            </w:r>
          </w:p>
        </w:tc>
      </w:tr>
      <w:tr w:rsidR="006C3DE9" w14:paraId="6DEA6DB8" w14:textId="77777777" w:rsidTr="008179EC">
        <w:tc>
          <w:tcPr>
            <w:tcW w:w="4673" w:type="dxa"/>
          </w:tcPr>
          <w:p w14:paraId="5C293059" w14:textId="0D437C4D" w:rsidR="006C3DE9" w:rsidRDefault="00421B56" w:rsidP="00421B56">
            <w:r w:rsidRPr="00421B56">
              <w:t>Crear una estrategia de mitigación de riesgos para prevenir sobrecostos en la nube.</w:t>
            </w:r>
          </w:p>
        </w:tc>
        <w:tc>
          <w:tcPr>
            <w:tcW w:w="4961" w:type="dxa"/>
          </w:tcPr>
          <w:p w14:paraId="3330B05B" w14:textId="0A97647C" w:rsidR="006C3DE9" w:rsidRPr="00057AB6" w:rsidRDefault="00057AB6" w:rsidP="00421B56">
            <w:pPr>
              <w:rPr>
                <w:rFonts w:cstheme="minorHAnsi"/>
              </w:rPr>
            </w:pPr>
            <w:r w:rsidRPr="00057AB6">
              <w:rPr>
                <w:rFonts w:cstheme="minorHAnsi"/>
              </w:rPr>
              <w:t>Gestión de Riesgos: Realizar análisis de riesgos financieros mediante simulaciones de costos y establecer límites automáticos</w:t>
            </w:r>
            <w:r>
              <w:rPr>
                <w:rFonts w:cstheme="minorHAnsi"/>
              </w:rPr>
              <w:t>.</w:t>
            </w:r>
          </w:p>
        </w:tc>
      </w:tr>
      <w:tr w:rsidR="00272202" w14:paraId="68BB3342" w14:textId="77777777" w:rsidTr="008179EC">
        <w:tc>
          <w:tcPr>
            <w:tcW w:w="4673" w:type="dxa"/>
          </w:tcPr>
          <w:p w14:paraId="39D9C860" w14:textId="709D1842" w:rsidR="00272202" w:rsidRDefault="00421B56" w:rsidP="00421B56">
            <w:r w:rsidRPr="00421B56">
              <w:t>Establecer trazabilidad completa entre requerimientos, diseños y resultados finales.</w:t>
            </w:r>
          </w:p>
        </w:tc>
        <w:tc>
          <w:tcPr>
            <w:tcW w:w="4961" w:type="dxa"/>
          </w:tcPr>
          <w:p w14:paraId="72E8D188" w14:textId="4D2D7E39" w:rsidR="00272202" w:rsidRPr="00057AB6" w:rsidRDefault="00057AB6" w:rsidP="00421B56">
            <w:pPr>
              <w:rPr>
                <w:rFonts w:cstheme="minorHAnsi"/>
              </w:rPr>
            </w:pPr>
            <w:r w:rsidRPr="00057AB6">
              <w:rPr>
                <w:rFonts w:cstheme="minorHAnsi"/>
              </w:rPr>
              <w:t xml:space="preserve">Gestión de desarrollo de </w:t>
            </w:r>
            <w:r w:rsidR="00FA1AA6" w:rsidRPr="00321898">
              <w:t>requerimientos</w:t>
            </w:r>
            <w:r w:rsidRPr="00057AB6">
              <w:rPr>
                <w:rFonts w:cstheme="minorHAnsi"/>
              </w:rPr>
              <w:t>: Implementar una herramienta de gestión de ciclo de vida como Jira</w:t>
            </w:r>
            <w:r>
              <w:rPr>
                <w:rFonts w:cstheme="minorHAnsi"/>
              </w:rPr>
              <w:t xml:space="preserve"> </w:t>
            </w:r>
            <w:r w:rsidRPr="00057AB6">
              <w:rPr>
                <w:rFonts w:cstheme="minorHAnsi"/>
              </w:rPr>
              <w:t>para asegurar la trazabilidad desde el requerimiento hasta el despliegue.</w:t>
            </w:r>
          </w:p>
        </w:tc>
      </w:tr>
      <w:tr w:rsidR="00272202" w14:paraId="1A87693F" w14:textId="77777777" w:rsidTr="008179EC">
        <w:tc>
          <w:tcPr>
            <w:tcW w:w="4673" w:type="dxa"/>
          </w:tcPr>
          <w:p w14:paraId="7A921E91" w14:textId="0833F2C1" w:rsidR="00272202" w:rsidRDefault="00421B56" w:rsidP="00421B56">
            <w:r w:rsidRPr="00421B56">
              <w:t>Monitorear de manera continua el desempeño de proveedores para garantizar el cumplimiento de SLAs.</w:t>
            </w:r>
          </w:p>
        </w:tc>
        <w:tc>
          <w:tcPr>
            <w:tcW w:w="4961" w:type="dxa"/>
          </w:tcPr>
          <w:p w14:paraId="52AB8E85" w14:textId="05F0432E" w:rsidR="00272202" w:rsidRPr="00057AB6" w:rsidRDefault="00057AB6" w:rsidP="00421B56">
            <w:pPr>
              <w:rPr>
                <w:rFonts w:cstheme="minorHAnsi"/>
              </w:rPr>
            </w:pPr>
            <w:r w:rsidRPr="00421B56">
              <w:rPr>
                <w:rFonts w:cstheme="minorHAnsi"/>
              </w:rPr>
              <w:t>Gestión de acuerdos con proveedores</w:t>
            </w:r>
            <w:r w:rsidRPr="00057AB6">
              <w:rPr>
                <w:rFonts w:cstheme="minorHAnsi"/>
              </w:rPr>
              <w:t>: Utilizar dashboards personalizados en plataformas de monitoreo para medir el desempeño de los servicios y actuar ante incumplimientos.</w:t>
            </w:r>
          </w:p>
        </w:tc>
      </w:tr>
    </w:tbl>
    <w:p w14:paraId="05776B6D" w14:textId="77777777" w:rsidR="006C3DE9" w:rsidRDefault="006C3DE9" w:rsidP="008179EC">
      <w:pPr>
        <w:jc w:val="both"/>
      </w:pPr>
    </w:p>
    <w:p w14:paraId="4F7A3E10" w14:textId="77777777" w:rsidR="00D872EB" w:rsidRDefault="007C76F4" w:rsidP="0058259C">
      <w:pPr>
        <w:pStyle w:val="ListParagraph"/>
        <w:numPr>
          <w:ilvl w:val="0"/>
          <w:numId w:val="48"/>
        </w:numPr>
        <w:tabs>
          <w:tab w:val="left" w:pos="426"/>
        </w:tabs>
        <w:spacing w:after="0" w:line="240" w:lineRule="auto"/>
        <w:jc w:val="both"/>
        <w:textAlignment w:val="baseline"/>
        <w:rPr>
          <w:noProof/>
          <w:lang w:eastAsia="es-ES"/>
        </w:rPr>
      </w:pPr>
      <w:r w:rsidRPr="00D872EB">
        <w:rPr>
          <w:b/>
          <w:bCs/>
          <w:noProof/>
          <w:lang w:eastAsia="es-ES"/>
        </w:rPr>
        <w:t>Que identifique cuatro</w:t>
      </w:r>
      <w:r w:rsidR="0058259C" w:rsidRPr="00D872EB">
        <w:rPr>
          <w:b/>
          <w:bCs/>
          <w:noProof/>
          <w:lang w:eastAsia="es-ES"/>
        </w:rPr>
        <w:t xml:space="preserve"> puntos de las normas ISO vistas en el curso</w:t>
      </w:r>
      <w:r w:rsidR="0058259C">
        <w:rPr>
          <w:noProof/>
          <w:lang w:eastAsia="es-ES"/>
        </w:rPr>
        <w:t xml:space="preserve"> (</w:t>
      </w:r>
      <w:r>
        <w:rPr>
          <w:noProof/>
          <w:lang w:eastAsia="es-ES"/>
        </w:rPr>
        <w:t>puede escoger entre las normas ISO 12207,</w:t>
      </w:r>
      <w:r w:rsidR="00690537">
        <w:rPr>
          <w:noProof/>
          <w:lang w:eastAsia="es-ES"/>
        </w:rPr>
        <w:t xml:space="preserve"> ISO 27001, ISO 14764, </w:t>
      </w:r>
      <w:r>
        <w:rPr>
          <w:noProof/>
          <w:lang w:eastAsia="es-ES"/>
        </w:rPr>
        <w:t xml:space="preserve"> ISO 29110, </w:t>
      </w:r>
      <w:r w:rsidR="00690537">
        <w:rPr>
          <w:noProof/>
          <w:lang w:eastAsia="es-ES"/>
        </w:rPr>
        <w:t>ISO 15939</w:t>
      </w:r>
      <w:r w:rsidR="0058259C">
        <w:rPr>
          <w:noProof/>
          <w:lang w:eastAsia="es-ES"/>
        </w:rPr>
        <w:t>) que podrían utilzarse en cada parte del ciclo PECA (Planificar, Ejecutar, Controlar, Actuar) / PDCA (Plan, Do, Check</w:t>
      </w:r>
      <w:r w:rsidR="00690537">
        <w:rPr>
          <w:noProof/>
          <w:lang w:eastAsia="es-ES"/>
        </w:rPr>
        <w:t xml:space="preserve">, </w:t>
      </w:r>
      <w:r w:rsidR="0058259C">
        <w:rPr>
          <w:noProof/>
          <w:lang w:eastAsia="es-ES"/>
        </w:rPr>
        <w:t>Act)</w:t>
      </w:r>
      <w:r w:rsidR="00690537">
        <w:rPr>
          <w:noProof/>
          <w:lang w:eastAsia="es-ES"/>
        </w:rPr>
        <w:t xml:space="preserve">. </w:t>
      </w:r>
    </w:p>
    <w:p w14:paraId="03248EC3" w14:textId="108202EB" w:rsidR="0058259C" w:rsidRDefault="00D872EB" w:rsidP="00D872EB">
      <w:pPr>
        <w:pStyle w:val="ListParagraph"/>
        <w:tabs>
          <w:tab w:val="left" w:pos="426"/>
        </w:tabs>
        <w:spacing w:after="0" w:line="240" w:lineRule="auto"/>
        <w:ind w:left="360"/>
        <w:jc w:val="both"/>
        <w:textAlignment w:val="baseline"/>
        <w:rPr>
          <w:noProof/>
          <w:lang w:eastAsia="es-ES"/>
        </w:rPr>
      </w:pPr>
      <w:r>
        <w:rPr>
          <w:b/>
          <w:bCs/>
          <w:noProof/>
          <w:lang w:eastAsia="es-ES"/>
        </w:rPr>
        <w:t xml:space="preserve">Nota: </w:t>
      </w:r>
      <w:r w:rsidR="00690537">
        <w:rPr>
          <w:noProof/>
          <w:lang w:eastAsia="es-ES"/>
        </w:rPr>
        <w:t>Puede escoger puntos de distintas normas no es obligatorio que todos los puntos sean de una misma norma.</w:t>
      </w:r>
    </w:p>
    <w:p w14:paraId="41195026" w14:textId="77777777" w:rsidR="0058259C" w:rsidRDefault="0058259C" w:rsidP="0058259C">
      <w:pPr>
        <w:pStyle w:val="ListParagraph"/>
        <w:tabs>
          <w:tab w:val="left" w:pos="426"/>
        </w:tabs>
        <w:spacing w:after="0" w:line="240" w:lineRule="auto"/>
        <w:ind w:left="360"/>
        <w:jc w:val="both"/>
        <w:textAlignment w:val="baseline"/>
        <w:rPr>
          <w:noProof/>
          <w:lang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201"/>
        <w:gridCol w:w="3201"/>
      </w:tblGrid>
      <w:tr w:rsidR="0058259C" w14:paraId="6E696120" w14:textId="77777777" w:rsidTr="00D853CA">
        <w:tc>
          <w:tcPr>
            <w:tcW w:w="3227" w:type="dxa"/>
          </w:tcPr>
          <w:p w14:paraId="55B1372E" w14:textId="2455127D" w:rsidR="0058259C" w:rsidRPr="00333D74" w:rsidRDefault="0058259C" w:rsidP="00D853C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Fase del ciclo PECA / PDCA</w:t>
            </w:r>
          </w:p>
        </w:tc>
        <w:tc>
          <w:tcPr>
            <w:tcW w:w="3201" w:type="dxa"/>
          </w:tcPr>
          <w:p w14:paraId="0A9ED547" w14:textId="24D4E2D1" w:rsidR="0058259C" w:rsidRPr="00333D74" w:rsidRDefault="0058259C" w:rsidP="00D853C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Norma / item</w:t>
            </w:r>
          </w:p>
        </w:tc>
        <w:tc>
          <w:tcPr>
            <w:tcW w:w="3201" w:type="dxa"/>
          </w:tcPr>
          <w:p w14:paraId="0A68B80C" w14:textId="3A156C19" w:rsidR="0058259C" w:rsidRPr="00333D74" w:rsidRDefault="0058259C" w:rsidP="00D853C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Sustento</w:t>
            </w:r>
          </w:p>
        </w:tc>
      </w:tr>
      <w:tr w:rsidR="0058259C" w14:paraId="2EE14419" w14:textId="77777777" w:rsidTr="00D853CA">
        <w:tc>
          <w:tcPr>
            <w:tcW w:w="3227" w:type="dxa"/>
          </w:tcPr>
          <w:p w14:paraId="5BBFEE60" w14:textId="1C024128" w:rsidR="0058259C" w:rsidRDefault="00EA0DBB" w:rsidP="00EA0DBB">
            <w:r>
              <w:rPr>
                <w:noProof/>
                <w:lang w:eastAsia="es-ES"/>
              </w:rPr>
              <w:t>Planificar</w:t>
            </w:r>
          </w:p>
        </w:tc>
        <w:tc>
          <w:tcPr>
            <w:tcW w:w="3201" w:type="dxa"/>
          </w:tcPr>
          <w:p w14:paraId="6D28CC7D" w14:textId="0EB140FD" w:rsidR="0058259C" w:rsidRDefault="00EA0DBB" w:rsidP="00EA0DBB">
            <w:r w:rsidRPr="00EA0DBB">
              <w:t>ISO 12207</w:t>
            </w:r>
            <w:r w:rsidR="00321898">
              <w:t xml:space="preserve"> /</w:t>
            </w:r>
            <w:r w:rsidRPr="00EA0DBB">
              <w:t xml:space="preserve"> 6.3 Actividades de planificación y gestión del proyecto</w:t>
            </w:r>
          </w:p>
        </w:tc>
        <w:tc>
          <w:tcPr>
            <w:tcW w:w="3201" w:type="dxa"/>
          </w:tcPr>
          <w:p w14:paraId="5139BBAA" w14:textId="08296BD5" w:rsidR="0058259C" w:rsidRDefault="00321898" w:rsidP="00EA0DBB">
            <w:r w:rsidRPr="00321898">
              <w:t>Facilita la definición de objetivos, cronogramas y recursos para implementar servicios en la nube alineados con los requerimientos empresariales.</w:t>
            </w:r>
          </w:p>
        </w:tc>
      </w:tr>
      <w:tr w:rsidR="0058259C" w14:paraId="04380FFE" w14:textId="77777777" w:rsidTr="00D853CA">
        <w:tc>
          <w:tcPr>
            <w:tcW w:w="3227" w:type="dxa"/>
          </w:tcPr>
          <w:p w14:paraId="12FE36AC" w14:textId="7BB43D9F" w:rsidR="0058259C" w:rsidRDefault="00EA0DBB" w:rsidP="00EA0DBB">
            <w:r>
              <w:rPr>
                <w:noProof/>
                <w:lang w:eastAsia="es-ES"/>
              </w:rPr>
              <w:t>Ejecutar</w:t>
            </w:r>
          </w:p>
        </w:tc>
        <w:tc>
          <w:tcPr>
            <w:tcW w:w="3201" w:type="dxa"/>
          </w:tcPr>
          <w:p w14:paraId="3D8411D1" w14:textId="0CFD8E94" w:rsidR="0058259C" w:rsidRDefault="00EA0DBB" w:rsidP="00EA0DBB">
            <w:r w:rsidRPr="00EA0DBB">
              <w:t>ISO 27001</w:t>
            </w:r>
            <w:r w:rsidR="00321898">
              <w:t xml:space="preserve"> /</w:t>
            </w:r>
            <w:r w:rsidRPr="00EA0DBB">
              <w:t xml:space="preserve"> 8.2 Evaluación de riesgos de seguridad de la información</w:t>
            </w:r>
          </w:p>
        </w:tc>
        <w:tc>
          <w:tcPr>
            <w:tcW w:w="3201" w:type="dxa"/>
          </w:tcPr>
          <w:p w14:paraId="0EAC54A6" w14:textId="1CBC183E" w:rsidR="00321898" w:rsidRPr="00321898" w:rsidRDefault="00321898" w:rsidP="00321898">
            <w:r w:rsidRPr="00321898">
              <w:t>Asegura que los riesgos identificados se gestionen eficazmente durante la implementación de servicios cloud.</w:t>
            </w:r>
          </w:p>
        </w:tc>
      </w:tr>
      <w:tr w:rsidR="0058259C" w14:paraId="58ECA016" w14:textId="77777777" w:rsidTr="00D853CA">
        <w:tc>
          <w:tcPr>
            <w:tcW w:w="3227" w:type="dxa"/>
          </w:tcPr>
          <w:p w14:paraId="7C025D31" w14:textId="068DB1BB" w:rsidR="0058259C" w:rsidRDefault="00EA0DBB" w:rsidP="00EA0DBB">
            <w:r>
              <w:rPr>
                <w:noProof/>
                <w:lang w:eastAsia="es-ES"/>
              </w:rPr>
              <w:lastRenderedPageBreak/>
              <w:t>Controlar</w:t>
            </w:r>
          </w:p>
        </w:tc>
        <w:tc>
          <w:tcPr>
            <w:tcW w:w="3201" w:type="dxa"/>
          </w:tcPr>
          <w:p w14:paraId="01BE1B77" w14:textId="64C39E49" w:rsidR="0058259C" w:rsidRDefault="00321898" w:rsidP="00EA0DBB">
            <w:r w:rsidRPr="00321898">
              <w:t>ISO 27001</w:t>
            </w:r>
            <w:r>
              <w:t xml:space="preserve"> /</w:t>
            </w:r>
            <w:r w:rsidRPr="00321898">
              <w:t xml:space="preserve"> 9.1 Monitoreo, medición, análisis y evaluación</w:t>
            </w:r>
          </w:p>
        </w:tc>
        <w:tc>
          <w:tcPr>
            <w:tcW w:w="3201" w:type="dxa"/>
          </w:tcPr>
          <w:p w14:paraId="75304C50" w14:textId="41166062" w:rsidR="0058259C" w:rsidRDefault="00321898" w:rsidP="00EA0DBB">
            <w:r w:rsidRPr="00321898">
              <w:t>Permite evaluar constantemente la efectividad de las medidas de seguridad y el rendimiento del sistema cloud.</w:t>
            </w:r>
          </w:p>
        </w:tc>
      </w:tr>
      <w:tr w:rsidR="0058259C" w14:paraId="722E638E" w14:textId="77777777" w:rsidTr="00D853CA">
        <w:tc>
          <w:tcPr>
            <w:tcW w:w="3227" w:type="dxa"/>
          </w:tcPr>
          <w:p w14:paraId="68A4D83E" w14:textId="3087D229" w:rsidR="0058259C" w:rsidRDefault="00EA0DBB" w:rsidP="00EA0DBB">
            <w:r>
              <w:rPr>
                <w:noProof/>
                <w:lang w:eastAsia="es-ES"/>
              </w:rPr>
              <w:t>Actuar</w:t>
            </w:r>
          </w:p>
        </w:tc>
        <w:tc>
          <w:tcPr>
            <w:tcW w:w="3201" w:type="dxa"/>
          </w:tcPr>
          <w:p w14:paraId="1708AF19" w14:textId="4B9338FA" w:rsidR="0058259C" w:rsidRDefault="00321898" w:rsidP="00EA0DBB">
            <w:r w:rsidRPr="00321898">
              <w:t>ISO 15939</w:t>
            </w:r>
            <w:r>
              <w:t xml:space="preserve"> /</w:t>
            </w:r>
            <w:r w:rsidRPr="00321898">
              <w:t xml:space="preserve"> Anexo E, Evaluación del desempeño del proceso de medición</w:t>
            </w:r>
          </w:p>
        </w:tc>
        <w:tc>
          <w:tcPr>
            <w:tcW w:w="3201" w:type="dxa"/>
          </w:tcPr>
          <w:p w14:paraId="43320D20" w14:textId="0BA2F11E" w:rsidR="0058259C" w:rsidRDefault="00321898" w:rsidP="00EA0DBB">
            <w:r w:rsidRPr="00321898">
              <w:t>Facilita el análisis de la eficiencia y efectividad de los procesos, identificando oportunidades de mejora en la adopción tecnológica.</w:t>
            </w:r>
          </w:p>
        </w:tc>
      </w:tr>
    </w:tbl>
    <w:p w14:paraId="0DD23E6B" w14:textId="77777777" w:rsidR="0058259C" w:rsidRDefault="0058259C" w:rsidP="0058259C">
      <w:pPr>
        <w:pStyle w:val="ListParagraph"/>
        <w:tabs>
          <w:tab w:val="left" w:pos="426"/>
        </w:tabs>
        <w:spacing w:after="0" w:line="240" w:lineRule="auto"/>
        <w:ind w:left="360"/>
        <w:jc w:val="both"/>
        <w:textAlignment w:val="baseline"/>
        <w:rPr>
          <w:noProof/>
          <w:lang w:eastAsia="es-ES"/>
        </w:rPr>
      </w:pPr>
    </w:p>
    <w:p w14:paraId="01359531" w14:textId="770B0ADC" w:rsidR="00891C17" w:rsidRDefault="00891C17" w:rsidP="008179EC">
      <w:pPr>
        <w:jc w:val="both"/>
        <w:rPr>
          <w:b/>
          <w:i/>
          <w:noProof/>
          <w:lang w:eastAsia="es-ES"/>
        </w:rPr>
      </w:pPr>
    </w:p>
    <w:p w14:paraId="49EA02DF" w14:textId="2C6E9003" w:rsidR="00B57DAE" w:rsidRPr="00C84F57" w:rsidRDefault="008179EC" w:rsidP="00690537">
      <w:pPr>
        <w:rPr>
          <w:b/>
          <w:i/>
          <w:noProof/>
          <w:lang w:eastAsia="es-ES"/>
        </w:rPr>
      </w:pPr>
      <w:r>
        <w:rPr>
          <w:b/>
          <w:i/>
          <w:noProof/>
          <w:lang w:eastAsia="es-ES"/>
        </w:rPr>
        <w:br w:type="page"/>
      </w:r>
      <w:r w:rsidR="00FC2D7B">
        <w:rPr>
          <w:b/>
          <w:i/>
          <w:noProof/>
          <w:lang w:eastAsia="es-ES"/>
        </w:rPr>
        <w:lastRenderedPageBreak/>
        <w:t>Rúbrica de Calificación</w:t>
      </w:r>
    </w:p>
    <w:p w14:paraId="2E1A6A37" w14:textId="77777777" w:rsidR="008312E4" w:rsidRDefault="008312E4" w:rsidP="008179EC">
      <w:pPr>
        <w:pStyle w:val="ListParagraph"/>
        <w:tabs>
          <w:tab w:val="left" w:pos="426"/>
        </w:tabs>
        <w:spacing w:after="0" w:line="240" w:lineRule="auto"/>
        <w:ind w:left="360"/>
        <w:jc w:val="both"/>
        <w:textAlignment w:val="baseline"/>
        <w:rPr>
          <w:noProof/>
          <w:lang w:val="es-ES" w:eastAsia="es-ES"/>
        </w:rPr>
      </w:pPr>
    </w:p>
    <w:tbl>
      <w:tblPr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2274"/>
        <w:gridCol w:w="2552"/>
        <w:gridCol w:w="1842"/>
        <w:gridCol w:w="1985"/>
      </w:tblGrid>
      <w:tr w:rsidR="008312E4" w:rsidRPr="00CE6CAB" w14:paraId="6B35F23E" w14:textId="77777777" w:rsidTr="00C234E6">
        <w:trPr>
          <w:trHeight w:val="320"/>
        </w:trPr>
        <w:tc>
          <w:tcPr>
            <w:tcW w:w="1260" w:type="dxa"/>
            <w:shd w:val="clear" w:color="auto" w:fill="auto"/>
            <w:hideMark/>
          </w:tcPr>
          <w:p w14:paraId="342E0901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Zizou Slab" w:eastAsia="Times New Roman" w:hAnsi="Zizou Slab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Criterio de Calificación</w:t>
            </w:r>
          </w:p>
        </w:tc>
        <w:tc>
          <w:tcPr>
            <w:tcW w:w="2274" w:type="dxa"/>
            <w:shd w:val="clear" w:color="auto" w:fill="auto"/>
            <w:hideMark/>
          </w:tcPr>
          <w:p w14:paraId="651C35FD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Zizou Slab" w:eastAsia="Times New Roman" w:hAnsi="Zizou Slab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Excelente</w:t>
            </w:r>
          </w:p>
        </w:tc>
        <w:tc>
          <w:tcPr>
            <w:tcW w:w="2552" w:type="dxa"/>
            <w:shd w:val="clear" w:color="auto" w:fill="auto"/>
            <w:hideMark/>
          </w:tcPr>
          <w:p w14:paraId="065027D2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Zizou Slab" w:eastAsia="Times New Roman" w:hAnsi="Zizou Slab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Promedio</w:t>
            </w:r>
          </w:p>
        </w:tc>
        <w:tc>
          <w:tcPr>
            <w:tcW w:w="1842" w:type="dxa"/>
            <w:shd w:val="clear" w:color="auto" w:fill="auto"/>
            <w:hideMark/>
          </w:tcPr>
          <w:p w14:paraId="4C144EE6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Zizou Slab" w:eastAsia="Times New Roman" w:hAnsi="Zizou Slab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Necesita mejorar</w:t>
            </w:r>
          </w:p>
        </w:tc>
        <w:tc>
          <w:tcPr>
            <w:tcW w:w="1985" w:type="dxa"/>
            <w:shd w:val="clear" w:color="auto" w:fill="auto"/>
            <w:hideMark/>
          </w:tcPr>
          <w:p w14:paraId="42239C74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Zizou Slab" w:eastAsia="Times New Roman" w:hAnsi="Zizou Slab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Calificación</w:t>
            </w:r>
          </w:p>
        </w:tc>
      </w:tr>
      <w:tr w:rsidR="008312E4" w:rsidRPr="00CE6CAB" w14:paraId="51660ECD" w14:textId="77777777" w:rsidTr="00C234E6">
        <w:trPr>
          <w:trHeight w:val="740"/>
        </w:trPr>
        <w:tc>
          <w:tcPr>
            <w:tcW w:w="1260" w:type="dxa"/>
            <w:shd w:val="clear" w:color="000000" w:fill="F2F2F2"/>
            <w:hideMark/>
          </w:tcPr>
          <w:p w14:paraId="156BE40A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CMMI C01</w:t>
            </w:r>
          </w:p>
        </w:tc>
        <w:tc>
          <w:tcPr>
            <w:tcW w:w="2274" w:type="dxa"/>
            <w:shd w:val="clear" w:color="auto" w:fill="auto"/>
            <w:vAlign w:val="center"/>
            <w:hideMark/>
          </w:tcPr>
          <w:p w14:paraId="6717FDD1" w14:textId="2C1EBEE2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Evidencia capacidad para definir </w:t>
            </w:r>
            <w:r w:rsidR="00C234E6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las</w:t>
            </w: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 </w:t>
            </w:r>
            <w:r w:rsidRPr="00F725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área</w:t>
            </w:r>
            <w:r w:rsidR="00C234E6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s</w:t>
            </w:r>
            <w:r w:rsidRPr="00F725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 xml:space="preserve"> de práctica a aplica</w:t>
            </w: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r </w:t>
            </w:r>
            <w:r w:rsidR="00C234E6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del modelo CMMI </w:t>
            </w:r>
            <w:r w:rsidR="00377E3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versión 2.0 </w:t>
            </w:r>
            <w:r w:rsidR="008179EC"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de acuerdo con el</w:t>
            </w: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 caso propuesto, describe la práctica específica, sustenta adecuadamente la aplicabilidad versus el caso propuesto.</w:t>
            </w:r>
          </w:p>
        </w:tc>
        <w:tc>
          <w:tcPr>
            <w:tcW w:w="2552" w:type="dxa"/>
            <w:shd w:val="clear" w:color="auto" w:fill="auto"/>
            <w:vAlign w:val="bottom"/>
            <w:hideMark/>
          </w:tcPr>
          <w:p w14:paraId="1E711EE2" w14:textId="092112C4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Evidencia parcialmente la capacidad para definir </w:t>
            </w:r>
            <w:r w:rsidR="0069053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las</w:t>
            </w:r>
            <w:r w:rsidR="00690537"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 </w:t>
            </w:r>
            <w:r w:rsidR="00690537" w:rsidRPr="00F725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área</w:t>
            </w:r>
            <w:r w:rsidR="0069053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s</w:t>
            </w:r>
            <w:r w:rsidR="00690537" w:rsidRPr="00F725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 xml:space="preserve"> de práctica a aplica</w:t>
            </w:r>
            <w:r w:rsidR="00690537"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r </w:t>
            </w:r>
            <w:r w:rsidR="0069053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del modelo CMMI versión 2.0 </w:t>
            </w:r>
            <w:r w:rsidR="008179EC"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de acuerdo con el</w:t>
            </w: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 caso propuesto, describe parcialmente la práctica específica</w:t>
            </w:r>
            <w:r w:rsidR="00377E3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 y/o</w:t>
            </w: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 sustenta parcialmente la aplicabilidad de </w:t>
            </w:r>
            <w:r w:rsidR="00377E3C"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acuerdo</w:t>
            </w: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 al caso propuesto.</w:t>
            </w:r>
          </w:p>
        </w:tc>
        <w:tc>
          <w:tcPr>
            <w:tcW w:w="1842" w:type="dxa"/>
            <w:shd w:val="clear" w:color="auto" w:fill="auto"/>
            <w:hideMark/>
          </w:tcPr>
          <w:p w14:paraId="74BA836A" w14:textId="5DBB5A6A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Está errado o no se </w:t>
            </w:r>
            <w:r w:rsidR="00CA3642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incluye</w:t>
            </w: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 el planteamiento </w:t>
            </w:r>
            <w:r w:rsidR="0069053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de las</w:t>
            </w:r>
            <w:r w:rsidR="00690537"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 </w:t>
            </w:r>
            <w:r w:rsidR="00690537" w:rsidRPr="00F725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área</w:t>
            </w:r>
            <w:r w:rsidR="0069053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s</w:t>
            </w:r>
            <w:r w:rsidR="00690537" w:rsidRPr="00F725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 xml:space="preserve"> de práctica a aplica</w:t>
            </w:r>
            <w:r w:rsidR="00690537"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r </w:t>
            </w:r>
            <w:r w:rsidR="0069053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del modelo CMMI versión 2.0 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32506601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312E4" w:rsidRPr="00CE6CAB" w14:paraId="33FEAC8F" w14:textId="77777777" w:rsidTr="00C234E6">
        <w:trPr>
          <w:trHeight w:val="300"/>
        </w:trPr>
        <w:tc>
          <w:tcPr>
            <w:tcW w:w="1260" w:type="dxa"/>
            <w:shd w:val="clear" w:color="auto" w:fill="D9D9D9" w:themeFill="background1" w:themeFillShade="D9"/>
            <w:noWrap/>
            <w:hideMark/>
          </w:tcPr>
          <w:p w14:paraId="5352B187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274" w:type="dxa"/>
            <w:shd w:val="clear" w:color="auto" w:fill="D9D9D9" w:themeFill="background1" w:themeFillShade="D9"/>
            <w:hideMark/>
          </w:tcPr>
          <w:p w14:paraId="267166D4" w14:textId="77777777" w:rsidR="008312E4" w:rsidRPr="00CE6CAB" w:rsidRDefault="008312E4" w:rsidP="008179EC">
            <w:pPr>
              <w:spacing w:after="0" w:line="240" w:lineRule="auto"/>
              <w:jc w:val="center"/>
              <w:rPr>
                <w:rFonts w:ascii="Zizou Slab" w:eastAsia="Times New Roman" w:hAnsi="Zizou Slab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2552" w:type="dxa"/>
            <w:shd w:val="clear" w:color="auto" w:fill="D9D9D9" w:themeFill="background1" w:themeFillShade="D9"/>
            <w:hideMark/>
          </w:tcPr>
          <w:p w14:paraId="6782A43C" w14:textId="77777777" w:rsidR="008312E4" w:rsidRPr="00CE6CAB" w:rsidRDefault="008312E4" w:rsidP="008179EC">
            <w:pPr>
              <w:spacing w:after="0" w:line="240" w:lineRule="auto"/>
              <w:jc w:val="center"/>
              <w:rPr>
                <w:rFonts w:ascii="Zizou Slab" w:eastAsia="Times New Roman" w:hAnsi="Zizou Slab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842" w:type="dxa"/>
            <w:shd w:val="clear" w:color="auto" w:fill="D9D9D9" w:themeFill="background1" w:themeFillShade="D9"/>
            <w:hideMark/>
          </w:tcPr>
          <w:p w14:paraId="19E38E1B" w14:textId="77777777" w:rsidR="008312E4" w:rsidRPr="00CE6CAB" w:rsidRDefault="008312E4" w:rsidP="008179EC">
            <w:pPr>
              <w:spacing w:after="0" w:line="240" w:lineRule="auto"/>
              <w:jc w:val="center"/>
              <w:rPr>
                <w:rFonts w:ascii="Zizou Slab" w:eastAsia="Times New Roman" w:hAnsi="Zizou Slab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hideMark/>
          </w:tcPr>
          <w:p w14:paraId="49CF6266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312E4" w:rsidRPr="00CE6CAB" w14:paraId="087DC8E3" w14:textId="77777777" w:rsidTr="00C234E6">
        <w:trPr>
          <w:trHeight w:val="740"/>
        </w:trPr>
        <w:tc>
          <w:tcPr>
            <w:tcW w:w="1260" w:type="dxa"/>
            <w:shd w:val="clear" w:color="000000" w:fill="F2F2F2"/>
            <w:hideMark/>
          </w:tcPr>
          <w:p w14:paraId="4C2ECB0E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Zizou Slab" w:eastAsia="Times New Roman" w:hAnsi="Zizou Slab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CMMI C02</w:t>
            </w:r>
          </w:p>
        </w:tc>
        <w:tc>
          <w:tcPr>
            <w:tcW w:w="2274" w:type="dxa"/>
            <w:shd w:val="clear" w:color="auto" w:fill="auto"/>
            <w:vAlign w:val="bottom"/>
            <w:hideMark/>
          </w:tcPr>
          <w:p w14:paraId="3A30C183" w14:textId="21F57D57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Analiza el caso adecuadamente y </w:t>
            </w:r>
            <w:r w:rsidRPr="00F725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propone</w:t>
            </w:r>
            <w:r w:rsidR="00C234E6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 xml:space="preserve"> 8</w:t>
            </w:r>
            <w:r w:rsidRPr="00F725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 xml:space="preserve"> oportunidades de mejora acordes al caso </w:t>
            </w: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y el área de práctica definida. </w:t>
            </w:r>
          </w:p>
        </w:tc>
        <w:tc>
          <w:tcPr>
            <w:tcW w:w="2552" w:type="dxa"/>
            <w:shd w:val="clear" w:color="auto" w:fill="auto"/>
            <w:hideMark/>
          </w:tcPr>
          <w:p w14:paraId="7B7C87DE" w14:textId="3032E531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Analiza el caso parcialmente, propone </w:t>
            </w:r>
            <w:r w:rsidR="00C234E6" w:rsidRPr="008179EC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eastAsia="es-PE"/>
              </w:rPr>
              <w:t>menos de 8</w:t>
            </w:r>
            <w:r w:rsidRPr="008179EC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eastAsia="es-PE"/>
              </w:rPr>
              <w:t xml:space="preserve"> oportunidades de mejora acordes al caso </w:t>
            </w: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y el área de práctica definida. </w:t>
            </w:r>
          </w:p>
        </w:tc>
        <w:tc>
          <w:tcPr>
            <w:tcW w:w="1842" w:type="dxa"/>
            <w:shd w:val="clear" w:color="auto" w:fill="auto"/>
            <w:hideMark/>
          </w:tcPr>
          <w:p w14:paraId="73754236" w14:textId="0EB25795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No </w:t>
            </w:r>
            <w:r w:rsidR="00C234E6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propone oportunidades de mejora o no tienen relación al caso. 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747A077A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312E4" w:rsidRPr="00C234E6" w14:paraId="6B7B3D4D" w14:textId="77777777" w:rsidTr="00C234E6">
        <w:trPr>
          <w:trHeight w:val="300"/>
        </w:trPr>
        <w:tc>
          <w:tcPr>
            <w:tcW w:w="1260" w:type="dxa"/>
            <w:shd w:val="clear" w:color="auto" w:fill="D9D9D9" w:themeFill="background1" w:themeFillShade="D9"/>
            <w:noWrap/>
            <w:hideMark/>
          </w:tcPr>
          <w:p w14:paraId="5C905FCA" w14:textId="77777777" w:rsidR="008312E4" w:rsidRPr="00C234E6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C234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274" w:type="dxa"/>
            <w:shd w:val="clear" w:color="auto" w:fill="D9D9D9" w:themeFill="background1" w:themeFillShade="D9"/>
            <w:hideMark/>
          </w:tcPr>
          <w:p w14:paraId="29B7B27C" w14:textId="14DAC212" w:rsidR="008312E4" w:rsidRPr="00C234E6" w:rsidRDefault="00C234E6" w:rsidP="00817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C234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2552" w:type="dxa"/>
            <w:shd w:val="clear" w:color="auto" w:fill="D9D9D9" w:themeFill="background1" w:themeFillShade="D9"/>
            <w:hideMark/>
          </w:tcPr>
          <w:p w14:paraId="0746FA52" w14:textId="5EA9C22A" w:rsidR="008312E4" w:rsidRPr="00C234E6" w:rsidRDefault="00C234E6" w:rsidP="00817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C234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842" w:type="dxa"/>
            <w:shd w:val="clear" w:color="auto" w:fill="D9D9D9" w:themeFill="background1" w:themeFillShade="D9"/>
            <w:hideMark/>
          </w:tcPr>
          <w:p w14:paraId="48FDC2E7" w14:textId="77777777" w:rsidR="008312E4" w:rsidRPr="00C234E6" w:rsidRDefault="008312E4" w:rsidP="00817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C234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hideMark/>
          </w:tcPr>
          <w:p w14:paraId="4A2AEAB7" w14:textId="77777777" w:rsidR="008312E4" w:rsidRPr="00C234E6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C234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C234E6" w:rsidRPr="00CE6CAB" w14:paraId="6F08C483" w14:textId="77777777" w:rsidTr="00C234E6">
        <w:trPr>
          <w:trHeight w:val="740"/>
        </w:trPr>
        <w:tc>
          <w:tcPr>
            <w:tcW w:w="1260" w:type="dxa"/>
            <w:shd w:val="clear" w:color="000000" w:fill="F2F2F2"/>
            <w:hideMark/>
          </w:tcPr>
          <w:p w14:paraId="11FC19A1" w14:textId="51AAA587" w:rsidR="00C234E6" w:rsidRPr="00CE6CAB" w:rsidRDefault="00C234E6" w:rsidP="008179EC">
            <w:pPr>
              <w:spacing w:after="0" w:line="240" w:lineRule="auto"/>
              <w:jc w:val="both"/>
              <w:rPr>
                <w:rFonts w:ascii="Zizou Slab" w:eastAsia="Times New Roman" w:hAnsi="Zizou Slab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CMMI C0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2274" w:type="dxa"/>
            <w:shd w:val="clear" w:color="auto" w:fill="auto"/>
            <w:vAlign w:val="bottom"/>
            <w:hideMark/>
          </w:tcPr>
          <w:p w14:paraId="0F6FE00D" w14:textId="0525F9F5" w:rsidR="00C234E6" w:rsidRPr="00690537" w:rsidRDefault="000451AA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9053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Reconoce </w:t>
            </w:r>
            <w:r w:rsidR="00690537" w:rsidRPr="0069053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cuatro</w:t>
            </w:r>
            <w:r w:rsidRPr="0069053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 xml:space="preserve"> puntos de las normas ISO que se pueden aplicar a cada fase del ciclo PECA / PDCA</w:t>
            </w:r>
            <w:r w:rsidR="00C234E6" w:rsidRPr="0069053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</w:t>
            </w:r>
          </w:p>
        </w:tc>
        <w:tc>
          <w:tcPr>
            <w:tcW w:w="2552" w:type="dxa"/>
            <w:shd w:val="clear" w:color="auto" w:fill="auto"/>
            <w:hideMark/>
          </w:tcPr>
          <w:p w14:paraId="51F30CCB" w14:textId="42FE41B6" w:rsidR="00C234E6" w:rsidRPr="00690537" w:rsidRDefault="000451AA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9053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Reconoce </w:t>
            </w:r>
            <w:r w:rsidRPr="0069053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 xml:space="preserve">parcialmente </w:t>
            </w:r>
            <w:r w:rsidR="00690537" w:rsidRPr="0069053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algunos de los cuatro puntos o totalmente menos de cuatro puntos</w:t>
            </w:r>
            <w:r w:rsidRPr="0069053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 xml:space="preserve"> de las normas ISO que se pueden aplicar a cada fase del ciclo PECA / PDCA.</w:t>
            </w:r>
          </w:p>
        </w:tc>
        <w:tc>
          <w:tcPr>
            <w:tcW w:w="1842" w:type="dxa"/>
            <w:shd w:val="clear" w:color="auto" w:fill="auto"/>
            <w:hideMark/>
          </w:tcPr>
          <w:p w14:paraId="743E98D1" w14:textId="24D607F1" w:rsidR="00C234E6" w:rsidRPr="00690537" w:rsidRDefault="000451AA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9053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No reconoce </w:t>
            </w:r>
            <w:r w:rsidRPr="0069053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los puntos de las normas ISO que se pueden aplicar a cada fase del ciclo PECA / PDCA.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079784C" w14:textId="77777777" w:rsidR="00C234E6" w:rsidRPr="00CE6CAB" w:rsidRDefault="00C234E6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234E6" w:rsidRPr="00C234E6" w14:paraId="118AAD92" w14:textId="77777777" w:rsidTr="00C234E6">
        <w:trPr>
          <w:trHeight w:val="300"/>
        </w:trPr>
        <w:tc>
          <w:tcPr>
            <w:tcW w:w="1260" w:type="dxa"/>
            <w:shd w:val="clear" w:color="auto" w:fill="D9D9D9" w:themeFill="background1" w:themeFillShade="D9"/>
            <w:noWrap/>
            <w:hideMark/>
          </w:tcPr>
          <w:p w14:paraId="3E67CBAD" w14:textId="77777777" w:rsidR="00C234E6" w:rsidRPr="00C234E6" w:rsidRDefault="00C234E6" w:rsidP="008179E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eastAsia="es-PE"/>
              </w:rPr>
            </w:pPr>
            <w:r w:rsidRPr="00C234E6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274" w:type="dxa"/>
            <w:shd w:val="clear" w:color="auto" w:fill="D9D9D9" w:themeFill="background1" w:themeFillShade="D9"/>
            <w:hideMark/>
          </w:tcPr>
          <w:p w14:paraId="2EFD8FE1" w14:textId="3205A5B7" w:rsidR="00C234E6" w:rsidRPr="00C234E6" w:rsidRDefault="00C234E6" w:rsidP="008179E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eastAsia="es-PE"/>
              </w:rPr>
            </w:pPr>
            <w:r w:rsidRPr="00C234E6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2552" w:type="dxa"/>
            <w:shd w:val="clear" w:color="auto" w:fill="D9D9D9" w:themeFill="background1" w:themeFillShade="D9"/>
            <w:hideMark/>
          </w:tcPr>
          <w:p w14:paraId="50857105" w14:textId="7DE86745" w:rsidR="00C234E6" w:rsidRPr="00C234E6" w:rsidRDefault="00C234E6" w:rsidP="008179E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eastAsia="es-PE"/>
              </w:rPr>
            </w:pPr>
            <w:r w:rsidRPr="00C234E6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842" w:type="dxa"/>
            <w:shd w:val="clear" w:color="auto" w:fill="D9D9D9" w:themeFill="background1" w:themeFillShade="D9"/>
            <w:hideMark/>
          </w:tcPr>
          <w:p w14:paraId="2A4DB531" w14:textId="77777777" w:rsidR="00C234E6" w:rsidRPr="00C234E6" w:rsidRDefault="00C234E6" w:rsidP="008179E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eastAsia="es-PE"/>
              </w:rPr>
            </w:pPr>
            <w:r w:rsidRPr="00C234E6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hideMark/>
          </w:tcPr>
          <w:p w14:paraId="022CF39E" w14:textId="77777777" w:rsidR="00C234E6" w:rsidRPr="00C234E6" w:rsidRDefault="00C234E6" w:rsidP="008179E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eastAsia="es-PE"/>
              </w:rPr>
            </w:pPr>
            <w:r w:rsidRPr="00C234E6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eastAsia="es-PE"/>
              </w:rPr>
              <w:t> </w:t>
            </w:r>
          </w:p>
        </w:tc>
      </w:tr>
      <w:tr w:rsidR="008312E4" w:rsidRPr="00CE6CAB" w14:paraId="0B82F32A" w14:textId="77777777" w:rsidTr="00C234E6">
        <w:trPr>
          <w:trHeight w:val="29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EBB678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TOTAL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7AC41167" w14:textId="401E843B" w:rsidR="008312E4" w:rsidRPr="00CE6CAB" w:rsidRDefault="00C234E6" w:rsidP="007628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EDC8757" w14:textId="029A6348" w:rsidR="008312E4" w:rsidRPr="00CE6CAB" w:rsidRDefault="00C234E6" w:rsidP="007628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D40F63C" w14:textId="77777777" w:rsidR="008312E4" w:rsidRPr="00CE6CAB" w:rsidRDefault="008312E4" w:rsidP="007628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40334FA3" w14:textId="77777777" w:rsidR="008312E4" w:rsidRPr="00CE6CAB" w:rsidRDefault="008312E4" w:rsidP="008179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E6CAB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</w:tbl>
    <w:p w14:paraId="5AFCED72" w14:textId="77777777" w:rsidR="008312E4" w:rsidRPr="0067330F" w:rsidRDefault="008312E4" w:rsidP="008179EC">
      <w:pPr>
        <w:pStyle w:val="ListParagraph"/>
        <w:tabs>
          <w:tab w:val="left" w:pos="426"/>
        </w:tabs>
        <w:spacing w:after="0" w:line="240" w:lineRule="auto"/>
        <w:ind w:left="360"/>
        <w:jc w:val="both"/>
        <w:textAlignment w:val="baseline"/>
        <w:rPr>
          <w:noProof/>
          <w:lang w:val="es-ES" w:eastAsia="es-ES"/>
        </w:rPr>
      </w:pPr>
    </w:p>
    <w:sectPr w:rsidR="008312E4" w:rsidRPr="0067330F" w:rsidSect="00831D3F">
      <w:footerReference w:type="default" r:id="rId9"/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F34F9" w14:textId="77777777" w:rsidR="00744A1E" w:rsidRDefault="00744A1E" w:rsidP="00B71682">
      <w:pPr>
        <w:spacing w:after="0" w:line="240" w:lineRule="auto"/>
      </w:pPr>
      <w:r>
        <w:separator/>
      </w:r>
    </w:p>
  </w:endnote>
  <w:endnote w:type="continuationSeparator" w:id="0">
    <w:p w14:paraId="06B54F6C" w14:textId="77777777" w:rsidR="00744A1E" w:rsidRDefault="00744A1E" w:rsidP="00B7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izou Slab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741615"/>
      <w:docPartObj>
        <w:docPartGallery w:val="Page Numbers (Bottom of Page)"/>
        <w:docPartUnique/>
      </w:docPartObj>
    </w:sdtPr>
    <w:sdtContent>
      <w:p w14:paraId="165F8243" w14:textId="025ECBF6" w:rsidR="003B19AD" w:rsidRDefault="003B19AD" w:rsidP="006326D1">
        <w:pPr>
          <w:pStyle w:val="Footer"/>
          <w:jc w:val="right"/>
        </w:pPr>
        <w:r>
          <w:t xml:space="preserve">Pág.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87433" w:rsidRPr="00C87433">
          <w:rPr>
            <w:noProof/>
            <w:lang w:val="es-ES"/>
          </w:rPr>
          <w:t>1</w:t>
        </w:r>
        <w:r>
          <w:fldChar w:fldCharType="end"/>
        </w:r>
      </w:p>
    </w:sdtContent>
  </w:sdt>
  <w:p w14:paraId="69E179F8" w14:textId="77777777" w:rsidR="00DF14B6" w:rsidRDefault="00DF1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1B729" w14:textId="77777777" w:rsidR="00744A1E" w:rsidRDefault="00744A1E" w:rsidP="00B71682">
      <w:pPr>
        <w:spacing w:after="0" w:line="240" w:lineRule="auto"/>
      </w:pPr>
      <w:r>
        <w:separator/>
      </w:r>
    </w:p>
  </w:footnote>
  <w:footnote w:type="continuationSeparator" w:id="0">
    <w:p w14:paraId="523F77A0" w14:textId="77777777" w:rsidR="00744A1E" w:rsidRDefault="00744A1E" w:rsidP="00B7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1204E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73313"/>
    <w:multiLevelType w:val="hybridMultilevel"/>
    <w:tmpl w:val="69B8455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242A0"/>
    <w:multiLevelType w:val="hybridMultilevel"/>
    <w:tmpl w:val="504AACF4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9C1EEB"/>
    <w:multiLevelType w:val="hybridMultilevel"/>
    <w:tmpl w:val="96664350"/>
    <w:lvl w:ilvl="0" w:tplc="A094E742">
      <w:start w:val="1"/>
      <w:numFmt w:val="lowerRoman"/>
      <w:lvlText w:val="%1."/>
      <w:lvlJc w:val="right"/>
      <w:pPr>
        <w:ind w:left="720" w:hanging="360"/>
      </w:pPr>
      <w:rPr>
        <w:sz w:val="22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EDA0B12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09F6"/>
    <w:multiLevelType w:val="hybridMultilevel"/>
    <w:tmpl w:val="BAD2924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2327C7"/>
    <w:multiLevelType w:val="hybridMultilevel"/>
    <w:tmpl w:val="28A6DEBE"/>
    <w:lvl w:ilvl="0" w:tplc="B7CA3F2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28132D"/>
    <w:multiLevelType w:val="multilevel"/>
    <w:tmpl w:val="8E28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92E99"/>
    <w:multiLevelType w:val="multilevel"/>
    <w:tmpl w:val="E25A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54378"/>
    <w:multiLevelType w:val="hybridMultilevel"/>
    <w:tmpl w:val="69B8455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65166"/>
    <w:multiLevelType w:val="hybridMultilevel"/>
    <w:tmpl w:val="F90611E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8F63E2B"/>
    <w:multiLevelType w:val="hybridMultilevel"/>
    <w:tmpl w:val="E286EAA2"/>
    <w:lvl w:ilvl="0" w:tplc="9DF42AE4">
      <w:start w:val="1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40B3A"/>
    <w:multiLevelType w:val="hybridMultilevel"/>
    <w:tmpl w:val="AD808CF4"/>
    <w:lvl w:ilvl="0" w:tplc="3AA40FD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A7198"/>
    <w:multiLevelType w:val="multilevel"/>
    <w:tmpl w:val="628C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C691C"/>
    <w:multiLevelType w:val="hybridMultilevel"/>
    <w:tmpl w:val="FBEE7334"/>
    <w:lvl w:ilvl="0" w:tplc="7AAA69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A5831"/>
    <w:multiLevelType w:val="hybridMultilevel"/>
    <w:tmpl w:val="7D96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83CDC"/>
    <w:multiLevelType w:val="hybridMultilevel"/>
    <w:tmpl w:val="CB6455F0"/>
    <w:lvl w:ilvl="0" w:tplc="9C8AE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520FA2"/>
    <w:multiLevelType w:val="multilevel"/>
    <w:tmpl w:val="B824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2F3B96"/>
    <w:multiLevelType w:val="hybridMultilevel"/>
    <w:tmpl w:val="69B8455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C4BC5"/>
    <w:multiLevelType w:val="hybridMultilevel"/>
    <w:tmpl w:val="0750D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B5595"/>
    <w:multiLevelType w:val="hybridMultilevel"/>
    <w:tmpl w:val="EC9EF4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42EF6"/>
    <w:multiLevelType w:val="hybridMultilevel"/>
    <w:tmpl w:val="934A28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66F0C"/>
    <w:multiLevelType w:val="multilevel"/>
    <w:tmpl w:val="DFF2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84273"/>
    <w:multiLevelType w:val="multilevel"/>
    <w:tmpl w:val="FBFA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400C8"/>
    <w:multiLevelType w:val="hybridMultilevel"/>
    <w:tmpl w:val="5B88EB46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713046E"/>
    <w:multiLevelType w:val="hybridMultilevel"/>
    <w:tmpl w:val="26DC36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B10743"/>
    <w:multiLevelType w:val="hybridMultilevel"/>
    <w:tmpl w:val="949A5D40"/>
    <w:lvl w:ilvl="0" w:tplc="CCD6A8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4038AD"/>
    <w:multiLevelType w:val="hybridMultilevel"/>
    <w:tmpl w:val="1F6AB07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CA6784B"/>
    <w:multiLevelType w:val="hybridMultilevel"/>
    <w:tmpl w:val="3B0E05C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3D17576B"/>
    <w:multiLevelType w:val="hybridMultilevel"/>
    <w:tmpl w:val="F154E9B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F1B37BC"/>
    <w:multiLevelType w:val="multilevel"/>
    <w:tmpl w:val="137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117106"/>
    <w:multiLevelType w:val="hybridMultilevel"/>
    <w:tmpl w:val="8970EFA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2351F13"/>
    <w:multiLevelType w:val="hybridMultilevel"/>
    <w:tmpl w:val="BEB812B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27E22B3"/>
    <w:multiLevelType w:val="multilevel"/>
    <w:tmpl w:val="AF9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DE7A06"/>
    <w:multiLevelType w:val="multilevel"/>
    <w:tmpl w:val="3A44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617A51"/>
    <w:multiLevelType w:val="hybridMultilevel"/>
    <w:tmpl w:val="7722F52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4B941F2"/>
    <w:multiLevelType w:val="hybridMultilevel"/>
    <w:tmpl w:val="09020E42"/>
    <w:lvl w:ilvl="0" w:tplc="36C2FF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8A23BE"/>
    <w:multiLevelType w:val="hybridMultilevel"/>
    <w:tmpl w:val="69B8455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700389"/>
    <w:multiLevelType w:val="hybridMultilevel"/>
    <w:tmpl w:val="7B62CC9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7519EB"/>
    <w:multiLevelType w:val="hybridMultilevel"/>
    <w:tmpl w:val="C5B67C1C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2E450A"/>
    <w:multiLevelType w:val="multilevel"/>
    <w:tmpl w:val="8FC8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A14A2E"/>
    <w:multiLevelType w:val="hybridMultilevel"/>
    <w:tmpl w:val="1150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7227B7"/>
    <w:multiLevelType w:val="hybridMultilevel"/>
    <w:tmpl w:val="BAFE24C2"/>
    <w:lvl w:ilvl="0" w:tplc="28468B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511CAE"/>
    <w:multiLevelType w:val="multilevel"/>
    <w:tmpl w:val="ED22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720E68"/>
    <w:multiLevelType w:val="hybridMultilevel"/>
    <w:tmpl w:val="69B8455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387A46"/>
    <w:multiLevelType w:val="hybridMultilevel"/>
    <w:tmpl w:val="5E52E264"/>
    <w:lvl w:ilvl="0" w:tplc="280A001B">
      <w:start w:val="1"/>
      <w:numFmt w:val="lowerRoman"/>
      <w:lvlText w:val="%1."/>
      <w:lvlJc w:val="righ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F952814"/>
    <w:multiLevelType w:val="hybridMultilevel"/>
    <w:tmpl w:val="69D0EF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413ECD"/>
    <w:multiLevelType w:val="hybridMultilevel"/>
    <w:tmpl w:val="24F4084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45D0221"/>
    <w:multiLevelType w:val="hybridMultilevel"/>
    <w:tmpl w:val="D830456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65E837F2"/>
    <w:multiLevelType w:val="hybridMultilevel"/>
    <w:tmpl w:val="69B8455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895B38"/>
    <w:multiLevelType w:val="hybridMultilevel"/>
    <w:tmpl w:val="F6F6F05A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98F6721"/>
    <w:multiLevelType w:val="hybridMultilevel"/>
    <w:tmpl w:val="E9B2EA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A0748B"/>
    <w:multiLevelType w:val="hybridMultilevel"/>
    <w:tmpl w:val="8EFCDED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A1B6EAE"/>
    <w:multiLevelType w:val="multilevel"/>
    <w:tmpl w:val="A486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0019B1"/>
    <w:multiLevelType w:val="hybridMultilevel"/>
    <w:tmpl w:val="8752F6F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E1276FE"/>
    <w:multiLevelType w:val="hybridMultilevel"/>
    <w:tmpl w:val="69B8455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D060AB"/>
    <w:multiLevelType w:val="hybridMultilevel"/>
    <w:tmpl w:val="906C0796"/>
    <w:lvl w:ilvl="0" w:tplc="14D6AF9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7470CD"/>
    <w:multiLevelType w:val="hybridMultilevel"/>
    <w:tmpl w:val="658AB8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7A6FD6"/>
    <w:multiLevelType w:val="hybridMultilevel"/>
    <w:tmpl w:val="7AE071F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39609BF"/>
    <w:multiLevelType w:val="hybridMultilevel"/>
    <w:tmpl w:val="26BEA35C"/>
    <w:lvl w:ilvl="0" w:tplc="7BE0C3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9" w15:restartNumberingAfterBreak="0">
    <w:nsid w:val="744013E4"/>
    <w:multiLevelType w:val="hybridMultilevel"/>
    <w:tmpl w:val="A4B65F82"/>
    <w:lvl w:ilvl="0" w:tplc="64AA52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CABEC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98EF8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E986F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18A08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DE04B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2018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8099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632B3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0" w15:restartNumberingAfterBreak="0">
    <w:nsid w:val="78215187"/>
    <w:multiLevelType w:val="hybridMultilevel"/>
    <w:tmpl w:val="BB74E1B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89B2585"/>
    <w:multiLevelType w:val="multilevel"/>
    <w:tmpl w:val="289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155DDA"/>
    <w:multiLevelType w:val="hybridMultilevel"/>
    <w:tmpl w:val="8A402CF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D5C0D47"/>
    <w:multiLevelType w:val="hybridMultilevel"/>
    <w:tmpl w:val="1436C25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9594703">
    <w:abstractNumId w:val="63"/>
  </w:num>
  <w:num w:numId="2" w16cid:durableId="1468859146">
    <w:abstractNumId w:val="0"/>
  </w:num>
  <w:num w:numId="3" w16cid:durableId="1106847953">
    <w:abstractNumId w:val="50"/>
  </w:num>
  <w:num w:numId="4" w16cid:durableId="87435867">
    <w:abstractNumId w:val="31"/>
  </w:num>
  <w:num w:numId="5" w16cid:durableId="1216744219">
    <w:abstractNumId w:val="15"/>
  </w:num>
  <w:num w:numId="6" w16cid:durableId="1731152943">
    <w:abstractNumId w:val="44"/>
  </w:num>
  <w:num w:numId="7" w16cid:durableId="2080402173">
    <w:abstractNumId w:val="2"/>
  </w:num>
  <w:num w:numId="8" w16cid:durableId="965887021">
    <w:abstractNumId w:val="57"/>
  </w:num>
  <w:num w:numId="9" w16cid:durableId="1948661494">
    <w:abstractNumId w:val="59"/>
  </w:num>
  <w:num w:numId="10" w16cid:durableId="1112821676">
    <w:abstractNumId w:val="38"/>
  </w:num>
  <w:num w:numId="11" w16cid:durableId="524907758">
    <w:abstractNumId w:val="23"/>
  </w:num>
  <w:num w:numId="12" w16cid:durableId="47653148">
    <w:abstractNumId w:val="41"/>
  </w:num>
  <w:num w:numId="13" w16cid:durableId="1047798935">
    <w:abstractNumId w:val="46"/>
  </w:num>
  <w:num w:numId="14" w16cid:durableId="33894517">
    <w:abstractNumId w:val="49"/>
  </w:num>
  <w:num w:numId="15" w16cid:durableId="1617902221">
    <w:abstractNumId w:val="14"/>
  </w:num>
  <w:num w:numId="16" w16cid:durableId="93791102">
    <w:abstractNumId w:val="62"/>
  </w:num>
  <w:num w:numId="17" w16cid:durableId="672339447">
    <w:abstractNumId w:val="3"/>
  </w:num>
  <w:num w:numId="18" w16cid:durableId="1881630207">
    <w:abstractNumId w:val="13"/>
  </w:num>
  <w:num w:numId="19" w16cid:durableId="1521317965">
    <w:abstractNumId w:val="35"/>
  </w:num>
  <w:num w:numId="20" w16cid:durableId="52395095">
    <w:abstractNumId w:val="5"/>
  </w:num>
  <w:num w:numId="21" w16cid:durableId="2014916217">
    <w:abstractNumId w:val="37"/>
  </w:num>
  <w:num w:numId="22" w16cid:durableId="2008630495">
    <w:abstractNumId w:val="17"/>
  </w:num>
  <w:num w:numId="23" w16cid:durableId="2095588309">
    <w:abstractNumId w:val="36"/>
  </w:num>
  <w:num w:numId="24" w16cid:durableId="495540380">
    <w:abstractNumId w:val="54"/>
  </w:num>
  <w:num w:numId="25" w16cid:durableId="1901164620">
    <w:abstractNumId w:val="48"/>
  </w:num>
  <w:num w:numId="26" w16cid:durableId="831290326">
    <w:abstractNumId w:val="8"/>
  </w:num>
  <w:num w:numId="27" w16cid:durableId="2043169289">
    <w:abstractNumId w:val="43"/>
  </w:num>
  <w:num w:numId="28" w16cid:durableId="672876485">
    <w:abstractNumId w:val="18"/>
  </w:num>
  <w:num w:numId="29" w16cid:durableId="1456677379">
    <w:abstractNumId w:val="27"/>
  </w:num>
  <w:num w:numId="30" w16cid:durableId="1842814697">
    <w:abstractNumId w:val="58"/>
  </w:num>
  <w:num w:numId="31" w16cid:durableId="716205097">
    <w:abstractNumId w:val="47"/>
  </w:num>
  <w:num w:numId="32" w16cid:durableId="1131947181">
    <w:abstractNumId w:val="9"/>
  </w:num>
  <w:num w:numId="33" w16cid:durableId="79375055">
    <w:abstractNumId w:val="45"/>
  </w:num>
  <w:num w:numId="34" w16cid:durableId="1310525231">
    <w:abstractNumId w:val="26"/>
  </w:num>
  <w:num w:numId="35" w16cid:durableId="1328433795">
    <w:abstractNumId w:val="1"/>
  </w:num>
  <w:num w:numId="36" w16cid:durableId="1624311783">
    <w:abstractNumId w:val="60"/>
  </w:num>
  <w:num w:numId="37" w16cid:durableId="1634560261">
    <w:abstractNumId w:val="28"/>
  </w:num>
  <w:num w:numId="38" w16cid:durableId="1570505019">
    <w:abstractNumId w:val="24"/>
  </w:num>
  <w:num w:numId="39" w16cid:durableId="1479423220">
    <w:abstractNumId w:val="55"/>
  </w:num>
  <w:num w:numId="40" w16cid:durableId="43650851">
    <w:abstractNumId w:val="25"/>
  </w:num>
  <w:num w:numId="41" w16cid:durableId="1883638916">
    <w:abstractNumId w:val="56"/>
  </w:num>
  <w:num w:numId="42" w16cid:durableId="1565021728">
    <w:abstractNumId w:val="53"/>
  </w:num>
  <w:num w:numId="43" w16cid:durableId="1115439956">
    <w:abstractNumId w:val="20"/>
  </w:num>
  <w:num w:numId="44" w16cid:durableId="699624357">
    <w:abstractNumId w:val="40"/>
  </w:num>
  <w:num w:numId="45" w16cid:durableId="165898688">
    <w:abstractNumId w:val="19"/>
  </w:num>
  <w:num w:numId="46" w16cid:durableId="144516280">
    <w:abstractNumId w:val="10"/>
  </w:num>
  <w:num w:numId="47" w16cid:durableId="1937398677">
    <w:abstractNumId w:val="11"/>
  </w:num>
  <w:num w:numId="48" w16cid:durableId="1524127855">
    <w:abstractNumId w:val="4"/>
  </w:num>
  <w:num w:numId="49" w16cid:durableId="1680739173">
    <w:abstractNumId w:val="30"/>
  </w:num>
  <w:num w:numId="50" w16cid:durableId="947392287">
    <w:abstractNumId w:val="21"/>
  </w:num>
  <w:num w:numId="51" w16cid:durableId="1067915404">
    <w:abstractNumId w:val="39"/>
  </w:num>
  <w:num w:numId="52" w16cid:durableId="1416055140">
    <w:abstractNumId w:val="42"/>
  </w:num>
  <w:num w:numId="53" w16cid:durableId="1388841844">
    <w:abstractNumId w:val="33"/>
  </w:num>
  <w:num w:numId="54" w16cid:durableId="2089032678">
    <w:abstractNumId w:val="6"/>
  </w:num>
  <w:num w:numId="55" w16cid:durableId="1431702612">
    <w:abstractNumId w:val="61"/>
  </w:num>
  <w:num w:numId="56" w16cid:durableId="126552315">
    <w:abstractNumId w:val="22"/>
  </w:num>
  <w:num w:numId="57" w16cid:durableId="610892375">
    <w:abstractNumId w:val="32"/>
  </w:num>
  <w:num w:numId="58" w16cid:durableId="616759304">
    <w:abstractNumId w:val="16"/>
  </w:num>
  <w:num w:numId="59" w16cid:durableId="2050451738">
    <w:abstractNumId w:val="52"/>
  </w:num>
  <w:num w:numId="60" w16cid:durableId="1787508366">
    <w:abstractNumId w:val="29"/>
  </w:num>
  <w:num w:numId="61" w16cid:durableId="1252011642">
    <w:abstractNumId w:val="34"/>
  </w:num>
  <w:num w:numId="62" w16cid:durableId="1197155415">
    <w:abstractNumId w:val="51"/>
  </w:num>
  <w:num w:numId="63" w16cid:durableId="324287335">
    <w:abstractNumId w:val="7"/>
  </w:num>
  <w:num w:numId="64" w16cid:durableId="41907064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FDD"/>
    <w:rsid w:val="00005E35"/>
    <w:rsid w:val="00021E65"/>
    <w:rsid w:val="00024199"/>
    <w:rsid w:val="00026B6B"/>
    <w:rsid w:val="000346B9"/>
    <w:rsid w:val="000423BE"/>
    <w:rsid w:val="000451AA"/>
    <w:rsid w:val="000462B4"/>
    <w:rsid w:val="00057AB6"/>
    <w:rsid w:val="00057BAE"/>
    <w:rsid w:val="00064F66"/>
    <w:rsid w:val="000652BE"/>
    <w:rsid w:val="00067C37"/>
    <w:rsid w:val="000703EF"/>
    <w:rsid w:val="000707A1"/>
    <w:rsid w:val="00071997"/>
    <w:rsid w:val="000756EE"/>
    <w:rsid w:val="00075894"/>
    <w:rsid w:val="00091DC5"/>
    <w:rsid w:val="00095EBC"/>
    <w:rsid w:val="00096E03"/>
    <w:rsid w:val="00096FBC"/>
    <w:rsid w:val="000A1C82"/>
    <w:rsid w:val="000A216B"/>
    <w:rsid w:val="000A4381"/>
    <w:rsid w:val="000B09EA"/>
    <w:rsid w:val="000C5240"/>
    <w:rsid w:val="000C5670"/>
    <w:rsid w:val="000C5F0B"/>
    <w:rsid w:val="000C6562"/>
    <w:rsid w:val="000E205F"/>
    <w:rsid w:val="000F04A7"/>
    <w:rsid w:val="000F0785"/>
    <w:rsid w:val="000F1E29"/>
    <w:rsid w:val="0010013B"/>
    <w:rsid w:val="00114C73"/>
    <w:rsid w:val="00115F89"/>
    <w:rsid w:val="00125B69"/>
    <w:rsid w:val="00130978"/>
    <w:rsid w:val="0013158F"/>
    <w:rsid w:val="001375E4"/>
    <w:rsid w:val="001453CF"/>
    <w:rsid w:val="00156FBB"/>
    <w:rsid w:val="00157774"/>
    <w:rsid w:val="001579E2"/>
    <w:rsid w:val="00161B41"/>
    <w:rsid w:val="00161F3D"/>
    <w:rsid w:val="001634E9"/>
    <w:rsid w:val="001635C7"/>
    <w:rsid w:val="00163A59"/>
    <w:rsid w:val="00165B54"/>
    <w:rsid w:val="00166A7D"/>
    <w:rsid w:val="00166D55"/>
    <w:rsid w:val="00174A0A"/>
    <w:rsid w:val="001760F8"/>
    <w:rsid w:val="0018601C"/>
    <w:rsid w:val="001877E1"/>
    <w:rsid w:val="00191B0F"/>
    <w:rsid w:val="00193411"/>
    <w:rsid w:val="00194A72"/>
    <w:rsid w:val="00196B70"/>
    <w:rsid w:val="00196E4F"/>
    <w:rsid w:val="001A290C"/>
    <w:rsid w:val="001A7A58"/>
    <w:rsid w:val="001B0BF3"/>
    <w:rsid w:val="001C4878"/>
    <w:rsid w:val="001D60BF"/>
    <w:rsid w:val="001E0024"/>
    <w:rsid w:val="001E093C"/>
    <w:rsid w:val="001E3392"/>
    <w:rsid w:val="001E566D"/>
    <w:rsid w:val="001E6E45"/>
    <w:rsid w:val="001F2550"/>
    <w:rsid w:val="001F51C2"/>
    <w:rsid w:val="001F690C"/>
    <w:rsid w:val="0020061F"/>
    <w:rsid w:val="002051AA"/>
    <w:rsid w:val="00211824"/>
    <w:rsid w:val="002133AB"/>
    <w:rsid w:val="002136C6"/>
    <w:rsid w:val="0021567A"/>
    <w:rsid w:val="00222430"/>
    <w:rsid w:val="00230A8C"/>
    <w:rsid w:val="00233822"/>
    <w:rsid w:val="002368DB"/>
    <w:rsid w:val="002371B9"/>
    <w:rsid w:val="00245F09"/>
    <w:rsid w:val="0024635F"/>
    <w:rsid w:val="002607E4"/>
    <w:rsid w:val="00267F0E"/>
    <w:rsid w:val="00271DE0"/>
    <w:rsid w:val="00272202"/>
    <w:rsid w:val="00281444"/>
    <w:rsid w:val="00290968"/>
    <w:rsid w:val="002918F6"/>
    <w:rsid w:val="0029780E"/>
    <w:rsid w:val="002A38BA"/>
    <w:rsid w:val="002B0CEC"/>
    <w:rsid w:val="002C19EF"/>
    <w:rsid w:val="002D0B3C"/>
    <w:rsid w:val="002D5CDB"/>
    <w:rsid w:val="002F13A4"/>
    <w:rsid w:val="002F733D"/>
    <w:rsid w:val="00302AA7"/>
    <w:rsid w:val="0031550A"/>
    <w:rsid w:val="003156F1"/>
    <w:rsid w:val="003177FF"/>
    <w:rsid w:val="00321898"/>
    <w:rsid w:val="003222CE"/>
    <w:rsid w:val="0032534E"/>
    <w:rsid w:val="00326245"/>
    <w:rsid w:val="0033167A"/>
    <w:rsid w:val="00334236"/>
    <w:rsid w:val="0033614A"/>
    <w:rsid w:val="00343913"/>
    <w:rsid w:val="00347B55"/>
    <w:rsid w:val="003521EF"/>
    <w:rsid w:val="003627E4"/>
    <w:rsid w:val="00367DF2"/>
    <w:rsid w:val="00374B7F"/>
    <w:rsid w:val="00376357"/>
    <w:rsid w:val="00377E3C"/>
    <w:rsid w:val="003822A7"/>
    <w:rsid w:val="003836C6"/>
    <w:rsid w:val="00385AB8"/>
    <w:rsid w:val="00391EAC"/>
    <w:rsid w:val="003942BD"/>
    <w:rsid w:val="00395F1F"/>
    <w:rsid w:val="003A5F1B"/>
    <w:rsid w:val="003B04E3"/>
    <w:rsid w:val="003B19AD"/>
    <w:rsid w:val="003B3CA0"/>
    <w:rsid w:val="003B3DCB"/>
    <w:rsid w:val="003B5E17"/>
    <w:rsid w:val="003C0519"/>
    <w:rsid w:val="003C1310"/>
    <w:rsid w:val="003C30EE"/>
    <w:rsid w:val="003D5ADF"/>
    <w:rsid w:val="003D76AC"/>
    <w:rsid w:val="003D7979"/>
    <w:rsid w:val="003E0C0D"/>
    <w:rsid w:val="003E4F07"/>
    <w:rsid w:val="003F3784"/>
    <w:rsid w:val="003F508A"/>
    <w:rsid w:val="003F5868"/>
    <w:rsid w:val="0040441A"/>
    <w:rsid w:val="00405863"/>
    <w:rsid w:val="004067DA"/>
    <w:rsid w:val="00406CD1"/>
    <w:rsid w:val="00407F4D"/>
    <w:rsid w:val="00410EE4"/>
    <w:rsid w:val="00411BF1"/>
    <w:rsid w:val="004121D2"/>
    <w:rsid w:val="00420877"/>
    <w:rsid w:val="00421B56"/>
    <w:rsid w:val="0043578C"/>
    <w:rsid w:val="004405C1"/>
    <w:rsid w:val="00445A0F"/>
    <w:rsid w:val="00464A37"/>
    <w:rsid w:val="00475616"/>
    <w:rsid w:val="004824CE"/>
    <w:rsid w:val="004850DE"/>
    <w:rsid w:val="00495831"/>
    <w:rsid w:val="00497639"/>
    <w:rsid w:val="004A24D6"/>
    <w:rsid w:val="004A35CB"/>
    <w:rsid w:val="004B62EC"/>
    <w:rsid w:val="004B72D8"/>
    <w:rsid w:val="004C760C"/>
    <w:rsid w:val="004E105E"/>
    <w:rsid w:val="004F252C"/>
    <w:rsid w:val="004F596D"/>
    <w:rsid w:val="004F7B7C"/>
    <w:rsid w:val="005008EE"/>
    <w:rsid w:val="005017E6"/>
    <w:rsid w:val="00502F8C"/>
    <w:rsid w:val="005128B1"/>
    <w:rsid w:val="00514928"/>
    <w:rsid w:val="00517117"/>
    <w:rsid w:val="0052139C"/>
    <w:rsid w:val="00522501"/>
    <w:rsid w:val="00526F98"/>
    <w:rsid w:val="0053219A"/>
    <w:rsid w:val="0053395D"/>
    <w:rsid w:val="00537F53"/>
    <w:rsid w:val="005402C1"/>
    <w:rsid w:val="00540454"/>
    <w:rsid w:val="005451FF"/>
    <w:rsid w:val="0054531D"/>
    <w:rsid w:val="00545DE7"/>
    <w:rsid w:val="00547372"/>
    <w:rsid w:val="005515DE"/>
    <w:rsid w:val="005573F2"/>
    <w:rsid w:val="00562243"/>
    <w:rsid w:val="005766B7"/>
    <w:rsid w:val="005768F3"/>
    <w:rsid w:val="00577468"/>
    <w:rsid w:val="005819AC"/>
    <w:rsid w:val="0058259C"/>
    <w:rsid w:val="00584D0A"/>
    <w:rsid w:val="00592EB9"/>
    <w:rsid w:val="00597EC3"/>
    <w:rsid w:val="005A0E6F"/>
    <w:rsid w:val="005A1714"/>
    <w:rsid w:val="005A50FD"/>
    <w:rsid w:val="005A656A"/>
    <w:rsid w:val="005B5F18"/>
    <w:rsid w:val="005C4156"/>
    <w:rsid w:val="005C5D8E"/>
    <w:rsid w:val="005D1EC9"/>
    <w:rsid w:val="005D57F3"/>
    <w:rsid w:val="005D6B81"/>
    <w:rsid w:val="005E118C"/>
    <w:rsid w:val="005F5AEA"/>
    <w:rsid w:val="00605B76"/>
    <w:rsid w:val="006072DE"/>
    <w:rsid w:val="00607EC4"/>
    <w:rsid w:val="006104B5"/>
    <w:rsid w:val="00623098"/>
    <w:rsid w:val="00624052"/>
    <w:rsid w:val="006326D1"/>
    <w:rsid w:val="0063478E"/>
    <w:rsid w:val="00654682"/>
    <w:rsid w:val="00665B18"/>
    <w:rsid w:val="00665ECC"/>
    <w:rsid w:val="0067055D"/>
    <w:rsid w:val="00672EA8"/>
    <w:rsid w:val="0067330F"/>
    <w:rsid w:val="00674FF7"/>
    <w:rsid w:val="006761D0"/>
    <w:rsid w:val="00680990"/>
    <w:rsid w:val="006811D6"/>
    <w:rsid w:val="00681C58"/>
    <w:rsid w:val="006826B6"/>
    <w:rsid w:val="00683474"/>
    <w:rsid w:val="00690537"/>
    <w:rsid w:val="006A7E74"/>
    <w:rsid w:val="006B0375"/>
    <w:rsid w:val="006B346F"/>
    <w:rsid w:val="006B5739"/>
    <w:rsid w:val="006B6B59"/>
    <w:rsid w:val="006C3DE9"/>
    <w:rsid w:val="006D30AF"/>
    <w:rsid w:val="006D4F83"/>
    <w:rsid w:val="006D581D"/>
    <w:rsid w:val="006D5C9C"/>
    <w:rsid w:val="006E1F01"/>
    <w:rsid w:val="006E4E80"/>
    <w:rsid w:val="006E5190"/>
    <w:rsid w:val="006E6E7F"/>
    <w:rsid w:val="006F402D"/>
    <w:rsid w:val="006F409D"/>
    <w:rsid w:val="006F7A44"/>
    <w:rsid w:val="00703C0C"/>
    <w:rsid w:val="007061CB"/>
    <w:rsid w:val="0070794A"/>
    <w:rsid w:val="00711B33"/>
    <w:rsid w:val="007160CD"/>
    <w:rsid w:val="007164A9"/>
    <w:rsid w:val="007178A6"/>
    <w:rsid w:val="0072005C"/>
    <w:rsid w:val="00721836"/>
    <w:rsid w:val="007324FB"/>
    <w:rsid w:val="0074300C"/>
    <w:rsid w:val="0074499D"/>
    <w:rsid w:val="00744A1E"/>
    <w:rsid w:val="00747567"/>
    <w:rsid w:val="007530BC"/>
    <w:rsid w:val="00754F59"/>
    <w:rsid w:val="0076035E"/>
    <w:rsid w:val="00760BF2"/>
    <w:rsid w:val="007628BD"/>
    <w:rsid w:val="00766781"/>
    <w:rsid w:val="0077012B"/>
    <w:rsid w:val="0077659C"/>
    <w:rsid w:val="00792100"/>
    <w:rsid w:val="00794423"/>
    <w:rsid w:val="00794767"/>
    <w:rsid w:val="007A3446"/>
    <w:rsid w:val="007A3646"/>
    <w:rsid w:val="007A36D2"/>
    <w:rsid w:val="007A6755"/>
    <w:rsid w:val="007B242C"/>
    <w:rsid w:val="007B518B"/>
    <w:rsid w:val="007B7E6A"/>
    <w:rsid w:val="007C549D"/>
    <w:rsid w:val="007C74B4"/>
    <w:rsid w:val="007C76F4"/>
    <w:rsid w:val="007D16F8"/>
    <w:rsid w:val="007D172B"/>
    <w:rsid w:val="007D1A83"/>
    <w:rsid w:val="007D26C6"/>
    <w:rsid w:val="007E20A2"/>
    <w:rsid w:val="007E5EE4"/>
    <w:rsid w:val="007E7139"/>
    <w:rsid w:val="007E7252"/>
    <w:rsid w:val="008020F1"/>
    <w:rsid w:val="008028E9"/>
    <w:rsid w:val="00807F30"/>
    <w:rsid w:val="008145D7"/>
    <w:rsid w:val="008179EC"/>
    <w:rsid w:val="0082090F"/>
    <w:rsid w:val="00823172"/>
    <w:rsid w:val="00826DB9"/>
    <w:rsid w:val="008312E4"/>
    <w:rsid w:val="00831D3F"/>
    <w:rsid w:val="00836BFB"/>
    <w:rsid w:val="00844E8F"/>
    <w:rsid w:val="00882717"/>
    <w:rsid w:val="00890A68"/>
    <w:rsid w:val="0089155A"/>
    <w:rsid w:val="00891C17"/>
    <w:rsid w:val="00892600"/>
    <w:rsid w:val="0089707A"/>
    <w:rsid w:val="008A2CA0"/>
    <w:rsid w:val="008B3CBA"/>
    <w:rsid w:val="008B790F"/>
    <w:rsid w:val="008C10AB"/>
    <w:rsid w:val="008C276B"/>
    <w:rsid w:val="008C6BC8"/>
    <w:rsid w:val="008C6BDB"/>
    <w:rsid w:val="008C6F2B"/>
    <w:rsid w:val="008C7558"/>
    <w:rsid w:val="008D2AA4"/>
    <w:rsid w:val="008D5586"/>
    <w:rsid w:val="008E5A1E"/>
    <w:rsid w:val="008E77E4"/>
    <w:rsid w:val="008E7BB7"/>
    <w:rsid w:val="008F09A1"/>
    <w:rsid w:val="008F6386"/>
    <w:rsid w:val="00902B18"/>
    <w:rsid w:val="009033E8"/>
    <w:rsid w:val="00905307"/>
    <w:rsid w:val="009072AE"/>
    <w:rsid w:val="00907544"/>
    <w:rsid w:val="00911B9C"/>
    <w:rsid w:val="009120F6"/>
    <w:rsid w:val="00912FDB"/>
    <w:rsid w:val="00916E44"/>
    <w:rsid w:val="0091728A"/>
    <w:rsid w:val="0091791E"/>
    <w:rsid w:val="00920D42"/>
    <w:rsid w:val="00921599"/>
    <w:rsid w:val="00940F4C"/>
    <w:rsid w:val="00945024"/>
    <w:rsid w:val="00954453"/>
    <w:rsid w:val="00961FAC"/>
    <w:rsid w:val="0096312E"/>
    <w:rsid w:val="0096315F"/>
    <w:rsid w:val="00963EA5"/>
    <w:rsid w:val="0099019D"/>
    <w:rsid w:val="0099791E"/>
    <w:rsid w:val="009A061C"/>
    <w:rsid w:val="009A2403"/>
    <w:rsid w:val="009A367F"/>
    <w:rsid w:val="009B097D"/>
    <w:rsid w:val="009B2967"/>
    <w:rsid w:val="009C18B6"/>
    <w:rsid w:val="009C3B9B"/>
    <w:rsid w:val="009C4084"/>
    <w:rsid w:val="009C688A"/>
    <w:rsid w:val="009D2301"/>
    <w:rsid w:val="009D2CD8"/>
    <w:rsid w:val="009D64EA"/>
    <w:rsid w:val="009D668E"/>
    <w:rsid w:val="009E1EBA"/>
    <w:rsid w:val="00A03549"/>
    <w:rsid w:val="00A0600C"/>
    <w:rsid w:val="00A10E17"/>
    <w:rsid w:val="00A137A9"/>
    <w:rsid w:val="00A16410"/>
    <w:rsid w:val="00A169DF"/>
    <w:rsid w:val="00A16E91"/>
    <w:rsid w:val="00A238E1"/>
    <w:rsid w:val="00A33D15"/>
    <w:rsid w:val="00A34556"/>
    <w:rsid w:val="00A40BF3"/>
    <w:rsid w:val="00A41EE3"/>
    <w:rsid w:val="00A45A9D"/>
    <w:rsid w:val="00A464F1"/>
    <w:rsid w:val="00A473C7"/>
    <w:rsid w:val="00A4791E"/>
    <w:rsid w:val="00A47F27"/>
    <w:rsid w:val="00A553A8"/>
    <w:rsid w:val="00A5744C"/>
    <w:rsid w:val="00A57851"/>
    <w:rsid w:val="00A64DAE"/>
    <w:rsid w:val="00A67FE3"/>
    <w:rsid w:val="00A73C79"/>
    <w:rsid w:val="00A82C95"/>
    <w:rsid w:val="00A94B5B"/>
    <w:rsid w:val="00A95CCD"/>
    <w:rsid w:val="00A97811"/>
    <w:rsid w:val="00AA0134"/>
    <w:rsid w:val="00AA4AC8"/>
    <w:rsid w:val="00AB0F71"/>
    <w:rsid w:val="00AB180B"/>
    <w:rsid w:val="00AB1CAE"/>
    <w:rsid w:val="00AC7B65"/>
    <w:rsid w:val="00AD4876"/>
    <w:rsid w:val="00AE2E0F"/>
    <w:rsid w:val="00AF0802"/>
    <w:rsid w:val="00AF17D6"/>
    <w:rsid w:val="00AF41FB"/>
    <w:rsid w:val="00AF5D21"/>
    <w:rsid w:val="00AF6D1A"/>
    <w:rsid w:val="00B01695"/>
    <w:rsid w:val="00B01853"/>
    <w:rsid w:val="00B02AC0"/>
    <w:rsid w:val="00B121A7"/>
    <w:rsid w:val="00B1636B"/>
    <w:rsid w:val="00B30CDD"/>
    <w:rsid w:val="00B30ECE"/>
    <w:rsid w:val="00B334C0"/>
    <w:rsid w:val="00B37FDD"/>
    <w:rsid w:val="00B44B0D"/>
    <w:rsid w:val="00B45CED"/>
    <w:rsid w:val="00B5712C"/>
    <w:rsid w:val="00B57DAE"/>
    <w:rsid w:val="00B71682"/>
    <w:rsid w:val="00B8354B"/>
    <w:rsid w:val="00B83D16"/>
    <w:rsid w:val="00B96B42"/>
    <w:rsid w:val="00B97F4F"/>
    <w:rsid w:val="00BC445F"/>
    <w:rsid w:val="00BD461C"/>
    <w:rsid w:val="00BD4EE3"/>
    <w:rsid w:val="00BE0895"/>
    <w:rsid w:val="00BE189C"/>
    <w:rsid w:val="00BE6C20"/>
    <w:rsid w:val="00C05F74"/>
    <w:rsid w:val="00C06520"/>
    <w:rsid w:val="00C06A63"/>
    <w:rsid w:val="00C07116"/>
    <w:rsid w:val="00C07385"/>
    <w:rsid w:val="00C10982"/>
    <w:rsid w:val="00C1257B"/>
    <w:rsid w:val="00C234E6"/>
    <w:rsid w:val="00C23E23"/>
    <w:rsid w:val="00C413FA"/>
    <w:rsid w:val="00C455DC"/>
    <w:rsid w:val="00C54706"/>
    <w:rsid w:val="00C613BC"/>
    <w:rsid w:val="00C65E0F"/>
    <w:rsid w:val="00C736E2"/>
    <w:rsid w:val="00C753F3"/>
    <w:rsid w:val="00C75D31"/>
    <w:rsid w:val="00C84F57"/>
    <w:rsid w:val="00C87433"/>
    <w:rsid w:val="00C97672"/>
    <w:rsid w:val="00CA17CC"/>
    <w:rsid w:val="00CA3642"/>
    <w:rsid w:val="00CB17A0"/>
    <w:rsid w:val="00CB67F3"/>
    <w:rsid w:val="00CC2751"/>
    <w:rsid w:val="00CC33A1"/>
    <w:rsid w:val="00CC4557"/>
    <w:rsid w:val="00CD52D3"/>
    <w:rsid w:val="00CE3908"/>
    <w:rsid w:val="00CF5CB9"/>
    <w:rsid w:val="00CF7234"/>
    <w:rsid w:val="00D0110C"/>
    <w:rsid w:val="00D1353F"/>
    <w:rsid w:val="00D17792"/>
    <w:rsid w:val="00D20B7F"/>
    <w:rsid w:val="00D22C1A"/>
    <w:rsid w:val="00D23843"/>
    <w:rsid w:val="00D25707"/>
    <w:rsid w:val="00D26A08"/>
    <w:rsid w:val="00D26DF4"/>
    <w:rsid w:val="00D32219"/>
    <w:rsid w:val="00D3281C"/>
    <w:rsid w:val="00D41796"/>
    <w:rsid w:val="00D44C45"/>
    <w:rsid w:val="00D502F7"/>
    <w:rsid w:val="00D6146B"/>
    <w:rsid w:val="00D63E03"/>
    <w:rsid w:val="00D64461"/>
    <w:rsid w:val="00D65056"/>
    <w:rsid w:val="00D716D4"/>
    <w:rsid w:val="00D73AB7"/>
    <w:rsid w:val="00D756C3"/>
    <w:rsid w:val="00D77175"/>
    <w:rsid w:val="00D872EB"/>
    <w:rsid w:val="00D909C1"/>
    <w:rsid w:val="00D90D07"/>
    <w:rsid w:val="00D924AE"/>
    <w:rsid w:val="00D94239"/>
    <w:rsid w:val="00D94BA5"/>
    <w:rsid w:val="00DA08D5"/>
    <w:rsid w:val="00DA1162"/>
    <w:rsid w:val="00DA24B4"/>
    <w:rsid w:val="00DA2B96"/>
    <w:rsid w:val="00DA39DA"/>
    <w:rsid w:val="00DB3D18"/>
    <w:rsid w:val="00DB6C96"/>
    <w:rsid w:val="00DC42AA"/>
    <w:rsid w:val="00DC7066"/>
    <w:rsid w:val="00DD5519"/>
    <w:rsid w:val="00DD6221"/>
    <w:rsid w:val="00DE1630"/>
    <w:rsid w:val="00DE58CE"/>
    <w:rsid w:val="00DF14B6"/>
    <w:rsid w:val="00DF6A19"/>
    <w:rsid w:val="00E10956"/>
    <w:rsid w:val="00E10BFD"/>
    <w:rsid w:val="00E15FB7"/>
    <w:rsid w:val="00E17696"/>
    <w:rsid w:val="00E217CA"/>
    <w:rsid w:val="00E26649"/>
    <w:rsid w:val="00E36103"/>
    <w:rsid w:val="00E41646"/>
    <w:rsid w:val="00E50A29"/>
    <w:rsid w:val="00E50FCE"/>
    <w:rsid w:val="00E55B84"/>
    <w:rsid w:val="00E676A1"/>
    <w:rsid w:val="00E73BBC"/>
    <w:rsid w:val="00E914D6"/>
    <w:rsid w:val="00E922DF"/>
    <w:rsid w:val="00E93BDD"/>
    <w:rsid w:val="00E9574F"/>
    <w:rsid w:val="00EA0DBB"/>
    <w:rsid w:val="00EA16DB"/>
    <w:rsid w:val="00EA6274"/>
    <w:rsid w:val="00EB3CEA"/>
    <w:rsid w:val="00EC0F01"/>
    <w:rsid w:val="00EC2158"/>
    <w:rsid w:val="00EC428A"/>
    <w:rsid w:val="00EC54B8"/>
    <w:rsid w:val="00ED0838"/>
    <w:rsid w:val="00ED6E2B"/>
    <w:rsid w:val="00EF0ACB"/>
    <w:rsid w:val="00EF1A9C"/>
    <w:rsid w:val="00F0212C"/>
    <w:rsid w:val="00F022C7"/>
    <w:rsid w:val="00F03797"/>
    <w:rsid w:val="00F23862"/>
    <w:rsid w:val="00F24324"/>
    <w:rsid w:val="00F32DDA"/>
    <w:rsid w:val="00F34586"/>
    <w:rsid w:val="00F351C1"/>
    <w:rsid w:val="00F35220"/>
    <w:rsid w:val="00F42F65"/>
    <w:rsid w:val="00F44875"/>
    <w:rsid w:val="00F553A8"/>
    <w:rsid w:val="00F567FC"/>
    <w:rsid w:val="00F60A23"/>
    <w:rsid w:val="00F61066"/>
    <w:rsid w:val="00F6534C"/>
    <w:rsid w:val="00F65CE2"/>
    <w:rsid w:val="00F66BF2"/>
    <w:rsid w:val="00F675FF"/>
    <w:rsid w:val="00F7255E"/>
    <w:rsid w:val="00F75FEB"/>
    <w:rsid w:val="00F85F63"/>
    <w:rsid w:val="00F96884"/>
    <w:rsid w:val="00FA16F8"/>
    <w:rsid w:val="00FA1AA6"/>
    <w:rsid w:val="00FA3136"/>
    <w:rsid w:val="00FA6B02"/>
    <w:rsid w:val="00FB050E"/>
    <w:rsid w:val="00FB0F69"/>
    <w:rsid w:val="00FB3759"/>
    <w:rsid w:val="00FB420E"/>
    <w:rsid w:val="00FB7D94"/>
    <w:rsid w:val="00FC2D7B"/>
    <w:rsid w:val="00FD0701"/>
    <w:rsid w:val="00FD34A2"/>
    <w:rsid w:val="00FD36CB"/>
    <w:rsid w:val="00FD3E27"/>
    <w:rsid w:val="00FD7C6F"/>
    <w:rsid w:val="00FE0AA9"/>
    <w:rsid w:val="00FE6671"/>
    <w:rsid w:val="00FF02C9"/>
    <w:rsid w:val="00FF0CC4"/>
    <w:rsid w:val="00FF35AF"/>
    <w:rsid w:val="00FF71D3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6647E"/>
  <w15:docId w15:val="{2D1E1205-95FE-4575-8C31-657943F2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7F"/>
  </w:style>
  <w:style w:type="paragraph" w:styleId="Heading1">
    <w:name w:val="heading 1"/>
    <w:basedOn w:val="Normal"/>
    <w:next w:val="Normal"/>
    <w:link w:val="Heading1Char"/>
    <w:qFormat/>
    <w:rsid w:val="00B37FD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F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37FD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230A8C"/>
    <w:pPr>
      <w:ind w:left="720"/>
      <w:contextualSpacing/>
    </w:pPr>
  </w:style>
  <w:style w:type="paragraph" w:styleId="BodyText">
    <w:name w:val="Body Text"/>
    <w:basedOn w:val="Normal"/>
    <w:link w:val="BodyTextChar"/>
    <w:rsid w:val="008F09A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8F09A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BodyText3">
    <w:name w:val="Body Text 3"/>
    <w:basedOn w:val="Normal"/>
    <w:link w:val="BodyText3Char"/>
    <w:rsid w:val="008F09A1"/>
    <w:pPr>
      <w:spacing w:after="0" w:line="240" w:lineRule="auto"/>
      <w:jc w:val="both"/>
    </w:pPr>
    <w:rPr>
      <w:rFonts w:ascii="Arial" w:eastAsia="Times New Roman" w:hAnsi="Arial" w:cs="Times New Roman"/>
      <w:snapToGrid w:val="0"/>
      <w:szCs w:val="20"/>
      <w:lang w:val="es-ES_tradnl" w:eastAsia="es-ES"/>
    </w:rPr>
  </w:style>
  <w:style w:type="character" w:customStyle="1" w:styleId="BodyText3Char">
    <w:name w:val="Body Text 3 Char"/>
    <w:basedOn w:val="DefaultParagraphFont"/>
    <w:link w:val="BodyText3"/>
    <w:rsid w:val="008F09A1"/>
    <w:rPr>
      <w:rFonts w:ascii="Arial" w:eastAsia="Times New Roman" w:hAnsi="Arial" w:cs="Times New Roman"/>
      <w:snapToGrid w:val="0"/>
      <w:szCs w:val="20"/>
      <w:lang w:val="es-ES_tradnl" w:eastAsia="es-ES"/>
    </w:rPr>
  </w:style>
  <w:style w:type="paragraph" w:styleId="ListBullet">
    <w:name w:val="List Bullet"/>
    <w:basedOn w:val="Normal"/>
    <w:autoRedefine/>
    <w:rsid w:val="008028E9"/>
    <w:pPr>
      <w:numPr>
        <w:numId w:val="2"/>
      </w:numPr>
      <w:tabs>
        <w:tab w:val="clear" w:pos="360"/>
        <w:tab w:val="left" w:pos="284"/>
      </w:tabs>
      <w:spacing w:after="0" w:line="240" w:lineRule="auto"/>
      <w:ind w:left="284" w:hanging="284"/>
      <w:jc w:val="both"/>
    </w:pPr>
    <w:rPr>
      <w:rFonts w:ascii="Arial" w:eastAsia="Times New Roman" w:hAnsi="Arial" w:cs="Arial"/>
      <w:sz w:val="20"/>
      <w:szCs w:val="24"/>
      <w:lang w:val="es-ES" w:eastAsia="es-ES"/>
    </w:rPr>
  </w:style>
  <w:style w:type="table" w:styleId="TableGrid">
    <w:name w:val="Table Grid"/>
    <w:basedOn w:val="TableNormal"/>
    <w:rsid w:val="00A5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1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682"/>
  </w:style>
  <w:style w:type="paragraph" w:styleId="Footer">
    <w:name w:val="footer"/>
    <w:basedOn w:val="Normal"/>
    <w:link w:val="FooterChar"/>
    <w:uiPriority w:val="99"/>
    <w:unhideWhenUsed/>
    <w:rsid w:val="00B71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682"/>
  </w:style>
  <w:style w:type="paragraph" w:styleId="NormalWeb">
    <w:name w:val="Normal (Web)"/>
    <w:basedOn w:val="Normal"/>
    <w:uiPriority w:val="99"/>
    <w:unhideWhenUsed/>
    <w:rsid w:val="0049763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s-ES"/>
    </w:rPr>
  </w:style>
  <w:style w:type="character" w:customStyle="1" w:styleId="a">
    <w:name w:val="a"/>
    <w:basedOn w:val="DefaultParagraphFont"/>
    <w:rsid w:val="00916E44"/>
  </w:style>
  <w:style w:type="character" w:customStyle="1" w:styleId="l10">
    <w:name w:val="l10"/>
    <w:basedOn w:val="DefaultParagraphFont"/>
    <w:rsid w:val="00916E44"/>
  </w:style>
  <w:style w:type="character" w:customStyle="1" w:styleId="l9">
    <w:name w:val="l9"/>
    <w:basedOn w:val="DefaultParagraphFont"/>
    <w:rsid w:val="00916E44"/>
  </w:style>
  <w:style w:type="character" w:customStyle="1" w:styleId="l7">
    <w:name w:val="l7"/>
    <w:basedOn w:val="DefaultParagraphFont"/>
    <w:rsid w:val="00916E44"/>
  </w:style>
  <w:style w:type="character" w:customStyle="1" w:styleId="l6">
    <w:name w:val="l6"/>
    <w:basedOn w:val="DefaultParagraphFont"/>
    <w:rsid w:val="00916E44"/>
  </w:style>
  <w:style w:type="character" w:customStyle="1" w:styleId="l8">
    <w:name w:val="l8"/>
    <w:basedOn w:val="DefaultParagraphFont"/>
    <w:rsid w:val="00916E44"/>
  </w:style>
  <w:style w:type="character" w:customStyle="1" w:styleId="l11">
    <w:name w:val="l11"/>
    <w:basedOn w:val="DefaultParagraphFont"/>
    <w:rsid w:val="00916E44"/>
  </w:style>
  <w:style w:type="character" w:customStyle="1" w:styleId="l">
    <w:name w:val="l"/>
    <w:basedOn w:val="DefaultParagraphFont"/>
    <w:rsid w:val="00E15FB7"/>
  </w:style>
  <w:style w:type="character" w:customStyle="1" w:styleId="ListParagraphChar">
    <w:name w:val="List Paragraph Char"/>
    <w:link w:val="ListParagraph"/>
    <w:uiPriority w:val="34"/>
    <w:locked/>
    <w:rsid w:val="00DA2B96"/>
  </w:style>
  <w:style w:type="paragraph" w:styleId="Revision">
    <w:name w:val="Revision"/>
    <w:hidden/>
    <w:uiPriority w:val="99"/>
    <w:semiHidden/>
    <w:rsid w:val="008D5586"/>
    <w:pPr>
      <w:spacing w:after="0" w:line="240" w:lineRule="auto"/>
    </w:pPr>
  </w:style>
  <w:style w:type="paragraph" w:customStyle="1" w:styleId="Default">
    <w:name w:val="Default"/>
    <w:rsid w:val="002118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13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D1"/>
    <w:rPr>
      <w:color w:val="605E5C"/>
      <w:shd w:val="clear" w:color="auto" w:fill="E1DFDD"/>
    </w:rPr>
  </w:style>
  <w:style w:type="table" w:customStyle="1" w:styleId="TableGrid0">
    <w:name w:val="TableGrid"/>
    <w:rsid w:val="000F04A7"/>
    <w:pPr>
      <w:spacing w:after="0" w:line="240" w:lineRule="auto"/>
    </w:pPr>
    <w:rPr>
      <w:rFonts w:eastAsiaTheme="minorEastAsia"/>
      <w:kern w:val="2"/>
      <w:lang w:eastAsia="es-PE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546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7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57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1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9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00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7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6967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D6E39-B1F2-46F7-8133-BF7821FC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1315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Sistemas</dc:creator>
  <cp:lastModifiedBy>Eduardo Chero</cp:lastModifiedBy>
  <cp:revision>6</cp:revision>
  <cp:lastPrinted>2018-09-17T20:12:00Z</cp:lastPrinted>
  <dcterms:created xsi:type="dcterms:W3CDTF">2024-11-27T07:37:00Z</dcterms:created>
  <dcterms:modified xsi:type="dcterms:W3CDTF">2024-11-28T14:32:00Z</dcterms:modified>
</cp:coreProperties>
</file>