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Ch. 26: Flowering Plants: Control of Growth Responses</w:t>
      </w:r>
    </w:p>
    <w:p>
      <w:pPr>
        <w:sectPr>
          <w:headerReference w:type="default" r:id="rId9"/>
          <w:footerReference w:type="default" r:id="rId10"/>
          <w:pgSz w:w="12240" w:h="15840"/>
          <w:pgMar w:top="792" w:right="576" w:bottom="720" w:left="576" w:header="432" w:footer="360" w:gutter="0"/>
          <w:cols w:space="720"/>
          <w:docGrid w:linePitch="360"/>
        </w:sectPr>
      </w:pPr>
    </w:p>
    <w:p>
      <w:pPr>
        <w:pStyle w:val="Sectionheading"/>
      </w:pPr>
      <w:r>
        <w:rPr/>
        <w:t>26.1 Plant Hormones</w:t>
      </w:r>
    </w:p>
    <w:p>
      <w:pPr>
        <w:pStyle w:val="Slideheading"/>
      </w:pPr>
      <w:bookmarkStart w:id="1" w:name="s261003"/>
      <w:r>
        <w:rPr>
          <w:rStyle w:val="Slidecode"/>
          <w:b/>
        </w:rPr>
        <w:t>26.1.3</w:t>
      </w:r>
      <w:bookmarkEnd w:id="1"/>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2" w:name="s261004"/>
      <w:r>
        <w:rPr>
          <w:rStyle w:val="Slidecode"/>
          <w:b/>
        </w:rPr>
        <w:t>26.1.4</w:t>
      </w:r>
      <w:r>
        <w:rPr>
          <w:b/>
        </w:rPr>
        <w:t xml:space="preserve"> Signal Transduction</w:t>
      </w:r>
      <w:bookmarkEnd w:id="2"/>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3" w:name="s261005"/>
      <w:r>
        <w:rPr>
          <w:rStyle w:val="Slidecode"/>
          <w:b/>
        </w:rPr>
        <w:t>26.1.5</w:t>
      </w:r>
      <w:r>
        <w:rPr>
          <w:b/>
        </w:rPr>
        <w:t xml:space="preserve"> Signal Transduction in Plants</w:t>
      </w:r>
      <w:bookmarkEnd w:id="3"/>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4" w:name="s261006"/>
      <w:r>
        <w:rPr>
          <w:rStyle w:val="Slidecode"/>
          <w:b/>
        </w:rPr>
        <w:t>26.1.6</w:t>
      </w:r>
      <w:r>
        <w:rPr>
          <w:b/>
        </w:rPr>
        <w:t xml:space="preserve"> Hormones</w:t>
      </w:r>
      <w:bookmarkEnd w:id="4"/>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5" w:name="s261007"/>
      <w:r>
        <w:rPr>
          <w:rStyle w:val="Slidecode"/>
          <w:b/>
        </w:rPr>
        <w:t>26.1.7</w:t>
      </w:r>
      <w:bookmarkEnd w:id="5"/>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6" w:name="s261008"/>
      <w:r>
        <w:rPr>
          <w:rStyle w:val="Slidecode"/>
          <w:b/>
        </w:rPr>
        <w:t>26.1.8</w:t>
      </w:r>
      <w:r>
        <w:rPr>
          <w:b/>
        </w:rPr>
        <w:t xml:space="preserve"> Auxins Affect Growth and Development</w:t>
      </w:r>
      <w:bookmarkEnd w:id="6"/>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7" w:name="s261009"/>
      <w:r>
        <w:rPr>
          <w:rStyle w:val="Slidecode"/>
          <w:b/>
        </w:rPr>
        <w:t>26.1.9</w:t>
      </w:r>
      <w:r>
        <w:rPr>
          <w:b/>
        </w:rPr>
        <w:t xml:space="preserve"> Auxin and Phototropism</w:t>
      </w:r>
      <w:bookmarkEnd w:id="7"/>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8" w:name="s261010"/>
      <w:r>
        <w:rPr>
          <w:rStyle w:val="Slidecode"/>
          <w:b/>
        </w:rPr>
        <w:t>26.1.10</w:t>
      </w:r>
      <w:r>
        <w:rPr>
          <w:b/>
        </w:rPr>
        <w:t xml:space="preserve"> How Auxins Cause Stems to Bend</w:t>
      </w:r>
      <w:bookmarkEnd w:id="8"/>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Correction"/>
      </w:pPr>
      <w:r>
        <w:rPr>
          <w:b/>
          <w:i/>
        </w:rPr>
        <w:t xml:space="preserve">Textbook: </w:t>
      </w:r>
      <w:r>
        <w:rPr/>
        <w:t>Auxin enters the nuclei of the shady-side cells and attaches to a receptor there, not on the plasma membrane (textbook p. 472 and Fig. 26.1); H+ is then pumped into the cell wall.</w:t>
      </w:r>
    </w:p>
    <w:p>
      <w:pPr>
        <w:pStyle w:val="Slideheading"/>
      </w:pPr>
      <w:bookmarkStart w:id="9" w:name="s261011"/>
      <w:r>
        <w:rPr>
          <w:rStyle w:val="Slidecode"/>
          <w:b/>
        </w:rPr>
        <w:t>26.1.11</w:t>
      </w:r>
      <w:r>
        <w:rPr>
          <w:b/>
        </w:rPr>
        <w:t xml:space="preserve"> Expansion of the Cell Wall on the Shady Side of a Plant</w:t>
      </w:r>
      <w:bookmarkEnd w:id="9"/>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10" w:name="s261012"/>
      <w:r>
        <w:rPr>
          <w:rStyle w:val="Slidecode"/>
          <w:b/>
        </w:rPr>
        <w:t>26.1.12</w:t>
      </w:r>
      <w:r>
        <w:rPr>
          <w:b/>
        </w:rPr>
        <w:t xml:space="preserve"> Gibberellins</w:t>
      </w:r>
      <w:bookmarkEnd w:id="10"/>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11" w:name="s261013"/>
      <w:r>
        <w:rPr>
          <w:rStyle w:val="Slidecode"/>
          <w:b/>
        </w:rPr>
        <w:t>26.1.13</w:t>
      </w:r>
      <w:r>
        <w:rPr>
          <w:b/>
        </w:rPr>
        <w:t xml:space="preserve"> Gibberellins Cause Stem Elongation</w:t>
      </w:r>
      <w:bookmarkEnd w:id="11"/>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12" w:name="s261014"/>
      <w:r>
        <w:rPr>
          <w:rStyle w:val="Slidecode"/>
          <w:b/>
        </w:rPr>
        <w:t>26.1.14</w:t>
      </w:r>
      <w:r>
        <w:rPr>
          <w:b/>
        </w:rPr>
        <w:t xml:space="preserve"> Cytokinins</w:t>
      </w:r>
      <w:bookmarkEnd w:id="12"/>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13" w:name="s261015"/>
      <w:r>
        <w:rPr>
          <w:rStyle w:val="Slidecode"/>
          <w:b/>
        </w:rPr>
        <w:t>26.1.15</w:t>
      </w:r>
      <w:r>
        <w:rPr>
          <w:b/>
        </w:rPr>
        <w:t xml:space="preserve"> Interaction of Cytokinins and Auxins in Organ Development</w:t>
      </w:r>
      <w:bookmarkEnd w:id="13"/>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14" w:name="s261016"/>
      <w:r>
        <w:rPr>
          <w:rStyle w:val="Slidecode"/>
          <w:b/>
        </w:rPr>
        <w:t>26.1.16</w:t>
      </w:r>
      <w:r>
        <w:rPr>
          <w:b/>
        </w:rPr>
        <w:t xml:space="preserve"> Leaves Change Color When Cytokinin Levels Are Low</w:t>
      </w:r>
      <w:bookmarkEnd w:id="14"/>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15" w:name="s261017"/>
      <w:r>
        <w:rPr>
          <w:rStyle w:val="Slidecode"/>
          <w:b/>
        </w:rPr>
        <w:t>26.1.17</w:t>
      </w:r>
      <w:r>
        <w:rPr>
          <w:b/>
        </w:rPr>
        <w:t xml:space="preserve"> Abscisic Acid</w:t>
      </w:r>
      <w:bookmarkEnd w:id="15"/>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16" w:name="s261018"/>
      <w:r>
        <w:rPr>
          <w:rStyle w:val="Slidecode"/>
          <w:b/>
        </w:rPr>
        <w:t>26.1.18</w:t>
      </w:r>
      <w:r>
        <w:rPr>
          <w:b/>
        </w:rPr>
        <w:t xml:space="preserve"> Dormancy and Germination</w:t>
      </w:r>
      <w:bookmarkEnd w:id="16"/>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17" w:name="s261019"/>
      <w:r>
        <w:rPr>
          <w:rStyle w:val="Slidecode"/>
          <w:b/>
        </w:rPr>
        <w:t>26.1.19</w:t>
      </w:r>
      <w:r>
        <w:rPr>
          <w:b/>
        </w:rPr>
        <w:t xml:space="preserve"> Abscisic Acid Promotes Closure of Stomata</w:t>
      </w:r>
      <w:bookmarkEnd w:id="17"/>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18" w:name="s261020"/>
      <w:r>
        <w:rPr>
          <w:rStyle w:val="Slidecode"/>
          <w:b/>
        </w:rPr>
        <w:t>26.1.20</w:t>
      </w:r>
      <w:r>
        <w:rPr>
          <w:b/>
        </w:rPr>
        <w:t xml:space="preserve"> Ethylene</w:t>
      </w:r>
      <w:bookmarkEnd w:id="18"/>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19" w:name="s261021"/>
      <w:r>
        <w:rPr>
          <w:rStyle w:val="Slidecode"/>
          <w:b/>
        </w:rPr>
        <w:t>26.1.21</w:t>
      </w:r>
      <w:r>
        <w:rPr>
          <w:b/>
        </w:rPr>
        <w:t xml:space="preserve"> Ethylene and Abscission</w:t>
      </w:r>
      <w:bookmarkEnd w:id="19"/>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0" w:name="s261022"/>
      <w:r>
        <w:rPr>
          <w:rStyle w:val="Slidecode"/>
          <w:b/>
        </w:rPr>
        <w:t>26.1.22</w:t>
      </w:r>
      <w:r>
        <w:rPr>
          <w:b/>
        </w:rPr>
        <w:t xml:space="preserve"> Ethylene Ripens Fruit</w:t>
      </w:r>
      <w:bookmarkEnd w:id="20"/>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1" w:name="s261023"/>
      <w:r>
        <w:rPr>
          <w:rStyle w:val="Slidecode"/>
          <w:b/>
        </w:rPr>
        <w:t>26.1.23</w:t>
      </w:r>
      <w:r>
        <w:rPr>
          <w:b/>
        </w:rPr>
        <w:t xml:space="preserve"> Responding to the Biotic Environment</w:t>
      </w:r>
      <w:bookmarkEnd w:id="21"/>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Slideheading"/>
      </w:pPr>
      <w:bookmarkStart w:id="22" w:name="s262024"/>
      <w:r>
        <w:rPr>
          <w:rStyle w:val="Slidecode"/>
          <w:b/>
        </w:rPr>
        <w:t>26.2.24</w:t>
      </w:r>
      <w:bookmarkEnd w:id="22"/>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3" w:name="s262025"/>
      <w:r>
        <w:rPr>
          <w:rStyle w:val="Slidecode"/>
          <w:b/>
        </w:rPr>
        <w:t>26.2.25</w:t>
      </w:r>
      <w:r>
        <w:rPr>
          <w:b/>
        </w:rPr>
        <w:t xml:space="preserve"> Phototropism</w:t>
      </w:r>
      <w:bookmarkEnd w:id="23"/>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4" w:name="s262026"/>
      <w:r>
        <w:rPr>
          <w:rStyle w:val="Slidecode"/>
          <w:b/>
        </w:rPr>
        <w:t>26.2.26</w:t>
      </w:r>
      <w:r>
        <w:rPr>
          <w:b/>
        </w:rPr>
        <w:t xml:space="preserve"> Phototropin</w:t>
      </w:r>
      <w:bookmarkEnd w:id="24"/>
    </w:p>
    <w:p>
      <w:pPr>
        <w:pStyle w:val="Figure"/>
      </w:pPr>
      <w:r>
        <w:rPr>
          <w:i/>
        </w:rPr>
        <w:t xml:space="preserve">Fig: </w:t>
      </w:r>
      <w:r>
        <w:rPr/>
        <w:t>(a) phototropin activated in blue light; (b) phototropin phosphorylated; (c) transduction begins, auxin accumulates.</w:t>
      </w:r>
    </w:p>
    <w:p>
      <w:pPr>
        <w:pStyle w:val="Slideheading"/>
      </w:pPr>
      <w:bookmarkStart w:id="25" w:name="s262027"/>
      <w:r>
        <w:rPr>
          <w:rStyle w:val="Slidecode"/>
          <w:b/>
        </w:rPr>
        <w:t>26.2.27</w:t>
      </w:r>
      <w:r>
        <w:rPr>
          <w:b/>
        </w:rPr>
        <w:t xml:space="preserve"> Thigmotropism</w:t>
      </w:r>
      <w:bookmarkEnd w:id="25"/>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26" w:name="s262028"/>
      <w:r>
        <w:rPr>
          <w:rStyle w:val="Slidecode"/>
          <w:b/>
        </w:rPr>
        <w:t>26.2.28</w:t>
      </w:r>
      <w:r>
        <w:rPr>
          <w:b/>
        </w:rPr>
        <w:t xml:space="preserve"> Phototropism and Thigmotropism</w:t>
      </w:r>
      <w:bookmarkEnd w:id="26"/>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27" w:name="s262029"/>
      <w:r>
        <w:rPr>
          <w:rStyle w:val="Slidecode"/>
          <w:b/>
        </w:rPr>
        <w:t>26.2.29</w:t>
      </w:r>
      <w:r>
        <w:rPr>
          <w:b/>
        </w:rPr>
        <w:t xml:space="preserve"> Gravitropism</w:t>
      </w:r>
      <w:bookmarkEnd w:id="27"/>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28" w:name="s262030"/>
      <w:r>
        <w:rPr>
          <w:rStyle w:val="Slidecode"/>
          <w:b/>
        </w:rPr>
        <w:t>26.2.30</w:t>
      </w:r>
      <w:r>
        <w:rPr>
          <w:b/>
        </w:rPr>
        <w:t xml:space="preserve"> Gravitropism Examples</w:t>
      </w:r>
      <w:bookmarkEnd w:id="28"/>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29" w:name="s262031"/>
      <w:r>
        <w:rPr>
          <w:rStyle w:val="Slidecode"/>
          <w:b/>
        </w:rPr>
        <w:t>26.2.31</w:t>
      </w:r>
      <w:r>
        <w:rPr>
          <w:b/>
        </w:rPr>
        <w:t xml:space="preserve"> Why So Many Scientists Work with Arabidopsis</w:t>
      </w:r>
      <w:bookmarkEnd w:id="29"/>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30" w:name="s262032"/>
      <w:r>
        <w:rPr>
          <w:rStyle w:val="Slidecode"/>
          <w:b/>
        </w:rPr>
        <w:t>26.2.32</w:t>
      </w:r>
      <w:r>
        <w:rPr>
          <w:b/>
        </w:rPr>
        <w:t xml:space="preserve"> Arabidopsis thaliana</w:t>
      </w:r>
      <w:bookmarkEnd w:id="30"/>
    </w:p>
    <w:p>
      <w:pPr>
        <w:pStyle w:val="Figure"/>
      </w:pPr>
      <w:r>
        <w:rPr>
          <w:i/>
        </w:rPr>
        <w:t xml:space="preserve">Fig: </w:t>
      </w:r>
      <w:r>
        <w:rPr/>
        <w:t>Close-up of Arabidopsis thaliana shows a flat rosette of leaves, from which grows a short flower stalk.</w:t>
      </w:r>
    </w:p>
    <w:p>
      <w:pPr>
        <w:pStyle w:val="Slideheading"/>
      </w:pPr>
      <w:bookmarkStart w:id="31" w:name="s262033"/>
      <w:r>
        <w:rPr>
          <w:rStyle w:val="Slidecode"/>
          <w:b/>
        </w:rPr>
        <w:t>26.2.33</w:t>
      </w:r>
      <w:r>
        <w:rPr>
          <w:b/>
        </w:rPr>
        <w:t xml:space="preserve"> Movement Caused by Internal Stimuli</w:t>
      </w:r>
      <w:bookmarkEnd w:id="31"/>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32" w:name="s262034"/>
      <w:r>
        <w:rPr>
          <w:rStyle w:val="Slidecode"/>
          <w:b/>
        </w:rPr>
        <w:t>26.2.34</w:t>
      </w:r>
      <w:r>
        <w:rPr>
          <w:b/>
        </w:rPr>
        <w:t xml:space="preserve"> Plant Cell Exhibits Turgor</w:t>
      </w:r>
      <w:bookmarkEnd w:id="32"/>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33" w:name="s262035"/>
      <w:r>
        <w:rPr>
          <w:rStyle w:val="Slidecode"/>
          <w:b/>
        </w:rPr>
        <w:t>26.2.35</w:t>
      </w:r>
      <w:r>
        <w:rPr>
          <w:b/>
        </w:rPr>
        <w:t xml:space="preserve"> Turgor Movement</w:t>
      </w:r>
      <w:bookmarkEnd w:id="33"/>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Slideheading"/>
      </w:pPr>
      <w:bookmarkStart w:id="34" w:name="s263036"/>
      <w:r>
        <w:rPr>
          <w:rStyle w:val="Slidecode"/>
          <w:b/>
        </w:rPr>
        <w:t>26.3.36</w:t>
      </w:r>
      <w:bookmarkEnd w:id="34"/>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35" w:name="s263037"/>
      <w:r>
        <w:rPr>
          <w:rStyle w:val="Slidecode"/>
          <w:b/>
        </w:rPr>
        <w:t>26.3.37</w:t>
      </w:r>
      <w:r>
        <w:rPr>
          <w:b/>
        </w:rPr>
        <w:t xml:space="preserve"> Phytochrome</w:t>
      </w:r>
      <w:bookmarkEnd w:id="35"/>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36" w:name="s263038"/>
      <w:r>
        <w:rPr>
          <w:rStyle w:val="Slidecode"/>
          <w:b/>
        </w:rPr>
        <w:t>26.3.38</w:t>
      </w:r>
      <w:r>
        <w:rPr>
          <w:b/>
        </w:rPr>
        <w:t xml:space="preserve"> Inactive and Active Phytochrome</w:t>
      </w:r>
      <w:bookmarkEnd w:id="36"/>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37" w:name="s263039"/>
      <w:r>
        <w:rPr>
          <w:rStyle w:val="Slidecode"/>
          <w:b/>
        </w:rPr>
        <w:t>26.3.39</w:t>
      </w:r>
      <w:r>
        <w:rPr>
          <w:b/>
        </w:rPr>
        <w:t xml:space="preserve"> Phytochrome Conversion Cycle</w:t>
      </w:r>
      <w:bookmarkEnd w:id="37"/>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38" w:name="s263040"/>
      <w:r>
        <w:rPr>
          <w:rStyle w:val="Slidecode"/>
          <w:b/>
        </w:rPr>
        <w:t>26.3.40</w:t>
      </w:r>
      <w:r>
        <w:rPr>
          <w:b/>
        </w:rPr>
        <w:t xml:space="preserve"> Flowering and Photoperiodism</w:t>
      </w:r>
      <w:bookmarkEnd w:id="38"/>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39" w:name="s263041"/>
      <w:r>
        <w:rPr>
          <w:rStyle w:val="Slidecode"/>
          <w:b/>
        </w:rPr>
        <w:t>26.3.41</w:t>
      </w:r>
      <w:r>
        <w:rPr>
          <w:b/>
        </w:rPr>
        <w:t xml:space="preserve"> Short-Day (Long-Night) Plant</w:t>
      </w:r>
      <w:bookmarkEnd w:id="39"/>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the sensitive plant's leaves (printed with 26.2.35). The figure is cocklebur, a short-day plant: it flowers when the night is longer than a critical length, and a flash of light that interrupts that night stops it flowering (Fig. 26.16a).</w:t>
      </w:r>
    </w:p>
    <w:p>
      <w:pPr>
        <w:pStyle w:val="Slideheading"/>
      </w:pPr>
      <w:bookmarkStart w:id="40" w:name="s263042"/>
      <w:r>
        <w:rPr>
          <w:rStyle w:val="Slidecode"/>
          <w:b/>
        </w:rPr>
        <w:t>26.3.42</w:t>
      </w:r>
      <w:r>
        <w:rPr>
          <w:b/>
        </w:rPr>
        <w:t xml:space="preserve"> Long-Day (Short-Night) Plant</w:t>
      </w:r>
      <w:bookmarkEnd w:id="40"/>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41" w:name="s263043"/>
      <w:r>
        <w:rPr>
          <w:rStyle w:val="Slidecode"/>
          <w:b/>
        </w:rPr>
        <w:t>26.3.43</w:t>
      </w:r>
      <w:r>
        <w:rPr>
          <w:b/>
        </w:rPr>
        <w:t xml:space="preserve"> Phytochrome Controls Shoot Elongation and Chlorophyll Production</w:t>
      </w:r>
      <w:bookmarkEnd w:id="41"/>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42" w:name="s263044"/>
      <w:r>
        <w:rPr>
          <w:rStyle w:val="Slidecode"/>
          <w:b/>
        </w:rPr>
        <w:t>26.3.44</w:t>
      </w:r>
      <w:r>
        <w:rPr>
          <w:b/>
        </w:rPr>
        <w:t xml:space="preserve"> Phytochrome and Competition</w:t>
      </w:r>
      <w:bookmarkEnd w:id="42"/>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43" w:name="s263045"/>
      <w:r>
        <w:rPr>
          <w:rStyle w:val="Slidecode"/>
          <w:b/>
        </w:rPr>
        <w:t>26.3.45</w:t>
      </w:r>
      <w:r>
        <w:rPr>
          <w:b/>
        </w:rPr>
        <w:t xml:space="preserve"> Circadian Rhythms</w:t>
      </w:r>
      <w:bookmarkEnd w:id="43"/>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44" w:name="s263046"/>
      <w:r>
        <w:rPr>
          <w:rStyle w:val="Slidecode"/>
          <w:b/>
        </w:rPr>
        <w:t>26.3.46</w:t>
      </w:r>
      <w:r>
        <w:rPr>
          <w:b/>
        </w:rPr>
        <w:t xml:space="preserve"> Examples of Circadian Rhythms</w:t>
      </w:r>
      <w:bookmarkEnd w:id="44"/>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45" w:name="lk26LkTables"/>
      <w:r>
        <w:rPr>
          <w:rStyle w:val="Slidecode"/>
        </w:rPr>
        <w:t>Comparison tables</w:t>
      </w:r>
      <w:bookmarkEnd w:id="45"/>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97"/>
        <w:gridCol w:w="3903"/>
      </w:tblGrid>
      <w:tr>
        <w:trPr>
          <w:cantSplit/>
        </w:trPr>
        <w:tc>
          <w:tcPr>
            <w:tcW w:type="dxa" w:w="1497"/>
          </w:tcPr>
          <w:p>
            <w:pPr>
              <w:pStyle w:val="Tabletext"/>
            </w:pPr>
            <w:r>
              <w:rPr/>
              <w:t>Made in</w:t>
            </w:r>
          </w:p>
        </w:tc>
        <w:tc>
          <w:tcPr>
            <w:tcW w:type="dxa" w:w="3903"/>
          </w:tcPr>
          <w:p>
            <w:pPr>
              <w:pStyle w:val="Tabletext"/>
            </w:pPr>
            <w:r>
              <w:rPr/>
              <w:t>shoot apical meristem; young leaves, flowers, fruits</w:t>
            </w:r>
          </w:p>
        </w:tc>
      </w:tr>
      <w:tr>
        <w:trPr>
          <w:cantSplit/>
        </w:trPr>
        <w:tc>
          <w:tcPr>
            <w:tcW w:type="dxa" w:w="1497"/>
          </w:tcPr>
          <w:p>
            <w:pPr>
              <w:pStyle w:val="Tabletext"/>
            </w:pPr>
            <w:r>
              <w:rPr/>
              <w:t>Effects</w:t>
            </w:r>
          </w:p>
        </w:tc>
        <w:tc>
          <w:tcPr>
            <w:tcW w:type="dxa" w:w="3903"/>
          </w:tcPr>
          <w:p>
            <w:pPr>
              <w:pStyle w:val="Tabletext"/>
            </w:pPr>
            <w:r>
              <w:rPr/>
              <w:t>apical dominance (blocks axillary buds); root and fruit growth; prevents loss of leaves and fruit; phototropism (shady-side cells elongate); gravitropism</w:t>
            </w:r>
          </w:p>
        </w:tc>
      </w:tr>
      <w:tr>
        <w:trPr>
          <w:cantSplit/>
        </w:trPr>
        <w:tc>
          <w:tcPr>
            <w:tcW w:type="dxa" w:w="1497"/>
          </w:tcPr>
          <w:p>
            <w:pPr>
              <w:pStyle w:val="Tabletext"/>
            </w:pPr>
            <w:r>
              <w:rPr/>
              <w:t>Commercial use</w:t>
            </w:r>
          </w:p>
        </w:tc>
        <w:tc>
          <w:tcPr>
            <w:tcW w:type="dxa" w:w="3903"/>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4"/>
        <w:gridCol w:w="3656"/>
      </w:tblGrid>
      <w:tr>
        <w:trPr>
          <w:cantSplit/>
        </w:trPr>
        <w:tc>
          <w:tcPr>
            <w:tcW w:type="dxa" w:w="1744"/>
          </w:tcPr>
          <w:p>
            <w:pPr>
              <w:pStyle w:val="Tabletext"/>
            </w:pPr>
            <w:r>
              <w:rPr/>
              <w:t>Made in</w:t>
            </w:r>
          </w:p>
        </w:tc>
        <w:tc>
          <w:tcPr>
            <w:tcW w:type="dxa" w:w="3656"/>
          </w:tcPr>
          <w:p>
            <w:pPr>
              <w:pStyle w:val="Tabletext"/>
            </w:pPr>
            <w:r>
              <w:rPr/>
              <w:t>young leaves, roots, embryos, seeds, fruits (textbook)</w:t>
            </w:r>
          </w:p>
        </w:tc>
      </w:tr>
      <w:tr>
        <w:trPr>
          <w:cantSplit/>
        </w:trPr>
        <w:tc>
          <w:tcPr>
            <w:tcW w:type="dxa" w:w="1744"/>
          </w:tcPr>
          <w:p>
            <w:pPr>
              <w:pStyle w:val="Tabletext"/>
            </w:pPr>
            <w:r>
              <w:rPr/>
              <w:t>Effects</w:t>
            </w:r>
          </w:p>
        </w:tc>
        <w:tc>
          <w:tcPr>
            <w:tcW w:type="dxa" w:w="3656"/>
          </w:tcPr>
          <w:p>
            <w:pPr>
              <w:pStyle w:val="Tabletext"/>
            </w:pPr>
            <w:r>
              <w:rPr/>
              <w:t>stem elongation; break bud and seed dormancy</w:t>
            </w:r>
          </w:p>
        </w:tc>
      </w:tr>
      <w:tr>
        <w:trPr>
          <w:cantSplit/>
        </w:trPr>
        <w:tc>
          <w:tcPr>
            <w:tcW w:type="dxa" w:w="1744"/>
          </w:tcPr>
          <w:p>
            <w:pPr>
              <w:pStyle w:val="Tabletext"/>
            </w:pPr>
            <w:r>
              <w:rPr/>
              <w:t>Commercial use</w:t>
            </w:r>
          </w:p>
        </w:tc>
        <w:tc>
          <w:tcPr>
            <w:tcW w:type="dxa" w:w="3656"/>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39"/>
        <w:gridCol w:w="3861"/>
      </w:tblGrid>
      <w:tr>
        <w:trPr>
          <w:cantSplit/>
        </w:trPr>
        <w:tc>
          <w:tcPr>
            <w:tcW w:type="dxa" w:w="1539"/>
          </w:tcPr>
          <w:p>
            <w:pPr>
              <w:pStyle w:val="Tabletext"/>
            </w:pPr>
            <w:r>
              <w:rPr/>
              <w:t>Made in</w:t>
            </w:r>
          </w:p>
        </w:tc>
        <w:tc>
          <w:tcPr>
            <w:tcW w:type="dxa" w:w="3861"/>
          </w:tcPr>
          <w:p>
            <w:pPr>
              <w:pStyle w:val="Tabletext"/>
            </w:pPr>
            <w:r>
              <w:rPr/>
              <w:t>dividing root tissue, seeds, fruits</w:t>
            </w:r>
          </w:p>
        </w:tc>
      </w:tr>
      <w:tr>
        <w:trPr>
          <w:cantSplit/>
        </w:trPr>
        <w:tc>
          <w:tcPr>
            <w:tcW w:type="dxa" w:w="1539"/>
          </w:tcPr>
          <w:p>
            <w:pPr>
              <w:pStyle w:val="Tabletext"/>
            </w:pPr>
            <w:r>
              <w:rPr/>
              <w:t>Effects</w:t>
            </w:r>
          </w:p>
        </w:tc>
        <w:tc>
          <w:tcPr>
            <w:tcW w:type="dxa" w:w="3861"/>
          </w:tcPr>
          <w:p>
            <w:pPr>
              <w:pStyle w:val="Tabletext"/>
            </w:pPr>
            <w:r>
              <w:rPr/>
              <w:t>cell division and organ formation; root nodules, galls; with auxin, prevent senescence; low levels in autumn let leaves change color and die</w:t>
            </w:r>
          </w:p>
        </w:tc>
      </w:tr>
      <w:tr>
        <w:trPr>
          <w:cantSplit/>
        </w:trPr>
        <w:tc>
          <w:tcPr>
            <w:tcW w:type="dxa" w:w="1539"/>
          </w:tcPr>
          <w:p>
            <w:pPr>
              <w:pStyle w:val="Tabletext"/>
            </w:pPr>
            <w:r>
              <w:rPr/>
              <w:t>Commercial use</w:t>
            </w:r>
          </w:p>
        </w:tc>
        <w:tc>
          <w:tcPr>
            <w:tcW w:type="dxa" w:w="3861"/>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7"/>
        <w:gridCol w:w="3773"/>
      </w:tblGrid>
      <w:tr>
        <w:trPr>
          <w:cantSplit/>
        </w:trPr>
        <w:tc>
          <w:tcPr>
            <w:tcW w:type="dxa" w:w="1627"/>
          </w:tcPr>
          <w:p>
            <w:pPr>
              <w:pStyle w:val="Tabletext"/>
            </w:pPr>
            <w:r>
              <w:rPr/>
              <w:t>Made in</w:t>
            </w:r>
          </w:p>
        </w:tc>
        <w:tc>
          <w:tcPr>
            <w:tcW w:type="dxa" w:w="3773"/>
          </w:tcPr>
          <w:p>
            <w:pPr>
              <w:pStyle w:val="Tabletext"/>
            </w:pPr>
            <w:r>
              <w:rPr/>
              <w:t>any green tissue</w:t>
            </w:r>
          </w:p>
        </w:tc>
      </w:tr>
      <w:tr>
        <w:trPr>
          <w:cantSplit/>
        </w:trPr>
        <w:tc>
          <w:tcPr>
            <w:tcW w:type="dxa" w:w="1627"/>
          </w:tcPr>
          <w:p>
            <w:pPr>
              <w:pStyle w:val="Tabletext"/>
            </w:pPr>
            <w:r>
              <w:rPr/>
              <w:t>Effects</w:t>
            </w:r>
          </w:p>
        </w:tc>
        <w:tc>
          <w:tcPr>
            <w:tcW w:type="dxa" w:w="3773"/>
          </w:tcPr>
          <w:p>
            <w:pPr>
              <w:pStyle w:val="Tabletext"/>
            </w:pPr>
            <w:r>
              <w:rPr/>
              <w:t>the stress hormone: starts and maintains seed and bud dormancy; closes stomata; corn that can't respond shows vivipary</w:t>
            </w:r>
          </w:p>
        </w:tc>
      </w:tr>
      <w:tr>
        <w:trPr>
          <w:cantSplit/>
        </w:trPr>
        <w:tc>
          <w:tcPr>
            <w:tcW w:type="dxa" w:w="1627"/>
          </w:tcPr>
          <w:p>
            <w:pPr>
              <w:pStyle w:val="Tabletext"/>
            </w:pPr>
            <w:r>
              <w:rPr/>
              <w:t>Commercial use</w:t>
            </w:r>
          </w:p>
        </w:tc>
        <w:tc>
          <w:tcPr>
            <w:tcW w:type="dxa" w:w="3773"/>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95"/>
        <w:gridCol w:w="3805"/>
      </w:tblGrid>
      <w:tr>
        <w:trPr>
          <w:cantSplit/>
        </w:trPr>
        <w:tc>
          <w:tcPr>
            <w:tcW w:type="dxa" w:w="1595"/>
          </w:tcPr>
          <w:p>
            <w:pPr>
              <w:pStyle w:val="Tabletext"/>
            </w:pPr>
            <w:r>
              <w:rPr/>
              <w:t>Made in</w:t>
            </w:r>
          </w:p>
        </w:tc>
        <w:tc>
          <w:tcPr>
            <w:tcW w:type="dxa" w:w="3805"/>
          </w:tcPr>
          <w:p>
            <w:pPr>
              <w:pStyle w:val="Tabletext"/>
            </w:pPr>
            <w:r>
              <w:rPr/>
              <w:t>formed from the amino acid methionine</w:t>
            </w:r>
          </w:p>
        </w:tc>
      </w:tr>
      <w:tr>
        <w:trPr>
          <w:cantSplit/>
        </w:trPr>
        <w:tc>
          <w:tcPr>
            <w:tcW w:type="dxa" w:w="1595"/>
          </w:tcPr>
          <w:p>
            <w:pPr>
              <w:pStyle w:val="Tabletext"/>
            </w:pPr>
            <w:r>
              <w:rPr/>
              <w:t>Effects</w:t>
            </w:r>
          </w:p>
        </w:tc>
        <w:tc>
          <w:tcPr>
            <w:tcW w:type="dxa" w:w="3805"/>
          </w:tcPr>
          <w:p>
            <w:pPr>
              <w:pStyle w:val="Tabletext"/>
            </w:pPr>
            <w:r>
              <w:rPr/>
              <w:t>abscission (stimulates cellulase); ripens fruit (softening, flavor, smell); inhibits axillary buds; suppresses stem and root elongation</w:t>
            </w:r>
          </w:p>
        </w:tc>
      </w:tr>
      <w:tr>
        <w:trPr>
          <w:cantSplit/>
        </w:trPr>
        <w:tc>
          <w:tcPr>
            <w:tcW w:type="dxa" w:w="1595"/>
          </w:tcPr>
          <w:p>
            <w:pPr>
              <w:pStyle w:val="Tabletext"/>
            </w:pPr>
            <w:r>
              <w:rPr/>
              <w:t>Commercial use</w:t>
            </w:r>
          </w:p>
        </w:tc>
        <w:tc>
          <w:tcPr>
            <w:tcW w:type="dxa" w:w="3805"/>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17"/>
        <w:gridCol w:w="2983"/>
      </w:tblGrid>
      <w:tr>
        <w:trPr>
          <w:cantSplit/>
          <w:tblHeader/>
        </w:trPr>
        <w:tc>
          <w:tcPr>
            <w:tcW w:type="dxa" w:w="2417"/>
          </w:tcPr>
          <w:p>
            <w:pPr>
              <w:pStyle w:val="Tabletext"/>
            </w:pPr>
            <w:r>
              <w:rPr>
                <w:b/>
              </w:rPr>
              <w:t>Response</w:t>
            </w:r>
          </w:p>
        </w:tc>
        <w:tc>
          <w:tcPr>
            <w:tcW w:type="dxa" w:w="2983"/>
          </w:tcPr>
          <w:p>
            <w:pPr>
              <w:pStyle w:val="Tabletext"/>
            </w:pPr>
            <w:r>
              <w:rPr>
                <w:b/>
              </w:rPr>
              <w:t>Stimulus / how</w:t>
            </w:r>
          </w:p>
        </w:tc>
      </w:tr>
      <w:tr>
        <w:trPr>
          <w:cantSplit/>
        </w:trPr>
        <w:tc>
          <w:tcPr>
            <w:tcW w:type="dxa" w:w="2417"/>
          </w:tcPr>
          <w:p>
            <w:pPr>
              <w:pStyle w:val="Tabletext"/>
            </w:pPr>
            <w:r>
              <w:rPr/>
              <w:t>Phototropism</w:t>
            </w:r>
          </w:p>
        </w:tc>
        <w:tc>
          <w:tcPr>
            <w:tcW w:type="dxa" w:w="2983"/>
          </w:tcPr>
          <w:p>
            <w:pPr>
              <w:pStyle w:val="Tabletext"/>
            </w:pPr>
            <w:r>
              <w:rPr/>
              <w:t>light: stems grow toward it (shady-side cells elongate, auxin); roots insensitive or negative; phototropin absorbs blue light (26.2.25–26)</w:t>
            </w:r>
          </w:p>
        </w:tc>
      </w:tr>
      <w:tr>
        <w:trPr>
          <w:cantSplit/>
        </w:trPr>
        <w:tc>
          <w:tcPr>
            <w:tcW w:type="dxa" w:w="2417"/>
          </w:tcPr>
          <w:p>
            <w:pPr>
              <w:pStyle w:val="Tabletext"/>
            </w:pPr>
            <w:r>
              <w:rPr/>
              <w:t>Thigmotropism</w:t>
            </w:r>
          </w:p>
        </w:tc>
        <w:tc>
          <w:tcPr>
            <w:tcW w:type="dxa" w:w="2983"/>
          </w:tcPr>
          <w:p>
            <w:pPr>
              <w:pStyle w:val="Tabletext"/>
            </w:pPr>
            <w:r>
              <w:rPr/>
              <w:t>touch (plant, animal, rock, wind): tendrils and stems coil (runner beans, morning glories) (26.2.27–28)</w:t>
            </w:r>
          </w:p>
        </w:tc>
      </w:tr>
      <w:tr>
        <w:trPr>
          <w:cantSplit/>
        </w:trPr>
        <w:tc>
          <w:tcPr>
            <w:tcW w:type="dxa" w:w="2417"/>
          </w:tcPr>
          <w:p>
            <w:pPr>
              <w:pStyle w:val="Tabletext"/>
            </w:pPr>
            <w:r>
              <w:rPr/>
              <w:t>Thigmomorphogenesis</w:t>
            </w:r>
          </w:p>
        </w:tc>
        <w:tc>
          <w:tcPr>
            <w:tcW w:type="dxa" w:w="2983"/>
          </w:tcPr>
          <w:p>
            <w:pPr>
              <w:pStyle w:val="Tabletext"/>
            </w:pPr>
            <w:r>
              <w:rPr/>
              <w:t>whole-plant shape change from touch: barrier, wind, rain (26.2.27)</w:t>
            </w:r>
          </w:p>
        </w:tc>
      </w:tr>
      <w:tr>
        <w:trPr>
          <w:cantSplit/>
        </w:trPr>
        <w:tc>
          <w:tcPr>
            <w:tcW w:type="dxa" w:w="2417"/>
          </w:tcPr>
          <w:p>
            <w:pPr>
              <w:pStyle w:val="Tabletext"/>
            </w:pPr>
            <w:r>
              <w:rPr/>
              <w:t>Gravitropism</w:t>
            </w:r>
          </w:p>
        </w:tc>
        <w:tc>
          <w:tcPr>
            <w:tcW w:type="dxa" w:w="2983"/>
          </w:tcPr>
          <w:p>
            <w:pPr>
              <w:pStyle w:val="Tabletext"/>
            </w:pPr>
            <w:r>
              <w:rPr/>
              <w:t>gravity: stem up, roots down; statoliths (starch in amyloplasts) settle in root-cap cells; auxin (26.2.29–30)</w:t>
            </w:r>
          </w:p>
        </w:tc>
      </w:tr>
      <w:tr>
        <w:trPr>
          <w:cantSplit/>
        </w:trPr>
        <w:tc>
          <w:tcPr>
            <w:tcW w:type="dxa" w:w="2417"/>
          </w:tcPr>
          <w:p>
            <w:pPr>
              <w:pStyle w:val="Tabletext"/>
            </w:pPr>
            <w:r>
              <w:rPr/>
              <w:t>Turgor (nastic) movement</w:t>
            </w:r>
          </w:p>
        </w:tc>
        <w:tc>
          <w:tcPr>
            <w:tcW w:type="dxa" w:w="2983"/>
          </w:tcPr>
          <w:p>
            <w:pPr>
              <w:pStyle w:val="Tabletext"/>
            </w:pPr>
            <w:r>
              <w:rPr/>
              <w:t>no growth, not directional: turgor changes, electrical impulses or hormones (Mimosa pudica, Venus flytrap) (26.2.33, 26.2.35)</w:t>
            </w:r>
          </w:p>
        </w:tc>
      </w:tr>
      <w:tr>
        <w:trPr>
          <w:cantSplit/>
        </w:trPr>
        <w:tc>
          <w:tcPr>
            <w:tcW w:type="dxa" w:w="2417"/>
          </w:tcPr>
          <w:p>
            <w:pPr>
              <w:pStyle w:val="Tabletext"/>
            </w:pPr>
            <w:r>
              <w:rPr/>
              <w:t>Sleep movements</w:t>
            </w:r>
          </w:p>
        </w:tc>
        <w:tc>
          <w:tcPr>
            <w:tcW w:type="dxa" w:w="2983"/>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1"/>
        <w:gridCol w:w="2333"/>
        <w:gridCol w:w="1326"/>
      </w:tblGrid>
      <w:tr>
        <w:trPr>
          <w:cantSplit/>
          <w:tblHeader/>
        </w:trPr>
        <w:tc>
          <w:tcPr>
            <w:tcW w:type="dxa" w:w="1741"/>
          </w:tcPr>
          <w:p>
            <w:pPr>
              <w:pStyle w:val="Tabletext"/>
            </w:pPr>
            <w:r>
              <w:rPr>
                <w:b/>
              </w:rPr>
              <w:t>Plant</w:t>
            </w:r>
          </w:p>
        </w:tc>
        <w:tc>
          <w:tcPr>
            <w:tcW w:type="dxa" w:w="2333"/>
          </w:tcPr>
          <w:p>
            <w:pPr>
              <w:pStyle w:val="Tabletext"/>
            </w:pPr>
            <w:r>
              <w:rPr>
                <w:b/>
              </w:rPr>
              <w:t>Flowers when</w:t>
            </w:r>
          </w:p>
        </w:tc>
        <w:tc>
          <w:tcPr>
            <w:tcW w:type="dxa" w:w="1326"/>
          </w:tcPr>
          <w:p>
            <w:pPr>
              <w:pStyle w:val="Tabletext"/>
            </w:pPr>
            <w:r>
              <w:rPr>
                <w:b/>
              </w:rPr>
              <w:t>Night flash</w:t>
            </w:r>
          </w:p>
        </w:tc>
      </w:tr>
      <w:tr>
        <w:trPr>
          <w:cantSplit/>
        </w:trPr>
        <w:tc>
          <w:tcPr>
            <w:tcW w:type="dxa" w:w="1741"/>
          </w:tcPr>
          <w:p>
            <w:pPr>
              <w:pStyle w:val="Tabletext"/>
            </w:pPr>
            <w:r>
              <w:rPr/>
              <w:t>Short-day (long-night)</w:t>
            </w:r>
          </w:p>
        </w:tc>
        <w:tc>
          <w:tcPr>
            <w:tcW w:type="dxa" w:w="2333"/>
          </w:tcPr>
          <w:p>
            <w:pPr>
              <w:pStyle w:val="Tabletext"/>
            </w:pPr>
            <w:r>
              <w:rPr/>
              <w:t>day shorter than the critical length (night longer)</w:t>
            </w:r>
          </w:p>
        </w:tc>
        <w:tc>
          <w:tcPr>
            <w:tcW w:type="dxa" w:w="1326"/>
          </w:tcPr>
          <w:p>
            <w:pPr>
              <w:pStyle w:val="Tabletext"/>
            </w:pPr>
            <w:r>
              <w:rPr/>
              <w:t>stops flowering</w:t>
            </w:r>
          </w:p>
        </w:tc>
      </w:tr>
      <w:tr>
        <w:trPr>
          <w:cantSplit/>
        </w:trPr>
        <w:tc>
          <w:tcPr>
            <w:tcW w:type="dxa" w:w="1741"/>
          </w:tcPr>
          <w:p>
            <w:pPr>
              <w:pStyle w:val="Tabletext"/>
            </w:pPr>
            <w:r>
              <w:rPr/>
              <w:t>Long-day (short-night)</w:t>
            </w:r>
          </w:p>
        </w:tc>
        <w:tc>
          <w:tcPr>
            <w:tcW w:type="dxa" w:w="2333"/>
          </w:tcPr>
          <w:p>
            <w:pPr>
              <w:pStyle w:val="Tabletext"/>
            </w:pPr>
            <w:r>
              <w:rPr/>
              <w:t>day longer than the critical length (night shorter); clover</w:t>
            </w:r>
          </w:p>
        </w:tc>
        <w:tc>
          <w:tcPr>
            <w:tcW w:type="dxa" w:w="1326"/>
          </w:tcPr>
          <w:p>
            <w:pPr>
              <w:pStyle w:val="Tabletext"/>
            </w:pPr>
            <w:r>
              <w:rPr/>
              <w:t>makes it flower</w:t>
            </w:r>
          </w:p>
        </w:tc>
      </w:tr>
      <w:tr>
        <w:trPr>
          <w:cantSplit/>
        </w:trPr>
        <w:tc>
          <w:tcPr>
            <w:tcW w:type="dxa" w:w="1741"/>
          </w:tcPr>
          <w:p>
            <w:pPr>
              <w:pStyle w:val="Tabletext"/>
            </w:pPr>
            <w:r>
              <w:rPr/>
              <w:t>Day-neutral</w:t>
            </w:r>
          </w:p>
        </w:tc>
        <w:tc>
          <w:tcPr>
            <w:tcW w:type="dxa" w:w="2333"/>
          </w:tcPr>
          <w:p>
            <w:pPr>
              <w:pStyle w:val="Tabletext"/>
            </w:pPr>
            <w:r>
              <w:rPr/>
              <w:t>regardless of day length</w:t>
            </w:r>
          </w:p>
        </w:tc>
        <w:tc>
          <w:tcPr>
            <w:tcW w:type="dxa" w:w="1326"/>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45"/>
        <w:gridCol w:w="4155"/>
      </w:tblGrid>
      <w:tr>
        <w:trPr>
          <w:cantSplit/>
          <w:tblHeader/>
        </w:trPr>
        <w:tc>
          <w:tcPr>
            <w:tcW w:type="dxa" w:w="1245"/>
          </w:tcPr>
          <w:p>
            <w:pPr>
              <w:pStyle w:val="Tabletext"/>
            </w:pPr>
            <w:r>
              <w:rPr>
                <w:b/>
              </w:rPr>
            </w:r>
          </w:p>
        </w:tc>
        <w:tc>
          <w:tcPr>
            <w:tcW w:type="dxa" w:w="4155"/>
          </w:tcPr>
          <w:p>
            <w:pPr>
              <w:pStyle w:val="Tabletext"/>
            </w:pPr>
            <w:r>
              <w:rPr>
                <w:b/>
              </w:rPr>
              <w:t>What it does</w:t>
            </w:r>
          </w:p>
        </w:tc>
      </w:tr>
      <w:tr>
        <w:trPr>
          <w:cantSplit/>
        </w:trPr>
        <w:tc>
          <w:tcPr>
            <w:tcW w:type="dxa" w:w="1245"/>
          </w:tcPr>
          <w:p>
            <w:pPr>
              <w:pStyle w:val="Tabletext"/>
            </w:pPr>
            <w:r>
              <w:rPr/>
              <w:t>Pr</w:t>
            </w:r>
          </w:p>
        </w:tc>
        <w:tc>
          <w:tcPr>
            <w:tcW w:type="dxa" w:w="4155"/>
          </w:tcPr>
          <w:p>
            <w:pPr>
              <w:pStyle w:val="Tabletext"/>
            </w:pPr>
            <w:r>
              <w:rPr/>
              <w:t>inactive; absorbs red light (daylight) and becomes Pfr</w:t>
            </w:r>
          </w:p>
        </w:tc>
      </w:tr>
      <w:tr>
        <w:trPr>
          <w:cantSplit/>
        </w:trPr>
        <w:tc>
          <w:tcPr>
            <w:tcW w:type="dxa" w:w="1245"/>
          </w:tcPr>
          <w:p>
            <w:pPr>
              <w:pStyle w:val="Tabletext"/>
            </w:pPr>
            <w:r>
              <w:rPr/>
              <w:t>Pfr</w:t>
            </w:r>
          </w:p>
        </w:tc>
        <w:tc>
          <w:tcPr>
            <w:tcW w:type="dxa" w:w="4155"/>
          </w:tcPr>
          <w:p>
            <w:pPr>
              <w:pStyle w:val="Tabletext"/>
            </w:pPr>
            <w:r>
              <w:rPr/>
              <w:t>active; absorbs far-red light and becomes Pr in the evening, shade or night</w:t>
            </w:r>
          </w:p>
        </w:tc>
      </w:tr>
      <w:tr>
        <w:trPr>
          <w:cantSplit/>
        </w:trPr>
        <w:tc>
          <w:tcPr>
            <w:tcW w:type="dxa" w:w="1245"/>
          </w:tcPr>
          <w:p>
            <w:pPr>
              <w:pStyle w:val="Tabletext"/>
            </w:pPr>
            <w:r>
              <w:rPr/>
              <w:t>Effects</w:t>
            </w:r>
          </w:p>
        </w:tc>
        <w:tc>
          <w:tcPr>
            <w:tcW w:type="dxa" w:w="4155"/>
          </w:tcPr>
          <w:p>
            <w:pPr>
              <w:pStyle w:val="Tabletext"/>
            </w:pPr>
            <w:r>
              <w:rPr/>
              <w:t>detects photoperiod changes; promotes germination and flowering; inhibits shoot elongation</w:t>
            </w:r>
          </w:p>
        </w:tc>
      </w:tr>
      <w:tr>
        <w:trPr>
          <w:cantSplit/>
        </w:trPr>
        <w:tc>
          <w:tcPr>
            <w:tcW w:type="dxa" w:w="1245"/>
          </w:tcPr>
          <w:p>
            <w:pPr>
              <w:pStyle w:val="Tabletext"/>
            </w:pPr>
            <w:r>
              <w:rPr/>
              <w:t>Spacing</w:t>
            </w:r>
          </w:p>
        </w:tc>
        <w:tc>
          <w:tcPr>
            <w:tcW w:type="dxa" w:w="4155"/>
          </w:tcPr>
          <w:p>
            <w:pPr>
              <w:pStyle w:val="Tabletext"/>
            </w:pPr>
            <w:r>
              <w:rPr/>
              <w:t>more far-red light (shade from neighbors) → grows taller to compete</w:t>
            </w:r>
          </w:p>
        </w:tc>
      </w:tr>
      <w:tr>
        <w:trPr>
          <w:cantSplit/>
        </w:trPr>
        <w:tc>
          <w:tcPr>
            <w:tcW w:type="dxa" w:w="1245"/>
          </w:tcPr>
          <w:p>
            <w:pPr>
              <w:pStyle w:val="Tabletext"/>
            </w:pPr>
            <w:r>
              <w:rPr/>
              <w:t>Darkness</w:t>
            </w:r>
          </w:p>
        </w:tc>
        <w:tc>
          <w:tcPr>
            <w:tcW w:type="dxa" w:w="4155"/>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59"/>
        <w:gridCol w:w="2741"/>
      </w:tblGrid>
      <w:tr>
        <w:trPr>
          <w:cantSplit/>
          <w:tblHeader/>
        </w:trPr>
        <w:tc>
          <w:tcPr>
            <w:tcW w:type="dxa" w:w="2659"/>
          </w:tcPr>
          <w:p>
            <w:pPr>
              <w:pStyle w:val="Tabletext"/>
            </w:pPr>
            <w:r>
              <w:rPr>
                <w:b/>
              </w:rPr>
              <w:t>These</w:t>
            </w:r>
          </w:p>
        </w:tc>
        <w:tc>
          <w:tcPr>
            <w:tcW w:type="dxa" w:w="2741"/>
          </w:tcPr>
          <w:p>
            <w:pPr>
              <w:pStyle w:val="Tabletext"/>
            </w:pPr>
            <w:r>
              <w:rPr>
                <w:b/>
              </w:rPr>
              <w:t>The difference</w:t>
            </w:r>
          </w:p>
        </w:tc>
      </w:tr>
      <w:tr>
        <w:trPr>
          <w:cantSplit/>
        </w:trPr>
        <w:tc>
          <w:tcPr>
            <w:tcW w:type="dxa" w:w="2659"/>
          </w:tcPr>
          <w:p>
            <w:pPr>
              <w:pStyle w:val="Tabletext"/>
            </w:pPr>
            <w:r>
              <w:rPr/>
              <w:t>auxin vs cytokinins</w:t>
            </w:r>
          </w:p>
        </w:tc>
        <w:tc>
          <w:tcPr>
            <w:tcW w:type="dxa" w:w="2741"/>
          </w:tcPr>
          <w:p>
            <w:pPr>
              <w:pStyle w:val="Tabletext"/>
            </w:pPr>
            <w:r>
              <w:rPr/>
              <w:t>apical dominance, elongation, phototropism vs cell division, organ formation (26.1.8, 26.1.14)</w:t>
            </w:r>
          </w:p>
        </w:tc>
      </w:tr>
      <w:tr>
        <w:trPr>
          <w:cantSplit/>
        </w:trPr>
        <w:tc>
          <w:tcPr>
            <w:tcW w:type="dxa" w:w="2659"/>
          </w:tcPr>
          <w:p>
            <w:pPr>
              <w:pStyle w:val="Tabletext"/>
            </w:pPr>
            <w:r>
              <w:rPr/>
              <w:t>gibberellins vs abscisic acid</w:t>
            </w:r>
          </w:p>
        </w:tc>
        <w:tc>
          <w:tcPr>
            <w:tcW w:type="dxa" w:w="2741"/>
          </w:tcPr>
          <w:p>
            <w:pPr>
              <w:pStyle w:val="Tabletext"/>
            </w:pPr>
            <w:r>
              <w:rPr/>
              <w:t>break dormancy vs start and keep dormancy (26.1.12, 26.1.17)</w:t>
            </w:r>
          </w:p>
        </w:tc>
      </w:tr>
      <w:tr>
        <w:trPr>
          <w:cantSplit/>
        </w:trPr>
        <w:tc>
          <w:tcPr>
            <w:tcW w:type="dxa" w:w="2659"/>
          </w:tcPr>
          <w:p>
            <w:pPr>
              <w:pStyle w:val="Tabletext"/>
            </w:pPr>
            <w:r>
              <w:rPr/>
              <w:t>abscisic acid vs abscission</w:t>
            </w:r>
          </w:p>
        </w:tc>
        <w:tc>
          <w:tcPr>
            <w:tcW w:type="dxa" w:w="2741"/>
          </w:tcPr>
          <w:p>
            <w:pPr>
              <w:pStyle w:val="Tabletext"/>
            </w:pPr>
            <w:r>
              <w:rPr/>
              <w:t>the stress hormone vs leaf, fruit or flower drop (caused by ethylene) (26.1.17, 26.1.20)</w:t>
            </w:r>
          </w:p>
        </w:tc>
      </w:tr>
      <w:tr>
        <w:trPr>
          <w:cantSplit/>
        </w:trPr>
        <w:tc>
          <w:tcPr>
            <w:tcW w:type="dxa" w:w="2659"/>
          </w:tcPr>
          <w:p>
            <w:pPr>
              <w:pStyle w:val="Tabletext"/>
            </w:pPr>
            <w:r>
              <w:rPr/>
              <w:t>primary vs secondary metabolites</w:t>
            </w:r>
          </w:p>
        </w:tc>
        <w:tc>
          <w:tcPr>
            <w:tcW w:type="dxa" w:w="2741"/>
          </w:tcPr>
          <w:p>
            <w:pPr>
              <w:pStyle w:val="Tabletext"/>
            </w:pPr>
            <w:r>
              <w:rPr/>
              <w:t>sugars, amino acids every cell needs vs defense chemicals (26.1.23)</w:t>
            </w:r>
          </w:p>
        </w:tc>
      </w:tr>
      <w:tr>
        <w:trPr>
          <w:cantSplit/>
        </w:trPr>
        <w:tc>
          <w:tcPr>
            <w:tcW w:type="dxa" w:w="2659"/>
          </w:tcPr>
          <w:p>
            <w:pPr>
              <w:pStyle w:val="Tabletext"/>
            </w:pPr>
            <w:r>
              <w:rPr/>
              <w:t>positive vs negative tropism</w:t>
            </w:r>
          </w:p>
        </w:tc>
        <w:tc>
          <w:tcPr>
            <w:tcW w:type="dxa" w:w="2741"/>
          </w:tcPr>
          <w:p>
            <w:pPr>
              <w:pStyle w:val="Tabletext"/>
            </w:pPr>
            <w:r>
              <w:rPr/>
              <w:t>toward vs away from the stimulus (26.2.24)</w:t>
            </w:r>
          </w:p>
        </w:tc>
      </w:tr>
      <w:tr>
        <w:trPr>
          <w:cantSplit/>
        </w:trPr>
        <w:tc>
          <w:tcPr>
            <w:tcW w:type="dxa" w:w="2659"/>
          </w:tcPr>
          <w:p>
            <w:pPr>
              <w:pStyle w:val="Tabletext"/>
            </w:pPr>
            <w:r>
              <w:rPr/>
              <w:t>tropism vs turgor movement</w:t>
            </w:r>
          </w:p>
        </w:tc>
        <w:tc>
          <w:tcPr>
            <w:tcW w:type="dxa" w:w="2741"/>
          </w:tcPr>
          <w:p>
            <w:pPr>
              <w:pStyle w:val="Tabletext"/>
            </w:pPr>
            <w:r>
              <w:rPr/>
              <w:t>growth, directional vs no growth, not directional (26.2.24, 26.2.33)</w:t>
            </w:r>
          </w:p>
        </w:tc>
      </w:tr>
      <w:tr>
        <w:trPr>
          <w:cantSplit/>
        </w:trPr>
        <w:tc>
          <w:tcPr>
            <w:tcW w:type="dxa" w:w="2659"/>
          </w:tcPr>
          <w:p>
            <w:pPr>
              <w:pStyle w:val="Tabletext"/>
            </w:pPr>
            <w:r>
              <w:rPr/>
              <w:t>thigmotropism vs thigmomorphogenesis</w:t>
            </w:r>
          </w:p>
        </w:tc>
        <w:tc>
          <w:tcPr>
            <w:tcW w:type="dxa" w:w="2741"/>
          </w:tcPr>
          <w:p>
            <w:pPr>
              <w:pStyle w:val="Tabletext"/>
            </w:pPr>
            <w:r>
              <w:rPr/>
              <w:t>growth toward a touch vs whole-plant shape change (26.2.27)</w:t>
            </w:r>
          </w:p>
        </w:tc>
      </w:tr>
      <w:tr>
        <w:trPr>
          <w:cantSplit/>
        </w:trPr>
        <w:tc>
          <w:tcPr>
            <w:tcW w:type="dxa" w:w="2659"/>
          </w:tcPr>
          <w:p>
            <w:pPr>
              <w:pStyle w:val="Tabletext"/>
            </w:pPr>
            <w:r>
              <w:rPr/>
              <w:t>phototropin vs phytochrome</w:t>
            </w:r>
          </w:p>
        </w:tc>
        <w:tc>
          <w:tcPr>
            <w:tcW w:type="dxa" w:w="2741"/>
          </w:tcPr>
          <w:p>
            <w:pPr>
              <w:pStyle w:val="Tabletext"/>
            </w:pPr>
            <w:r>
              <w:rPr/>
              <w:t>blue light, phototropism vs red and far-red light, photoperiod (26.2.25, 26.3.36–37)</w:t>
            </w:r>
          </w:p>
        </w:tc>
      </w:tr>
      <w:tr>
        <w:trPr>
          <w:cantSplit/>
        </w:trPr>
        <w:tc>
          <w:tcPr>
            <w:tcW w:type="dxa" w:w="2659"/>
          </w:tcPr>
          <w:p>
            <w:pPr>
              <w:pStyle w:val="Tabletext"/>
            </w:pPr>
            <w:r>
              <w:rPr/>
              <w:t>statoliths vs amyloplasts</w:t>
            </w:r>
          </w:p>
        </w:tc>
        <w:tc>
          <w:tcPr>
            <w:tcW w:type="dxa" w:w="2741"/>
          </w:tcPr>
          <w:p>
            <w:pPr>
              <w:pStyle w:val="Tabletext"/>
            </w:pPr>
            <w:r>
              <w:rPr/>
              <w:t>starch grains that settle vs the organelles holding them (26.2.29)</w:t>
            </w:r>
          </w:p>
        </w:tc>
      </w:tr>
      <w:tr>
        <w:trPr>
          <w:cantSplit/>
        </w:trPr>
        <w:tc>
          <w:tcPr>
            <w:tcW w:type="dxa" w:w="2659"/>
          </w:tcPr>
          <w:p>
            <w:pPr>
              <w:pStyle w:val="Tabletext"/>
            </w:pPr>
            <w:r>
              <w:rPr/>
              <w:t>short-day vs long-day plant</w:t>
            </w:r>
          </w:p>
        </w:tc>
        <w:tc>
          <w:tcPr>
            <w:tcW w:type="dxa" w:w="2741"/>
          </w:tcPr>
          <w:p>
            <w:pPr>
              <w:pStyle w:val="Tabletext"/>
            </w:pPr>
            <w:r>
              <w:rPr/>
              <w:t>flowers when nights are long vs short (26.3.40)</w:t>
            </w:r>
          </w:p>
        </w:tc>
      </w:tr>
      <w:tr>
        <w:trPr>
          <w:cantSplit/>
        </w:trPr>
        <w:tc>
          <w:tcPr>
            <w:tcW w:type="dxa" w:w="2659"/>
          </w:tcPr>
          <w:p>
            <w:pPr>
              <w:pStyle w:val="Tabletext"/>
            </w:pPr>
            <w:r>
              <w:rPr/>
              <w:t>photoperiodism vs circadian rhythm</w:t>
            </w:r>
          </w:p>
        </w:tc>
        <w:tc>
          <w:tcPr>
            <w:tcW w:type="dxa" w:w="2741"/>
          </w:tcPr>
          <w:p>
            <w:pPr>
              <w:pStyle w:val="Tabletext"/>
            </w:pPr>
            <w:r>
              <w:rPr/>
              <w:t>response to day or night length vs a roughly 24-hour cycle (26.3.36, 26.3.45)</w:t>
            </w:r>
          </w:p>
        </w:tc>
      </w:tr>
    </w:tbl>
    <w:p>
      <w:pPr>
        <w:pStyle w:val="Tabletext"/>
      </w:pPr>
    </w:p>
    <w:p>
      <w:pPr>
        <w:pStyle w:val="Lookupheading"/>
      </w:pPr>
      <w:bookmarkStart w:id="46" w:name="lk26LkSeq"/>
      <w:r>
        <w:rPr>
          <w:rStyle w:val="Slidecode"/>
        </w:rPr>
        <w:t>Sequences</w:t>
      </w:r>
      <w:bookmarkEnd w:id="46"/>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attaches to a receptor (in the nucleus, textbook)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47" w:name="lk26LkUses"/>
      <w:r>
        <w:rPr>
          <w:rStyle w:val="Slidecode"/>
        </w:rPr>
        <w:t>Uses</w:t>
      </w:r>
      <w:bookmarkEnd w:id="47"/>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0"/>
        <w:gridCol w:w="3740"/>
      </w:tblGrid>
      <w:tr>
        <w:trPr>
          <w:cantSplit/>
          <w:tblHeader/>
        </w:trPr>
        <w:tc>
          <w:tcPr>
            <w:tcW w:type="dxa" w:w="1660"/>
          </w:tcPr>
          <w:p>
            <w:pPr>
              <w:pStyle w:val="Tabletext"/>
            </w:pPr>
            <w:r>
              <w:rPr>
                <w:b/>
              </w:rPr>
              <w:t>Source</w:t>
            </w:r>
          </w:p>
        </w:tc>
        <w:tc>
          <w:tcPr>
            <w:tcW w:type="dxa" w:w="3740"/>
          </w:tcPr>
          <w:p>
            <w:pPr>
              <w:pStyle w:val="Tabletext"/>
            </w:pPr>
            <w:r>
              <w:rPr>
                <w:b/>
              </w:rPr>
              <w:t>Use (and why)</w:t>
            </w:r>
          </w:p>
        </w:tc>
      </w:tr>
      <w:tr>
        <w:trPr>
          <w:cantSplit/>
        </w:trPr>
        <w:tc>
          <w:tcPr>
            <w:tcW w:type="dxa" w:w="1660"/>
          </w:tcPr>
          <w:p>
            <w:pPr>
              <w:pStyle w:val="Tabletext"/>
            </w:pPr>
            <w:r>
              <w:rPr/>
              <w:t>Synthetic auxins</w:t>
            </w:r>
          </w:p>
        </w:tc>
        <w:tc>
          <w:tcPr>
            <w:tcW w:type="dxa" w:w="3740"/>
          </w:tcPr>
          <w:p>
            <w:pPr>
              <w:pStyle w:val="Tabletext"/>
            </w:pPr>
            <w:r>
              <w:rPr/>
              <w:t>herbicides (2,4-D); fruit without pollination (26.1.7, 26.1.10)</w:t>
            </w:r>
          </w:p>
        </w:tc>
      </w:tr>
      <w:tr>
        <w:trPr>
          <w:cantSplit/>
        </w:trPr>
        <w:tc>
          <w:tcPr>
            <w:tcW w:type="dxa" w:w="1660"/>
          </w:tcPr>
          <w:p>
            <w:pPr>
              <w:pStyle w:val="Tabletext"/>
            </w:pPr>
            <w:r>
              <w:rPr/>
              <w:t>Agent Orange</w:t>
            </w:r>
          </w:p>
        </w:tc>
        <w:tc>
          <w:tcPr>
            <w:tcW w:type="dxa" w:w="3740"/>
          </w:tcPr>
          <w:p>
            <w:pPr>
              <w:pStyle w:val="Tabletext"/>
            </w:pPr>
            <w:r>
              <w:rPr/>
              <w:t>a synthetic auxin used to defoliate forests in Vietnam (26.1.10)</w:t>
            </w:r>
          </w:p>
        </w:tc>
      </w:tr>
      <w:tr>
        <w:trPr>
          <w:cantSplit/>
        </w:trPr>
        <w:tc>
          <w:tcPr>
            <w:tcW w:type="dxa" w:w="1660"/>
          </w:tcPr>
          <w:p>
            <w:pPr>
              <w:pStyle w:val="Tabletext"/>
            </w:pPr>
            <w:r>
              <w:rPr/>
              <w:t>Gibberellins</w:t>
            </w:r>
          </w:p>
        </w:tc>
        <w:tc>
          <w:tcPr>
            <w:tcW w:type="dxa" w:w="3740"/>
          </w:tcPr>
          <w:p>
            <w:pPr>
              <w:pStyle w:val="Tabletext"/>
            </w:pPr>
            <w:r>
              <w:rPr/>
              <w:t>induce crop growth; larger grapes (26.1.12–13)</w:t>
            </w:r>
          </w:p>
        </w:tc>
      </w:tr>
      <w:tr>
        <w:trPr>
          <w:cantSplit/>
        </w:trPr>
        <w:tc>
          <w:tcPr>
            <w:tcW w:type="dxa" w:w="1660"/>
          </w:tcPr>
          <w:p>
            <w:pPr>
              <w:pStyle w:val="Tabletext"/>
            </w:pPr>
            <w:r>
              <w:rPr/>
              <w:t>Cytokinins</w:t>
            </w:r>
          </w:p>
        </w:tc>
        <w:tc>
          <w:tcPr>
            <w:tcW w:type="dxa" w:w="3740"/>
          </w:tcPr>
          <w:p>
            <w:pPr>
              <w:pStyle w:val="Tabletext"/>
            </w:pPr>
            <w:r>
              <w:rPr/>
              <w:t>keep cut flowers and stored vegetables fresh (26.1.14)</w:t>
            </w:r>
          </w:p>
        </w:tc>
      </w:tr>
      <w:tr>
        <w:trPr>
          <w:cantSplit/>
        </w:trPr>
        <w:tc>
          <w:tcPr>
            <w:tcW w:type="dxa" w:w="1660"/>
          </w:tcPr>
          <w:p>
            <w:pPr>
              <w:pStyle w:val="Tabletext"/>
            </w:pPr>
            <w:r>
              <w:rPr/>
              <w:t>ABA</w:t>
            </w:r>
          </w:p>
        </w:tc>
        <w:tc>
          <w:tcPr>
            <w:tcW w:type="dxa" w:w="3740"/>
          </w:tcPr>
          <w:p>
            <w:pPr>
              <w:pStyle w:val="Tabletext"/>
            </w:pPr>
            <w:r>
              <w:rPr/>
              <w:t>thinning fruit so the rest grows larger (26.1.7)</w:t>
            </w:r>
          </w:p>
        </w:tc>
      </w:tr>
      <w:tr>
        <w:trPr>
          <w:cantSplit/>
        </w:trPr>
        <w:tc>
          <w:tcPr>
            <w:tcW w:type="dxa" w:w="1660"/>
          </w:tcPr>
          <w:p>
            <w:pPr>
              <w:pStyle w:val="Tabletext"/>
            </w:pPr>
            <w:r>
              <w:rPr/>
              <w:t>Ethylene</w:t>
            </w:r>
          </w:p>
        </w:tc>
        <w:tc>
          <w:tcPr>
            <w:tcW w:type="dxa" w:w="3740"/>
          </w:tcPr>
          <w:p>
            <w:pPr>
              <w:pStyle w:val="Tabletext"/>
            </w:pPr>
            <w:r>
              <w:rPr/>
              <w:t>ripening fruit for market; tomatoes engineered without it ship green (26.1.7, 26.1.22)</w:t>
            </w:r>
          </w:p>
        </w:tc>
      </w:tr>
      <w:tr>
        <w:trPr>
          <w:cantSplit/>
        </w:trPr>
        <w:tc>
          <w:tcPr>
            <w:tcW w:type="dxa" w:w="1660"/>
          </w:tcPr>
          <w:p>
            <w:pPr>
              <w:pStyle w:val="Tabletext"/>
            </w:pPr>
            <w:r>
              <w:rPr/>
              <w:t>Arabidopsis</w:t>
            </w:r>
          </w:p>
        </w:tc>
        <w:tc>
          <w:tcPr>
            <w:tcW w:type="dxa" w:w="3740"/>
          </w:tcPr>
          <w:p>
            <w:pPr>
              <w:pStyle w:val="Tabletext"/>
            </w:pPr>
            <w:r>
              <w:rPr/>
              <w:t>model organism for plant molecular genetics (26.2.31)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26: Flowering Plants: Control of Growth Responses</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