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bookmarkStart w:id="1" w:name="t26"/>
      <w:r>
        <w:rPr/>
        <w:t>Ch. 26: Flowering Plants: Control of Growth Responses</w:t>
      </w:r>
      <w:bookmarkEnd w:id="1"/>
    </w:p>
    <w:p>
      <w:pPr>
        <w:sectPr>
          <w:headerReference w:type="default" r:id="rId9"/>
          <w:headerReference w:type="first" r:id="rId10"/>
          <w:footerReference w:type="default" r:id="rId11"/>
          <w:footerReference w:type="first" r:id="rId12"/>
          <w:type w:val="oddPage"/>
          <w:pgSz w:w="12240" w:h="15840"/>
          <w:pgMar w:top="792" w:right="576" w:bottom="720" w:left="576" w:header="432" w:footer="360" w:gutter="0"/>
          <w:pgNumType w:start="27"/>
          <w:cols w:space="720"/>
          <w:titlePg/>
          <w:docGrid w:linePitch="360"/>
        </w:sectPr>
      </w:pPr>
    </w:p>
    <w:p>
      <w:pPr>
        <w:pStyle w:val="Sectionheading"/>
      </w:pPr>
      <w:r>
        <w:rPr/>
        <w:t>26.1 Plant Hormones</w:t>
      </w:r>
    </w:p>
    <w:p>
      <w:pPr>
        <w:pStyle w:val="Slideheading"/>
      </w:pPr>
      <w:bookmarkStart w:id="2" w:name="s261003"/>
      <w:r>
        <w:rPr>
          <w:rStyle w:val="Slidecode"/>
          <w:b/>
        </w:rPr>
        <w:t>26.1.3</w:t>
      </w:r>
      <w:bookmarkEnd w:id="2"/>
    </w:p>
    <w:p>
      <w:pPr>
        <w:pStyle w:val="Bullet"/>
        <w:numPr>
          <w:ilvl w:val="0"/>
          <w:numId w:val="90"/>
        </w:numPr>
      </w:pPr>
      <w:r>
        <w:rPr/>
        <w:t>Flowering plants perceive and react to a variety of environmental stimuli.</w:t>
      </w:r>
    </w:p>
    <w:p>
      <w:pPr>
        <w:pStyle w:val="Bullet"/>
        <w:numPr>
          <w:ilvl w:val="2"/>
          <w:numId w:val="90"/>
        </w:numPr>
      </w:pPr>
      <w:r>
        <w:rPr/>
        <w:t>Stimuli include light, gravity, carbon dioxide levels, pathogen infection, drought, and touch.</w:t>
      </w:r>
    </w:p>
    <w:p>
      <w:pPr>
        <w:pStyle w:val="Bullet"/>
        <w:numPr>
          <w:ilvl w:val="2"/>
          <w:numId w:val="90"/>
        </w:numPr>
      </w:pPr>
      <w:r>
        <w:rPr/>
        <w:t>Response to stimuli leads to the survival of the species.</w:t>
      </w:r>
    </w:p>
    <w:p>
      <w:pPr>
        <w:pStyle w:val="Bullet"/>
        <w:numPr>
          <w:ilvl w:val="0"/>
          <w:numId w:val="90"/>
        </w:numPr>
      </w:pPr>
      <w:r>
        <w:rPr/>
        <w:t>The responses can be:</w:t>
      </w:r>
    </w:p>
    <w:p>
      <w:pPr>
        <w:pStyle w:val="Bullet"/>
        <w:numPr>
          <w:ilvl w:val="1"/>
          <w:numId w:val="90"/>
        </w:numPr>
      </w:pPr>
      <w:r>
        <w:rPr/>
        <w:t>Short-term</w:t>
      </w:r>
    </w:p>
    <w:p>
      <w:pPr>
        <w:pStyle w:val="Bullet"/>
        <w:numPr>
          <w:ilvl w:val="2"/>
          <w:numId w:val="90"/>
        </w:numPr>
      </w:pPr>
      <w:r>
        <w:rPr/>
        <w:t>Stomata open and close in response to light levels.</w:t>
      </w:r>
    </w:p>
    <w:p>
      <w:pPr>
        <w:pStyle w:val="Bullet"/>
        <w:numPr>
          <w:ilvl w:val="1"/>
          <w:numId w:val="90"/>
        </w:numPr>
      </w:pPr>
      <w:r>
        <w:rPr/>
        <w:t>Long-term</w:t>
      </w:r>
    </w:p>
    <w:p>
      <w:pPr>
        <w:pStyle w:val="Bullet"/>
        <w:numPr>
          <w:ilvl w:val="2"/>
          <w:numId w:val="90"/>
        </w:numPr>
      </w:pPr>
      <w:r>
        <w:rPr/>
        <w:t>The response to gravity causes downward growth of the root and the upward growth of the stem.</w:t>
      </w:r>
    </w:p>
    <w:p>
      <w:pPr>
        <w:pStyle w:val="Slideheading"/>
      </w:pPr>
      <w:bookmarkStart w:id="3" w:name="s261004"/>
      <w:r>
        <w:rPr>
          <w:rStyle w:val="Slidecode"/>
          <w:b/>
        </w:rPr>
        <w:t>26.1.4</w:t>
      </w:r>
      <w:r>
        <w:rPr>
          <w:b/>
        </w:rPr>
        <w:t xml:space="preserve"> Signal Transduction</w:t>
      </w:r>
      <w:bookmarkEnd w:id="3"/>
    </w:p>
    <w:p>
      <w:pPr>
        <w:pStyle w:val="Bullet"/>
        <w:numPr>
          <w:ilvl w:val="0"/>
          <w:numId w:val="90"/>
        </w:numPr>
      </w:pPr>
      <w:r>
        <w:rPr/>
        <w:t>Response of plants to environmental stimuli involves signal transduction.</w:t>
      </w:r>
    </w:p>
    <w:p>
      <w:pPr>
        <w:pStyle w:val="Bullet"/>
        <w:numPr>
          <w:ilvl w:val="1"/>
          <w:numId w:val="90"/>
        </w:numPr>
      </w:pPr>
      <w:r>
        <w:rPr/>
        <w:t>The binding of a molecular “signal” that initiates and amplifies a response.</w:t>
      </w:r>
    </w:p>
    <w:p>
      <w:pPr>
        <w:pStyle w:val="Bullet"/>
        <w:numPr>
          <w:ilvl w:val="1"/>
          <w:numId w:val="90"/>
        </w:numPr>
      </w:pPr>
      <w:r>
        <w:rPr/>
        <w:t>Signal transduction involves the following:</w:t>
      </w:r>
    </w:p>
    <w:p>
      <w:pPr>
        <w:pStyle w:val="Bullet"/>
        <w:numPr>
          <w:ilvl w:val="2"/>
          <w:numId w:val="90"/>
        </w:numPr>
      </w:pPr>
      <w:r>
        <w:rPr/>
        <w:t>Receptors – Proteins activated by a specific signal</w:t>
      </w:r>
    </w:p>
    <w:p>
      <w:pPr>
        <w:pStyle w:val="Bullet"/>
        <w:numPr>
          <w:ilvl w:val="2"/>
          <w:numId w:val="90"/>
        </w:numPr>
      </w:pPr>
      <w:r>
        <w:rPr/>
        <w:t>Transduction pathway – A series of relay proteins or enzymes that amplify and transform the signal to one understood by the machinery of the cell</w:t>
      </w:r>
    </w:p>
    <w:p>
      <w:pPr>
        <w:pStyle w:val="Bullet"/>
        <w:numPr>
          <w:ilvl w:val="2"/>
          <w:numId w:val="90"/>
        </w:numPr>
      </w:pPr>
      <w:r>
        <w:rPr/>
        <w:t>Cellular response – The result of the transduction pathway</w:t>
      </w:r>
    </w:p>
    <w:p>
      <w:pPr>
        <w:pStyle w:val="Slideheading"/>
      </w:pPr>
      <w:bookmarkStart w:id="4" w:name="s261005"/>
      <w:r>
        <w:rPr>
          <w:rStyle w:val="Slidecode"/>
          <w:b/>
        </w:rPr>
        <w:t>26.1.5</w:t>
      </w:r>
      <w:r>
        <w:rPr>
          <w:b/>
        </w:rPr>
        <w:t xml:space="preserve"> Signal Transduction in Plants</w:t>
      </w:r>
      <w:bookmarkEnd w:id="4"/>
    </w:p>
    <w:p>
      <w:pPr>
        <w:pStyle w:val="Figure"/>
      </w:pPr>
      <w:r>
        <w:rPr>
          <w:i/>
        </w:rPr>
        <w:t xml:space="preserve">Fig: </w:t>
      </w:r>
      <w:r>
        <w:rPr/>
        <w:t>The steps are given as follows: 1. Receptor: Molecules in the plasma membrane, cytoplasm, or nucleus that receives signal and becomes activated. 2. Blue light signals relay proteins. 3. Transduction pathway: A series of relay proteins that amplify and convert the original signal into one that affects cellular machinery. 4. Above steps leads to gene expression changes. 5. Results in defense responses, responses include bending of stem, and growth of roots. Most often a change in gene expression affects plant growth and development.</w:t>
      </w:r>
    </w:p>
    <w:p>
      <w:pPr>
        <w:pStyle w:val="Slideheading"/>
      </w:pPr>
      <w:bookmarkStart w:id="5" w:name="s261006"/>
      <w:r>
        <w:rPr>
          <w:rStyle w:val="Slidecode"/>
          <w:b/>
        </w:rPr>
        <w:t>26.1.6</w:t>
      </w:r>
      <w:r>
        <w:rPr>
          <w:b/>
        </w:rPr>
        <w:t xml:space="preserve"> Hormones</w:t>
      </w:r>
      <w:bookmarkEnd w:id="5"/>
    </w:p>
    <w:p>
      <w:pPr>
        <w:pStyle w:val="Bullet"/>
        <w:numPr>
          <w:ilvl w:val="0"/>
          <w:numId w:val="90"/>
        </w:numPr>
      </w:pPr>
      <w:r>
        <w:rPr/>
        <w:t>Chemical signals that coordinate cell responses</w:t>
      </w:r>
    </w:p>
    <w:p>
      <w:pPr>
        <w:pStyle w:val="Bullet"/>
        <w:numPr>
          <w:ilvl w:val="0"/>
          <w:numId w:val="90"/>
        </w:numPr>
      </w:pPr>
      <w:r>
        <w:rPr/>
        <w:t>Enable plant cells to communicate</w:t>
      </w:r>
    </w:p>
    <w:p>
      <w:pPr>
        <w:pStyle w:val="Bullet"/>
        <w:numPr>
          <w:ilvl w:val="0"/>
          <w:numId w:val="90"/>
        </w:numPr>
      </w:pPr>
      <w:r>
        <w:rPr/>
        <w:t>Are synthesized in one part of the plant</w:t>
      </w:r>
    </w:p>
    <w:p>
      <w:pPr>
        <w:pStyle w:val="Bullet"/>
        <w:numPr>
          <w:ilvl w:val="0"/>
          <w:numId w:val="90"/>
        </w:numPr>
      </w:pPr>
      <w:r>
        <w:rPr/>
        <w:t>Travel within phloem or from cell to cell in response to the appropriate stimulus</w:t>
      </w:r>
    </w:p>
    <w:p>
      <w:pPr>
        <w:pStyle w:val="Slideheading"/>
      </w:pPr>
      <w:bookmarkStart w:id="6" w:name="s261007"/>
      <w:r>
        <w:rPr>
          <w:rStyle w:val="Slidecode"/>
          <w:b/>
        </w:rPr>
        <w:t>26.1.7</w:t>
      </w:r>
      <w:bookmarkEnd w:id="6"/>
    </w:p>
    <w:p>
      <w:pPr>
        <w:pStyle w:val="Figure"/>
      </w:pPr>
      <w:r>
        <w:rPr>
          <w:i/>
        </w:rPr>
        <w:t xml:space="preserve">Fig: </w:t>
      </w:r>
      <w:r>
        <w:rPr/>
        <w:t>The data for hormone with structures, plant use and commercial use is as follows: Auxin (indoleacetic acid; IAA): Growth of roots and fruits, prevents the loss of leaves; and induces fruit production without pollination, used in commercial herbicides (2,4-D). Gibberellins (gibberellic acid; GA3): Stem elongation and increase growth and size of the plants, breaks the dormancy cycle. Cytokinins (zeatin): Cell division, prevents senescence; and prolong the shelf life of flowers and vegetables. Abscisic acid (abscisic acid; ABA): Initiates and maintains seed and bud dormancy; and commercial thinning of fruits to promote growth in the remaining fruit. Ethylene: Abscission and ripening of fruit; and ripening of fruits and vegetables for market.</w:t>
      </w:r>
    </w:p>
    <w:p>
      <w:pPr>
        <w:pStyle w:val="Slideheading"/>
      </w:pPr>
      <w:bookmarkStart w:id="7" w:name="s261008"/>
      <w:r>
        <w:rPr>
          <w:rStyle w:val="Slidecode"/>
          <w:b/>
        </w:rPr>
        <w:t>26.1.8</w:t>
      </w:r>
      <w:r>
        <w:rPr>
          <w:b/>
        </w:rPr>
        <w:t xml:space="preserve"> Auxins Affect Growth and Development</w:t>
      </w:r>
      <w:bookmarkEnd w:id="7"/>
    </w:p>
    <w:p>
      <w:pPr>
        <w:pStyle w:val="Bullet"/>
        <w:numPr>
          <w:ilvl w:val="1"/>
          <w:numId w:val="90"/>
        </w:numPr>
      </w:pPr>
      <w:r>
        <w:rPr/>
        <w:t>Produced in shoot apical meristem</w:t>
      </w:r>
    </w:p>
    <w:p>
      <w:pPr>
        <w:pStyle w:val="Bullet"/>
        <w:numPr>
          <w:ilvl w:val="1"/>
          <w:numId w:val="90"/>
        </w:numPr>
      </w:pPr>
      <w:r>
        <w:rPr/>
        <w:t>Found in young leaves, flowers, and fruits</w:t>
      </w:r>
    </w:p>
    <w:p>
      <w:pPr>
        <w:pStyle w:val="Bullet"/>
        <w:numPr>
          <w:ilvl w:val="0"/>
          <w:numId w:val="90"/>
        </w:numPr>
      </w:pPr>
      <w:r>
        <w:rPr/>
        <w:t>Effects of auxin on growth and development:</w:t>
      </w:r>
    </w:p>
    <w:p>
      <w:pPr>
        <w:pStyle w:val="Bullet"/>
        <w:numPr>
          <w:ilvl w:val="1"/>
          <w:numId w:val="90"/>
        </w:numPr>
      </w:pPr>
      <w:r>
        <w:rPr/>
        <w:t>Apically produced auxin prevents the growth of axillary buds.</w:t>
      </w:r>
    </w:p>
    <w:p>
      <w:pPr>
        <w:pStyle w:val="Bullet"/>
        <w:numPr>
          <w:ilvl w:val="2"/>
          <w:numId w:val="90"/>
        </w:numPr>
      </w:pPr>
      <w:r>
        <w:rPr/>
        <w:t>Apical dominance</w:t>
      </w:r>
    </w:p>
    <w:p>
      <w:pPr>
        <w:pStyle w:val="Bullet"/>
        <w:numPr>
          <w:ilvl w:val="1"/>
          <w:numId w:val="90"/>
        </w:numPr>
      </w:pPr>
      <w:r>
        <w:rPr/>
        <w:t>Promotes growth of roots and fruit</w:t>
      </w:r>
    </w:p>
    <w:p>
      <w:pPr>
        <w:pStyle w:val="Bullet"/>
        <w:numPr>
          <w:ilvl w:val="1"/>
          <w:numId w:val="90"/>
        </w:numPr>
      </w:pPr>
      <w:r>
        <w:rPr/>
        <w:t>Prevents loss of leaves and fruit</w:t>
      </w:r>
    </w:p>
    <w:p>
      <w:pPr>
        <w:pStyle w:val="Bullet"/>
        <w:numPr>
          <w:ilvl w:val="1"/>
          <w:numId w:val="90"/>
        </w:numPr>
      </w:pPr>
      <w:r>
        <w:rPr/>
        <w:t>Promotes positive phototropism of stems</w:t>
      </w:r>
    </w:p>
    <w:p>
      <w:pPr>
        <w:pStyle w:val="Slideheading"/>
      </w:pPr>
      <w:bookmarkStart w:id="8" w:name="s261009"/>
      <w:r>
        <w:rPr>
          <w:rStyle w:val="Slidecode"/>
          <w:b/>
        </w:rPr>
        <w:t>26.1.9</w:t>
      </w:r>
      <w:r>
        <w:rPr>
          <w:b/>
        </w:rPr>
        <w:t xml:space="preserve"> Auxin and Phototropism</w:t>
      </w:r>
      <w:bookmarkEnd w:id="8"/>
    </w:p>
    <w:p>
      <w:pPr>
        <w:pStyle w:val="Figure"/>
      </w:pPr>
      <w:r>
        <w:rPr>
          <w:i/>
        </w:rPr>
        <w:t xml:space="preserve">Fig: </w:t>
      </w:r>
      <w:r>
        <w:rPr/>
        <w:t>An intact coleoptile tip contains auxin and is removed and placed on agar so that the auxin diffuses from the tip into the agar. The agar is then placed back on the seedling to one side of the coleoptile and curvature of the seedling is observed beneath the agar in response to the auxin in the agar</w:t>
      </w:r>
    </w:p>
    <w:p>
      <w:pPr>
        <w:pStyle w:val="Slideheading"/>
      </w:pPr>
      <w:bookmarkStart w:id="9" w:name="s261010"/>
      <w:r>
        <w:rPr>
          <w:rStyle w:val="Slidecode"/>
          <w:b/>
        </w:rPr>
        <w:t>26.1.10</w:t>
      </w:r>
      <w:r>
        <w:rPr>
          <w:b/>
        </w:rPr>
        <w:t xml:space="preserve"> How Auxins Cause Stems to Bend</w:t>
      </w:r>
      <w:bookmarkEnd w:id="9"/>
    </w:p>
    <w:p>
      <w:pPr>
        <w:pStyle w:val="Bullet"/>
        <w:numPr>
          <w:ilvl w:val="1"/>
          <w:numId w:val="90"/>
        </w:numPr>
      </w:pPr>
      <w:r>
        <w:rPr/>
        <w:t>When a stem is exposed to unidirectional light, auxin moves to the shady sides.</w:t>
      </w:r>
    </w:p>
    <w:p>
      <w:pPr>
        <w:pStyle w:val="Bullet"/>
        <w:numPr>
          <w:ilvl w:val="1"/>
          <w:numId w:val="90"/>
        </w:numPr>
      </w:pPr>
      <w:r>
        <w:rPr/>
        <w:t>Auxin binds to plasma membrane receptors; the complex leads to the activation of a proton pump.</w:t>
      </w:r>
    </w:p>
    <w:p>
      <w:pPr>
        <w:pStyle w:val="Bullet"/>
        <w:numPr>
          <w:ilvl w:val="1"/>
          <w:numId w:val="90"/>
        </w:numPr>
      </w:pPr>
      <w:r>
        <w:rPr/>
        <w:t>Activated proton pumps H+ out of cell.</w:t>
      </w:r>
    </w:p>
    <w:p>
      <w:pPr>
        <w:pStyle w:val="Bullet"/>
        <w:numPr>
          <w:ilvl w:val="2"/>
          <w:numId w:val="90"/>
        </w:numPr>
      </w:pPr>
      <w:r>
        <w:rPr/>
        <w:t>The cell wall loosens.</w:t>
      </w:r>
    </w:p>
    <w:p>
      <w:pPr>
        <w:pStyle w:val="Bullet"/>
        <w:numPr>
          <w:ilvl w:val="2"/>
          <w:numId w:val="90"/>
        </w:numPr>
      </w:pPr>
      <w:r>
        <w:rPr/>
        <w:t>Turgor pressure increases due to the entry of water.</w:t>
      </w:r>
    </w:p>
    <w:p>
      <w:pPr>
        <w:pStyle w:val="Bullet"/>
        <w:numPr>
          <w:ilvl w:val="2"/>
          <w:numId w:val="90"/>
        </w:numPr>
      </w:pPr>
      <w:r>
        <w:rPr/>
        <w:t>The cell enlarges.</w:t>
      </w:r>
    </w:p>
    <w:p>
      <w:pPr>
        <w:pStyle w:val="Bullet"/>
        <w:numPr>
          <w:ilvl w:val="0"/>
          <w:numId w:val="90"/>
        </w:numPr>
      </w:pPr>
      <w:r>
        <w:rPr/>
        <w:t>Synthetic auxins have been used as herbicides to control weeds.</w:t>
      </w:r>
    </w:p>
    <w:p>
      <w:pPr>
        <w:pStyle w:val="Bullet"/>
        <w:numPr>
          <w:ilvl w:val="0"/>
          <w:numId w:val="90"/>
        </w:numPr>
      </w:pPr>
      <w:r>
        <w:rPr/>
        <w:t>Agent Orange is a synthetic auxin used to defoliate forests in Vietnam during the war.</w:t>
      </w:r>
    </w:p>
    <w:p>
      <w:pPr>
        <w:pStyle w:val="Correction"/>
      </w:pPr>
      <w:r>
        <w:rPr>
          <w:b/>
          <w:i/>
        </w:rPr>
        <w:t xml:space="preserve">Textbook: </w:t>
      </w:r>
      <w:r>
        <w:rPr/>
        <w:t>Auxin enters the nuclei of the shady-side cells and attaches to a receptor there, not on the plasma membrane (textbook p. 472 and Fig. 26.1); H+ is then pumped into the cell wall.</w:t>
      </w:r>
    </w:p>
    <w:p>
      <w:pPr>
        <w:pStyle w:val="Slideheading"/>
      </w:pPr>
      <w:bookmarkStart w:id="10" w:name="s261011"/>
      <w:r>
        <w:rPr>
          <w:rStyle w:val="Slidecode"/>
          <w:b/>
        </w:rPr>
        <w:t>26.1.11</w:t>
      </w:r>
      <w:r>
        <w:rPr>
          <w:b/>
        </w:rPr>
        <w:t xml:space="preserve"> Expansion of the Cell Wall on the Shady Side of a Plant</w:t>
      </w:r>
      <w:bookmarkEnd w:id="10"/>
    </w:p>
    <w:p>
      <w:pPr>
        <w:pStyle w:val="Figure"/>
      </w:pPr>
      <w:r>
        <w:rPr>
          <w:i/>
        </w:rPr>
        <w:t xml:space="preserve">Fig: </w:t>
      </w:r>
      <w:r>
        <w:rPr/>
        <w:t>In a, the four phases are as follows: 1. Auxin binds to receptors. 2. Hydrogen ions are actively pumped into the cell wall area. As the pH decreases, enzymes that can break down cellulose fibers are activated in the cell wall. 3. Cellulose fibers break, loosening the wall and decreasing turgor pressure in the cell. 4. The cell expands as turgor pressure inside the cell increases, and a new, longer wall is rebuilt. In b, the diagram of stem of a plant shows left side as lit and right as shady.</w:t>
      </w:r>
    </w:p>
    <w:p>
      <w:pPr>
        <w:pStyle w:val="Slideheading"/>
      </w:pPr>
      <w:bookmarkStart w:id="11" w:name="s261012"/>
      <w:r>
        <w:rPr>
          <w:rStyle w:val="Slidecode"/>
          <w:b/>
        </w:rPr>
        <w:t>26.1.12</w:t>
      </w:r>
      <w:r>
        <w:rPr>
          <w:b/>
        </w:rPr>
        <w:t xml:space="preserve"> Gibberellins</w:t>
      </w:r>
      <w:bookmarkEnd w:id="11"/>
    </w:p>
    <w:p>
      <w:pPr>
        <w:pStyle w:val="Bullet"/>
        <w:numPr>
          <w:ilvl w:val="0"/>
          <w:numId w:val="90"/>
        </w:numPr>
      </w:pPr>
      <w:r>
        <w:rPr/>
        <w:t>Gibberellins are growth-promoting hormones.</w:t>
      </w:r>
    </w:p>
    <w:p>
      <w:pPr>
        <w:pStyle w:val="Bullet"/>
        <w:numPr>
          <w:ilvl w:val="1"/>
          <w:numId w:val="90"/>
        </w:numPr>
      </w:pPr>
      <w:r>
        <w:rPr/>
        <w:t>Gibberellins cause stem elongation.</w:t>
      </w:r>
    </w:p>
    <w:p>
      <w:pPr>
        <w:pStyle w:val="Bullet"/>
        <w:numPr>
          <w:ilvl w:val="1"/>
          <w:numId w:val="90"/>
        </w:numPr>
      </w:pPr>
      <w:r>
        <w:rPr/>
        <w:t>There are about 136 gibberellins.</w:t>
      </w:r>
    </w:p>
    <w:p>
      <w:pPr>
        <w:pStyle w:val="Bullet"/>
        <w:numPr>
          <w:ilvl w:val="2"/>
          <w:numId w:val="90"/>
        </w:numPr>
      </w:pPr>
      <w:r>
        <w:rPr/>
        <w:t>Each differ slightly chemically.</w:t>
      </w:r>
    </w:p>
    <w:p>
      <w:pPr>
        <w:pStyle w:val="Bullet"/>
        <w:numPr>
          <w:ilvl w:val="2"/>
          <w:numId w:val="90"/>
        </w:numPr>
      </w:pPr>
      <w:r>
        <w:rPr/>
        <w:t>The most common is gibberellic acid.</w:t>
      </w:r>
    </w:p>
    <w:p>
      <w:pPr>
        <w:pStyle w:val="Bullet"/>
        <w:numPr>
          <w:ilvl w:val="1"/>
          <w:numId w:val="90"/>
        </w:numPr>
      </w:pPr>
      <w:r>
        <w:rPr/>
        <w:t>Gibberellins are used commercially to induce growth in crops.</w:t>
      </w:r>
    </w:p>
    <w:p>
      <w:pPr>
        <w:pStyle w:val="Bullet"/>
        <w:numPr>
          <w:ilvl w:val="1"/>
          <w:numId w:val="90"/>
        </w:numPr>
      </w:pPr>
      <w:r>
        <w:rPr/>
        <w:t>Dormancy is a period of time when plant growth is suspended.</w:t>
      </w:r>
    </w:p>
    <w:p>
      <w:pPr>
        <w:pStyle w:val="Bullet"/>
        <w:numPr>
          <w:ilvl w:val="2"/>
          <w:numId w:val="90"/>
        </w:numPr>
      </w:pPr>
      <w:r>
        <w:rPr/>
        <w:t>Gibberellins can break the dormancy of buds and seeds.</w:t>
      </w:r>
    </w:p>
    <w:p>
      <w:pPr>
        <w:pStyle w:val="Slideheading"/>
      </w:pPr>
      <w:bookmarkStart w:id="12" w:name="s261013"/>
      <w:r>
        <w:rPr>
          <w:rStyle w:val="Slidecode"/>
          <w:b/>
        </w:rPr>
        <w:t>26.1.13</w:t>
      </w:r>
      <w:r>
        <w:rPr>
          <w:b/>
        </w:rPr>
        <w:t xml:space="preserve"> Gibberellins Cause Stem Elongation</w:t>
      </w:r>
      <w:bookmarkEnd w:id="12"/>
    </w:p>
    <w:p>
      <w:pPr>
        <w:pStyle w:val="Figure"/>
      </w:pPr>
      <w:r>
        <w:rPr>
          <w:i/>
        </w:rPr>
        <w:t xml:space="preserve">Fig: </w:t>
      </w:r>
      <w:r>
        <w:rPr/>
        <w:t>a) 2 set of plants with taller plant on right treated with gibberellins. B)2 bunches of grapes, with right one showing longer grapes due to gibberellins.</w:t>
      </w:r>
    </w:p>
    <w:p>
      <w:pPr>
        <w:pStyle w:val="Figure"/>
      </w:pPr>
      <w:r>
        <w:rPr>
          <w:i/>
        </w:rPr>
        <w:t xml:space="preserve">Textbook caption: </w:t>
      </w:r>
      <w:r>
        <w:rPr/>
        <w:t>a. The plant on the right was treated with gibberellins; the plant on the left was not. b. The grapes are larger on the right, because gibberellins increased the space between the grapes, allowing them to grow larger.</w:t>
      </w:r>
    </w:p>
    <w:p>
      <w:pPr>
        <w:pStyle w:val="Slideheading"/>
      </w:pPr>
      <w:bookmarkStart w:id="13" w:name="s261014"/>
      <w:r>
        <w:rPr>
          <w:rStyle w:val="Slidecode"/>
          <w:b/>
        </w:rPr>
        <w:t>26.1.14</w:t>
      </w:r>
      <w:r>
        <w:rPr>
          <w:b/>
        </w:rPr>
        <w:t xml:space="preserve"> Cytokinins</w:t>
      </w:r>
      <w:bookmarkEnd w:id="13"/>
    </w:p>
    <w:p>
      <w:pPr>
        <w:pStyle w:val="Bullet"/>
        <w:numPr>
          <w:ilvl w:val="0"/>
          <w:numId w:val="90"/>
        </w:numPr>
      </w:pPr>
      <w:r>
        <w:rPr/>
        <w:t>The cytokinins are a class of hormones that promote cell division and organ formation.</w:t>
      </w:r>
    </w:p>
    <w:p>
      <w:pPr>
        <w:pStyle w:val="Bullet"/>
        <w:numPr>
          <w:ilvl w:val="1"/>
          <w:numId w:val="90"/>
        </w:numPr>
      </w:pPr>
      <w:r>
        <w:rPr/>
        <w:t>Found in dividing tissues of roots, in seeds, and in fruits</w:t>
      </w:r>
    </w:p>
    <w:p>
      <w:pPr>
        <w:pStyle w:val="Bullet"/>
        <w:numPr>
          <w:ilvl w:val="1"/>
          <w:numId w:val="90"/>
        </w:numPr>
      </w:pPr>
      <w:r>
        <w:rPr/>
        <w:t>Responsible for root nodule formation (house nitrogen-fixing bacteria) and gall formation on wounded trees</w:t>
      </w:r>
    </w:p>
    <w:p>
      <w:pPr>
        <w:pStyle w:val="Bullet"/>
        <w:numPr>
          <w:ilvl w:val="1"/>
          <w:numId w:val="90"/>
        </w:numPr>
      </w:pPr>
      <w:r>
        <w:rPr/>
        <w:t>Have been used to prolong the life of flower cuttings as well as vegetables in storage</w:t>
      </w:r>
    </w:p>
    <w:p>
      <w:pPr>
        <w:pStyle w:val="Bullet"/>
        <w:numPr>
          <w:ilvl w:val="1"/>
          <w:numId w:val="90"/>
        </w:numPr>
      </w:pPr>
      <w:r>
        <w:rPr/>
        <w:t>Interaction between auxin and cytokinins prevent senescence (aging process).</w:t>
      </w:r>
    </w:p>
    <w:p>
      <w:pPr>
        <w:pStyle w:val="Bullet"/>
        <w:numPr>
          <w:ilvl w:val="1"/>
          <w:numId w:val="90"/>
        </w:numPr>
      </w:pPr>
      <w:r>
        <w:rPr/>
        <w:t>In autumn, low levels of cytokinins cause leaves to change color and die.</w:t>
      </w:r>
    </w:p>
    <w:p>
      <w:pPr>
        <w:pStyle w:val="Slideheading"/>
      </w:pPr>
      <w:bookmarkStart w:id="14" w:name="s261015"/>
      <w:r>
        <w:rPr>
          <w:rStyle w:val="Slidecode"/>
          <w:b/>
        </w:rPr>
        <w:t>26.1.15</w:t>
      </w:r>
      <w:r>
        <w:rPr>
          <w:b/>
        </w:rPr>
        <w:t xml:space="preserve"> Interaction of Cytokinins and Auxins in Organ Development</w:t>
      </w:r>
      <w:bookmarkEnd w:id="14"/>
    </w:p>
    <w:p>
      <w:pPr>
        <w:pStyle w:val="Figure"/>
      </w:pPr>
      <w:r>
        <w:rPr>
          <w:i/>
        </w:rPr>
        <w:t xml:space="preserve">Fig: </w:t>
      </w:r>
      <w:r>
        <w:rPr/>
        <w:t>Various concentrations of cytokinins and auxins during development can have dramatic effects, as shown in tissue culture experiments.</w:t>
      </w:r>
    </w:p>
    <w:p>
      <w:pPr>
        <w:pStyle w:val="Figure"/>
      </w:pPr>
      <w:r>
        <w:rPr>
          <w:i/>
        </w:rPr>
        <w:t xml:space="preserve">Textbook: </w:t>
      </w:r>
      <w:r>
        <w:rPr/>
        <w:t>Tissue culture experiments show that auxin and cytokinin interact: with the usual amounts of the two hormones, tobacco cells form a callus of undifferentiated tissue; one ratio of auxin to cytokinin makes the callus produce roots; another, vegetative shoots and leaves; yet another, floral shoots. It is the relative concentrations of both hormones that produce the effect.</w:t>
      </w:r>
    </w:p>
    <w:p>
      <w:pPr>
        <w:pStyle w:val="Slideheading"/>
      </w:pPr>
      <w:bookmarkStart w:id="15" w:name="s261016"/>
      <w:r>
        <w:rPr>
          <w:rStyle w:val="Slidecode"/>
          <w:b/>
        </w:rPr>
        <w:t>26.1.16</w:t>
      </w:r>
      <w:r>
        <w:rPr>
          <w:b/>
        </w:rPr>
        <w:t xml:space="preserve"> Leaves Change Color When Cytokinin Levels Are Low</w:t>
      </w:r>
      <w:bookmarkEnd w:id="15"/>
    </w:p>
    <w:p>
      <w:pPr>
        <w:pStyle w:val="Figure"/>
      </w:pPr>
      <w:r>
        <w:rPr>
          <w:i/>
        </w:rPr>
        <w:t xml:space="preserve">Fig: </w:t>
      </w:r>
      <w:r>
        <w:rPr/>
        <w:t>A green leaf is mottled by sections of red, showing that the leaf is beginning to change color due to a seasonal drop in cytokinin.</w:t>
      </w:r>
    </w:p>
    <w:p>
      <w:pPr>
        <w:pStyle w:val="Slideheading"/>
      </w:pPr>
      <w:bookmarkStart w:id="16" w:name="s261017"/>
      <w:r>
        <w:rPr>
          <w:rStyle w:val="Slidecode"/>
          <w:b/>
        </w:rPr>
        <w:t>26.1.17</w:t>
      </w:r>
      <w:r>
        <w:rPr>
          <w:b/>
        </w:rPr>
        <w:t xml:space="preserve"> Abscisic Acid</w:t>
      </w:r>
      <w:bookmarkEnd w:id="16"/>
    </w:p>
    <w:p>
      <w:pPr>
        <w:pStyle w:val="Bullet"/>
        <w:numPr>
          <w:ilvl w:val="0"/>
          <w:numId w:val="90"/>
        </w:numPr>
      </w:pPr>
      <w:r>
        <w:rPr/>
        <w:t>Abscisic acid (ABA) is produced by any “green tissue” (that is tissue containing chloroplasts).</w:t>
      </w:r>
    </w:p>
    <w:p>
      <w:pPr>
        <w:pStyle w:val="Bullet"/>
        <w:numPr>
          <w:ilvl w:val="1"/>
          <w:numId w:val="90"/>
        </w:numPr>
      </w:pPr>
      <w:r>
        <w:rPr/>
        <w:t>Sometimes called the stress hormone</w:t>
      </w:r>
    </w:p>
    <w:p>
      <w:pPr>
        <w:pStyle w:val="Bullet"/>
        <w:numPr>
          <w:ilvl w:val="2"/>
          <w:numId w:val="90"/>
        </w:numPr>
      </w:pPr>
      <w:r>
        <w:rPr/>
        <w:t>It initiates and maintains seed and bud dormancy.</w:t>
      </w:r>
    </w:p>
    <w:p>
      <w:pPr>
        <w:pStyle w:val="Bullet"/>
        <w:numPr>
          <w:ilvl w:val="2"/>
          <w:numId w:val="90"/>
        </w:numPr>
      </w:pPr>
      <w:r>
        <w:rPr/>
        <w:t>It brings about the closure of stomata.</w:t>
      </w:r>
    </w:p>
    <w:p>
      <w:pPr>
        <w:pStyle w:val="Bullet"/>
        <w:numPr>
          <w:ilvl w:val="2"/>
          <w:numId w:val="90"/>
        </w:numPr>
      </w:pPr>
      <w:r>
        <w:rPr/>
        <w:t>Abscission is the dropping of leaves, fruits, and flowers from a plant.</w:t>
      </w:r>
    </w:p>
    <w:p>
      <w:pPr>
        <w:pStyle w:val="Bullet"/>
        <w:numPr>
          <w:ilvl w:val="2"/>
          <w:numId w:val="90"/>
        </w:numPr>
      </w:pPr>
      <w:r>
        <w:rPr/>
        <w:t>ABA-insensitive mutant corn show vivipary, an early break in dormancy and germination while on the cob.</w:t>
      </w:r>
    </w:p>
    <w:p>
      <w:pPr>
        <w:pStyle w:val="Correction"/>
      </w:pPr>
      <w:r>
        <w:rPr>
          <w:b/>
          <w:i/>
        </w:rPr>
        <w:t xml:space="preserve">Textbook: </w:t>
      </w:r>
      <w:r>
        <w:rPr/>
        <w:t>Abscission isn't ABA's job: applying ABA promotes it, but ABA is no longer believed to cause it naturally; ethylene brings it about (26.1.20).</w:t>
      </w:r>
    </w:p>
    <w:p>
      <w:pPr>
        <w:pStyle w:val="Slideheading"/>
      </w:pPr>
      <w:bookmarkStart w:id="17" w:name="s261018"/>
      <w:r>
        <w:rPr>
          <w:rStyle w:val="Slidecode"/>
          <w:b/>
        </w:rPr>
        <w:t>26.1.18</w:t>
      </w:r>
      <w:r>
        <w:rPr>
          <w:b/>
        </w:rPr>
        <w:t xml:space="preserve"> Dormancy and Germination</w:t>
      </w:r>
      <w:bookmarkEnd w:id="17"/>
    </w:p>
    <w:p>
      <w:pPr>
        <w:pStyle w:val="Figure"/>
      </w:pPr>
      <w:r>
        <w:rPr>
          <w:i/>
        </w:rPr>
        <w:t xml:space="preserve">Fig: </w:t>
      </w:r>
      <w:r>
        <w:rPr/>
        <w:t>An ear of corn, some yellow kernels present between dark colored kernels are marked with arrows to show germination while still on the cob.</w:t>
      </w:r>
    </w:p>
    <w:p>
      <w:pPr>
        <w:pStyle w:val="Slideheading"/>
      </w:pPr>
      <w:bookmarkStart w:id="18" w:name="s261019"/>
      <w:r>
        <w:rPr>
          <w:rStyle w:val="Slidecode"/>
          <w:b/>
        </w:rPr>
        <w:t>26.1.19</w:t>
      </w:r>
      <w:r>
        <w:rPr>
          <w:b/>
        </w:rPr>
        <w:t xml:space="preserve"> Abscisic Acid Promotes Closure of Stomata</w:t>
      </w:r>
      <w:bookmarkEnd w:id="18"/>
    </w:p>
    <w:p>
      <w:pPr>
        <w:pStyle w:val="Figure"/>
      </w:pPr>
      <w:r>
        <w:rPr>
          <w:i/>
        </w:rPr>
        <w:t xml:space="preserve">Fig: </w:t>
      </w:r>
      <w:r>
        <w:rPr/>
        <w:t>Abscisic acid promotes closure of stomata by initiating process involving a potassium channel.</w:t>
      </w:r>
    </w:p>
    <w:p>
      <w:pPr>
        <w:pStyle w:val="Figure"/>
      </w:pPr>
      <w:r>
        <w:rPr>
          <w:i/>
        </w:rPr>
        <w:t xml:space="preserve">Textbook: </w:t>
      </w:r>
      <w:r>
        <w:rPr/>
        <w:t>When ABA (the first messenger) binds to its receptor in the guard cell plasma membrane, the second messenger, calcium ions (Ca2+), enters. Then K+ channels open and K+ leaves the guard cells; water follows, and the stoma closes.</w:t>
      </w:r>
    </w:p>
    <w:p>
      <w:pPr>
        <w:pStyle w:val="Slideheading"/>
      </w:pPr>
      <w:bookmarkStart w:id="19" w:name="s261020"/>
      <w:r>
        <w:rPr>
          <w:rStyle w:val="Slidecode"/>
          <w:b/>
        </w:rPr>
        <w:t>26.1.20</w:t>
      </w:r>
      <w:r>
        <w:rPr>
          <w:b/>
        </w:rPr>
        <w:t xml:space="preserve"> Ethylene</w:t>
      </w:r>
      <w:bookmarkEnd w:id="19"/>
    </w:p>
    <w:p>
      <w:pPr>
        <w:pStyle w:val="Bullet"/>
        <w:numPr>
          <w:ilvl w:val="0"/>
          <w:numId w:val="90"/>
        </w:numPr>
      </w:pPr>
      <w:r>
        <w:rPr/>
        <w:t>Ethylene (H2C=CH2) is a gas formed from the amino acid methionine.</w:t>
      </w:r>
    </w:p>
    <w:p>
      <w:pPr>
        <w:pStyle w:val="Bullet"/>
        <w:numPr>
          <w:ilvl w:val="0"/>
          <w:numId w:val="90"/>
        </w:numPr>
      </w:pPr>
      <w:r>
        <w:rPr/>
        <w:t>Effects of ethylene:</w:t>
      </w:r>
    </w:p>
    <w:p>
      <w:pPr>
        <w:pStyle w:val="Bullet"/>
        <w:numPr>
          <w:ilvl w:val="1"/>
          <w:numId w:val="90"/>
        </w:numPr>
      </w:pPr>
      <w:r>
        <w:rPr/>
        <w:t>Abscission</w:t>
      </w:r>
    </w:p>
    <w:p>
      <w:pPr>
        <w:pStyle w:val="Bullet"/>
        <w:numPr>
          <w:ilvl w:val="2"/>
          <w:numId w:val="90"/>
        </w:numPr>
      </w:pPr>
      <w:r>
        <w:rPr/>
        <w:t>Ethylene stimulates certain enzymes, such as cellulase, which helps cause leaf, fruit, or flower drop.</w:t>
      </w:r>
    </w:p>
    <w:p>
      <w:pPr>
        <w:pStyle w:val="Bullet"/>
        <w:numPr>
          <w:ilvl w:val="1"/>
          <w:numId w:val="90"/>
        </w:numPr>
      </w:pPr>
      <w:r>
        <w:rPr/>
        <w:t>Ripening of fruits</w:t>
      </w:r>
    </w:p>
    <w:p>
      <w:pPr>
        <w:pStyle w:val="Bullet"/>
        <w:numPr>
          <w:ilvl w:val="2"/>
          <w:numId w:val="90"/>
        </w:numPr>
      </w:pPr>
      <w:r>
        <w:rPr/>
        <w:t>It increases the activity of enzymes, such as cellulase, that soften fruits.</w:t>
      </w:r>
    </w:p>
    <w:p>
      <w:pPr>
        <w:pStyle w:val="Bullet"/>
        <w:numPr>
          <w:ilvl w:val="2"/>
          <w:numId w:val="90"/>
        </w:numPr>
      </w:pPr>
      <w:r>
        <w:rPr/>
        <w:t>It also promotes the activity of enzymes that produce the flavor and smell of ripened fruits.</w:t>
      </w:r>
    </w:p>
    <w:p>
      <w:pPr>
        <w:pStyle w:val="Bullet"/>
        <w:numPr>
          <w:ilvl w:val="1"/>
          <w:numId w:val="90"/>
        </w:numPr>
      </w:pPr>
      <w:r>
        <w:rPr/>
        <w:t>Axillary bud inhibition</w:t>
      </w:r>
    </w:p>
    <w:p>
      <w:pPr>
        <w:pStyle w:val="Bullet"/>
        <w:numPr>
          <w:ilvl w:val="1"/>
          <w:numId w:val="90"/>
        </w:numPr>
      </w:pPr>
      <w:r>
        <w:rPr/>
        <w:t>Suppression of stem and root elongation</w:t>
      </w:r>
    </w:p>
    <w:p>
      <w:pPr>
        <w:pStyle w:val="Slideheading"/>
      </w:pPr>
      <w:bookmarkStart w:id="20" w:name="s261021"/>
      <w:r>
        <w:rPr>
          <w:rStyle w:val="Slidecode"/>
          <w:b/>
        </w:rPr>
        <w:t>26.1.21</w:t>
      </w:r>
      <w:r>
        <w:rPr>
          <w:b/>
        </w:rPr>
        <w:t xml:space="preserve"> Ethylene and Abscission</w:t>
      </w:r>
      <w:bookmarkEnd w:id="20"/>
    </w:p>
    <w:p>
      <w:pPr>
        <w:pStyle w:val="Bullet"/>
        <w:numPr>
          <w:ilvl w:val="0"/>
          <w:numId w:val="90"/>
        </w:numPr>
      </w:pPr>
      <w:r>
        <w:rPr/>
        <w:t>No abscission</w:t>
      </w:r>
    </w:p>
    <w:p>
      <w:pPr>
        <w:pStyle w:val="Bullet"/>
        <w:numPr>
          <w:ilvl w:val="0"/>
          <w:numId w:val="90"/>
        </w:numPr>
      </w:pPr>
      <w:r>
        <w:rPr/>
        <w:t>Abscission</w:t>
      </w:r>
    </w:p>
    <w:p>
      <w:pPr>
        <w:pStyle w:val="Figure"/>
      </w:pPr>
      <w:r>
        <w:rPr>
          <w:i/>
        </w:rPr>
        <w:t xml:space="preserve">Fig: </w:t>
      </w:r>
      <w:r>
        <w:rPr/>
        <w:t>A holly twig with leaves attached under a jar (no abscission) and a holly twig with leaves dropped and an apple under a jar (abscission).</w:t>
      </w:r>
    </w:p>
    <w:p>
      <w:pPr>
        <w:pStyle w:val="Slideheading"/>
      </w:pPr>
      <w:bookmarkStart w:id="21" w:name="s261022"/>
      <w:r>
        <w:rPr>
          <w:rStyle w:val="Slidecode"/>
          <w:b/>
        </w:rPr>
        <w:t>26.1.22</w:t>
      </w:r>
      <w:r>
        <w:rPr>
          <w:b/>
        </w:rPr>
        <w:t xml:space="preserve"> Ethylene Ripens Fruit</w:t>
      </w:r>
      <w:bookmarkEnd w:id="21"/>
    </w:p>
    <w:p>
      <w:pPr>
        <w:pStyle w:val="Figure"/>
      </w:pPr>
      <w:r>
        <w:rPr>
          <w:i/>
        </w:rPr>
        <w:t xml:space="preserve">Fig: </w:t>
      </w:r>
      <w:r>
        <w:rPr/>
        <w:t>Ethylene synthesis (in plant) results in ripe tomato harvest. The gene for ethylene biosynthesis enzyme in DNA leads to transcription in messenger RNA which after translation leads to functional enzyme for ethylene biosynthesis. No ethylene synthesis leads to green tomato harvest.</w:t>
      </w:r>
    </w:p>
    <w:p>
      <w:pPr>
        <w:pStyle w:val="Slideheading"/>
      </w:pPr>
      <w:bookmarkStart w:id="22" w:name="s261023"/>
      <w:r>
        <w:rPr>
          <w:rStyle w:val="Slidecode"/>
          <w:b/>
        </w:rPr>
        <w:t>26.1.23</w:t>
      </w:r>
      <w:r>
        <w:rPr>
          <w:b/>
        </w:rPr>
        <w:t xml:space="preserve"> Responding to the Biotic Environment</w:t>
      </w:r>
      <w:bookmarkEnd w:id="22"/>
    </w:p>
    <w:p>
      <w:pPr>
        <w:pStyle w:val="Bullet"/>
        <w:numPr>
          <w:ilvl w:val="0"/>
          <w:numId w:val="90"/>
        </w:numPr>
      </w:pPr>
      <w:r>
        <w:rPr/>
        <w:t>Hormones primarily play a role in how a plant responds to abiotic stimuli, such as light, oxygen, water, pH, and temperature.</w:t>
      </w:r>
    </w:p>
    <w:p>
      <w:pPr>
        <w:pStyle w:val="Bullet"/>
        <w:numPr>
          <w:ilvl w:val="0"/>
          <w:numId w:val="90"/>
        </w:numPr>
      </w:pPr>
      <w:r>
        <w:rPr/>
        <w:t>Plants must produce materials and chemicals to help mitigate biotic situations such as herbivory, parasitism, and competition from other plants.</w:t>
      </w:r>
    </w:p>
    <w:p>
      <w:pPr>
        <w:pStyle w:val="Bullet"/>
        <w:numPr>
          <w:ilvl w:val="1"/>
          <w:numId w:val="90"/>
        </w:numPr>
      </w:pPr>
      <w:r>
        <w:rPr/>
        <w:t>While a plant’s epidermis and bark discourage attackers, many herbivores have ways around a plant’s first line of defense.</w:t>
      </w:r>
    </w:p>
    <w:p>
      <w:pPr>
        <w:pStyle w:val="Bullet"/>
        <w:numPr>
          <w:ilvl w:val="1"/>
          <w:numId w:val="90"/>
        </w:numPr>
      </w:pPr>
      <w:r>
        <w:rPr/>
        <w:t>The primary metabolites of plants, such as sugars and amino acids, are necessary to the normal workings of a cell.</w:t>
      </w:r>
    </w:p>
    <w:p>
      <w:pPr>
        <w:pStyle w:val="Bullet"/>
        <w:numPr>
          <w:ilvl w:val="1"/>
          <w:numId w:val="90"/>
        </w:numPr>
      </w:pPr>
      <w:r>
        <w:rPr/>
        <w:t>Plants also produce secondary metabolites as a defense or survival mechanism.</w:t>
      </w:r>
    </w:p>
    <w:p>
      <w:pPr>
        <w:pStyle w:val="Bullet"/>
        <w:numPr>
          <w:ilvl w:val="2"/>
          <w:numId w:val="90"/>
        </w:numPr>
      </w:pPr>
      <w:r>
        <w:rPr/>
        <w:t>Secondary metabolites were once thought to be waste products, but now we know they are part of a plant’s arsenal to prevent predation or discourage competition.</w:t>
      </w:r>
    </w:p>
    <w:p>
      <w:pPr>
        <w:pStyle w:val="Sectionheading"/>
      </w:pPr>
      <w:r>
        <w:rPr/>
        <w:t>26.2 Plant Growth and Movement Responses</w:t>
      </w:r>
    </w:p>
    <w:p>
      <w:pPr>
        <w:pStyle w:val="Slideheading"/>
      </w:pPr>
      <w:bookmarkStart w:id="23" w:name="s262024"/>
      <w:r>
        <w:rPr>
          <w:rStyle w:val="Slidecode"/>
          <w:b/>
        </w:rPr>
        <w:t>26.2.24</w:t>
      </w:r>
      <w:bookmarkEnd w:id="23"/>
    </w:p>
    <w:p>
      <w:pPr>
        <w:pStyle w:val="Bullet"/>
        <w:numPr>
          <w:ilvl w:val="0"/>
          <w:numId w:val="90"/>
        </w:numPr>
      </w:pPr>
      <w:r>
        <w:rPr/>
        <w:t>Tropism: Plant growth toward or away from a unidirectional stimulus</w:t>
      </w:r>
    </w:p>
    <w:p>
      <w:pPr>
        <w:pStyle w:val="Bullet"/>
        <w:numPr>
          <w:ilvl w:val="2"/>
          <w:numId w:val="90"/>
        </w:numPr>
      </w:pPr>
      <w:r>
        <w:rPr/>
        <w:t>Positive tropism is growth toward the stimulus.</w:t>
      </w:r>
    </w:p>
    <w:p>
      <w:pPr>
        <w:pStyle w:val="Bullet"/>
        <w:numPr>
          <w:ilvl w:val="2"/>
          <w:numId w:val="90"/>
        </w:numPr>
      </w:pPr>
      <w:r>
        <w:rPr/>
        <w:t>Negative tropism is growth away from the stimulus.</w:t>
      </w:r>
    </w:p>
    <w:p>
      <w:pPr>
        <w:pStyle w:val="Bullet"/>
        <w:numPr>
          <w:ilvl w:val="1"/>
          <w:numId w:val="90"/>
        </w:numPr>
      </w:pPr>
      <w:r>
        <w:rPr/>
        <w:t>Phototropism – Movement in response to light</w:t>
      </w:r>
    </w:p>
    <w:p>
      <w:pPr>
        <w:pStyle w:val="Bullet"/>
        <w:numPr>
          <w:ilvl w:val="1"/>
          <w:numId w:val="90"/>
        </w:numPr>
      </w:pPr>
      <w:r>
        <w:rPr/>
        <w:t>Thigmotropism – Movement in response to touch</w:t>
      </w:r>
    </w:p>
    <w:p>
      <w:pPr>
        <w:pStyle w:val="Bullet"/>
        <w:numPr>
          <w:ilvl w:val="1"/>
          <w:numId w:val="90"/>
        </w:numPr>
      </w:pPr>
      <w:r>
        <w:rPr/>
        <w:t>Gravitropism – Movement in response to gravity</w:t>
      </w:r>
    </w:p>
    <w:p>
      <w:pPr>
        <w:pStyle w:val="Slideheading"/>
      </w:pPr>
      <w:bookmarkStart w:id="24" w:name="s262025"/>
      <w:r>
        <w:rPr>
          <w:rStyle w:val="Slidecode"/>
          <w:b/>
        </w:rPr>
        <w:t>26.2.25</w:t>
      </w:r>
      <w:r>
        <w:rPr>
          <w:b/>
        </w:rPr>
        <w:t xml:space="preserve"> Phototropism</w:t>
      </w:r>
      <w:bookmarkEnd w:id="24"/>
    </w:p>
    <w:p>
      <w:pPr>
        <w:pStyle w:val="Bullet"/>
        <w:numPr>
          <w:ilvl w:val="0"/>
          <w:numId w:val="90"/>
        </w:numPr>
      </w:pPr>
      <w:r>
        <w:rPr/>
        <w:t>Positive phototropism of stems</w:t>
      </w:r>
    </w:p>
    <w:p>
      <w:pPr>
        <w:pStyle w:val="Bullet"/>
        <w:numPr>
          <w:ilvl w:val="1"/>
          <w:numId w:val="90"/>
        </w:numPr>
      </w:pPr>
      <w:r>
        <w:rPr/>
        <w:t>Cells on the shady side of stem elongate due to the presence of auxin.</w:t>
      </w:r>
    </w:p>
    <w:p>
      <w:pPr>
        <w:pStyle w:val="Bullet"/>
        <w:numPr>
          <w:ilvl w:val="1"/>
          <w:numId w:val="90"/>
        </w:numPr>
      </w:pPr>
      <w:r>
        <w:rPr/>
        <w:t>Membrane photoreceptors respond to light.</w:t>
      </w:r>
    </w:p>
    <w:p>
      <w:pPr>
        <w:pStyle w:val="Bullet"/>
        <w:numPr>
          <w:ilvl w:val="1"/>
          <w:numId w:val="90"/>
        </w:numPr>
      </w:pPr>
      <w:r>
        <w:rPr/>
        <w:t>Receptors contain pigment called phototropin absorbs blue light, initiating phototropism.</w:t>
      </w:r>
    </w:p>
    <w:p>
      <w:pPr>
        <w:pStyle w:val="Bullet"/>
        <w:numPr>
          <w:ilvl w:val="1"/>
          <w:numId w:val="90"/>
        </w:numPr>
      </w:pPr>
      <w:r>
        <w:rPr/>
        <w:t>Roots are either insensitive to light or exhibit negative phototropism.</w:t>
      </w:r>
    </w:p>
    <w:p>
      <w:pPr>
        <w:pStyle w:val="Slideheading"/>
      </w:pPr>
      <w:bookmarkStart w:id="25" w:name="s262026"/>
      <w:r>
        <w:rPr>
          <w:rStyle w:val="Slidecode"/>
          <w:b/>
        </w:rPr>
        <w:t>26.2.26</w:t>
      </w:r>
      <w:r>
        <w:rPr>
          <w:b/>
        </w:rPr>
        <w:t xml:space="preserve"> Phototropin</w:t>
      </w:r>
      <w:bookmarkEnd w:id="25"/>
    </w:p>
    <w:p>
      <w:pPr>
        <w:pStyle w:val="Figure"/>
      </w:pPr>
      <w:r>
        <w:rPr>
          <w:i/>
        </w:rPr>
        <w:t xml:space="preserve">Fig: </w:t>
      </w:r>
      <w:r>
        <w:rPr/>
        <w:t>(a) phototropin activated in blue light; (b) phototropin phosphorylated; (c) transduction begins, auxin accumulates.</w:t>
      </w:r>
    </w:p>
    <w:p>
      <w:pPr>
        <w:pStyle w:val="Slideheading"/>
      </w:pPr>
      <w:bookmarkStart w:id="26" w:name="s262027"/>
      <w:r>
        <w:rPr>
          <w:rStyle w:val="Slidecode"/>
          <w:b/>
        </w:rPr>
        <w:t>26.2.27</w:t>
      </w:r>
      <w:r>
        <w:rPr>
          <w:b/>
        </w:rPr>
        <w:t xml:space="preserve"> Thigmotropism</w:t>
      </w:r>
      <w:bookmarkEnd w:id="26"/>
    </w:p>
    <w:p>
      <w:pPr>
        <w:pStyle w:val="Bullet"/>
        <w:numPr>
          <w:ilvl w:val="0"/>
          <w:numId w:val="90"/>
        </w:numPr>
      </w:pPr>
      <w:r>
        <w:rPr/>
        <w:t>Response to touch from another plant, animal, rock, or wind.</w:t>
      </w:r>
    </w:p>
    <w:p>
      <w:pPr>
        <w:pStyle w:val="Bullet"/>
        <w:numPr>
          <w:ilvl w:val="1"/>
          <w:numId w:val="90"/>
        </w:numPr>
      </w:pPr>
      <w:r>
        <w:rPr/>
        <w:t>Example is coiling tendrils of stems on plants such as runner beans (Phaseolus) and morning glories.</w:t>
      </w:r>
    </w:p>
    <w:p>
      <w:pPr>
        <w:pStyle w:val="Bullet"/>
        <w:numPr>
          <w:ilvl w:val="0"/>
          <w:numId w:val="90"/>
        </w:numPr>
      </w:pPr>
      <w:r>
        <w:rPr/>
        <w:t>Thigmomorphogenesis is when a plant changes overall shape due to environmental touch stimulus</w:t>
      </w:r>
    </w:p>
    <w:p>
      <w:pPr>
        <w:pStyle w:val="Bullet"/>
        <w:numPr>
          <w:ilvl w:val="1"/>
          <w:numId w:val="90"/>
        </w:numPr>
      </w:pPr>
      <w:r>
        <w:rPr/>
        <w:t>Examples: barrier, wind, rain</w:t>
      </w:r>
    </w:p>
    <w:p>
      <w:pPr>
        <w:pStyle w:val="Slideheading"/>
      </w:pPr>
      <w:bookmarkStart w:id="27" w:name="s262028"/>
      <w:r>
        <w:rPr>
          <w:rStyle w:val="Slidecode"/>
          <w:b/>
        </w:rPr>
        <w:t>26.2.28</w:t>
      </w:r>
      <w:r>
        <w:rPr>
          <w:b/>
        </w:rPr>
        <w:t xml:space="preserve"> Phototropism and Thigmotropism</w:t>
      </w:r>
      <w:bookmarkEnd w:id="27"/>
    </w:p>
    <w:p>
      <w:pPr>
        <w:pStyle w:val="Bullet"/>
        <w:numPr>
          <w:ilvl w:val="0"/>
          <w:numId w:val="90"/>
        </w:numPr>
      </w:pPr>
      <w:r>
        <w:rPr/>
        <w:t>Thigmotropism</w:t>
      </w:r>
    </w:p>
    <w:p>
      <w:pPr>
        <w:pStyle w:val="Figure"/>
      </w:pPr>
      <w:r>
        <w:rPr>
          <w:i/>
        </w:rPr>
        <w:t xml:space="preserve">Fig: </w:t>
      </w:r>
      <w:r>
        <w:rPr/>
        <w:t>(a) Movement of plant towards light on the right. (b)Coiling movement of tendrils around a pole.</w:t>
      </w:r>
    </w:p>
    <w:p>
      <w:pPr>
        <w:pStyle w:val="Slideheading"/>
      </w:pPr>
      <w:bookmarkStart w:id="28" w:name="s262029"/>
      <w:r>
        <w:rPr>
          <w:rStyle w:val="Slidecode"/>
          <w:b/>
        </w:rPr>
        <w:t>26.2.29</w:t>
      </w:r>
      <w:r>
        <w:rPr>
          <w:b/>
        </w:rPr>
        <w:t xml:space="preserve"> Gravitropism</w:t>
      </w:r>
      <w:bookmarkEnd w:id="28"/>
    </w:p>
    <w:p>
      <w:pPr>
        <w:pStyle w:val="Bullet"/>
        <w:numPr>
          <w:ilvl w:val="0"/>
          <w:numId w:val="90"/>
        </w:numPr>
      </w:pPr>
      <w:r>
        <w:rPr/>
        <w:t>When a plant is placed on its side, the stem grows upward, opposite of the pull of gravity.</w:t>
      </w:r>
    </w:p>
    <w:p>
      <w:pPr>
        <w:pStyle w:val="Bullet"/>
        <w:numPr>
          <w:ilvl w:val="0"/>
          <w:numId w:val="90"/>
        </w:numPr>
      </w:pPr>
      <w:r>
        <w:rPr/>
        <w:t>Stems with root caps grow downward.</w:t>
      </w:r>
    </w:p>
    <w:p>
      <w:pPr>
        <w:pStyle w:val="Bullet"/>
        <w:numPr>
          <w:ilvl w:val="1"/>
          <w:numId w:val="90"/>
        </w:numPr>
      </w:pPr>
      <w:r>
        <w:rPr/>
        <w:t>Response depends on sensors called statoliths.</w:t>
      </w:r>
    </w:p>
    <w:p>
      <w:pPr>
        <w:pStyle w:val="Bullet"/>
        <w:numPr>
          <w:ilvl w:val="2"/>
          <w:numId w:val="90"/>
        </w:numPr>
      </w:pPr>
      <w:r>
        <w:rPr/>
        <w:t>Found in organelles called amyloplasts</w:t>
      </w:r>
    </w:p>
    <w:p>
      <w:pPr>
        <w:pStyle w:val="Bullet"/>
        <w:numPr>
          <w:ilvl w:val="2"/>
          <w:numId w:val="90"/>
        </w:numPr>
      </w:pPr>
      <w:r>
        <w:rPr/>
        <w:t>Statoliths settle to the bottom of a cell, put pressure on organelles, signaling the downward direction.</w:t>
      </w:r>
    </w:p>
    <w:p>
      <w:pPr>
        <w:pStyle w:val="Bullet"/>
        <w:numPr>
          <w:ilvl w:val="0"/>
          <w:numId w:val="90"/>
        </w:numPr>
      </w:pPr>
      <w:r>
        <w:rPr/>
        <w:t>Auxin may be responsible for gravitropism of roots and shoots.</w:t>
      </w:r>
    </w:p>
    <w:p>
      <w:pPr>
        <w:pStyle w:val="Correction"/>
      </w:pPr>
      <w:r>
        <w:rPr>
          <w:b/>
          <w:i/>
        </w:rPr>
        <w:t xml:space="preserve">Textbook: </w:t>
      </w:r>
      <w:r>
        <w:rPr/>
        <w:t>Roots, which have root caps, grow downward; stems grow upward.</w:t>
      </w:r>
    </w:p>
    <w:p>
      <w:pPr>
        <w:pStyle w:val="Slideheading"/>
      </w:pPr>
      <w:bookmarkStart w:id="29" w:name="s262030"/>
      <w:r>
        <w:rPr>
          <w:rStyle w:val="Slidecode"/>
          <w:b/>
        </w:rPr>
        <w:t>26.2.30</w:t>
      </w:r>
      <w:r>
        <w:rPr>
          <w:b/>
        </w:rPr>
        <w:t xml:space="preserve"> Gravitropism Examples</w:t>
      </w:r>
      <w:bookmarkEnd w:id="29"/>
    </w:p>
    <w:p>
      <w:pPr>
        <w:pStyle w:val="Figure"/>
      </w:pPr>
      <w:r>
        <w:rPr>
          <w:i/>
        </w:rPr>
        <w:t xml:space="preserve">Fig: </w:t>
      </w:r>
      <w:r>
        <w:rPr/>
        <w:t>a) Corn with shoot growing upward and root growing downward. b) Micrograph shows deposition of dark colored dots at the bottom of each cell in the direction of gravity. c) A pot of plant placed horizontally in a closed glass chamber, clinostat.</w:t>
      </w:r>
    </w:p>
    <w:p>
      <w:pPr>
        <w:pStyle w:val="Slideheading"/>
      </w:pPr>
      <w:bookmarkStart w:id="30" w:name="s262031"/>
      <w:r>
        <w:rPr>
          <w:rStyle w:val="Slidecode"/>
          <w:b/>
        </w:rPr>
        <w:t>26.2.31</w:t>
      </w:r>
      <w:r>
        <w:rPr>
          <w:b/>
        </w:rPr>
        <w:t xml:space="preserve"> Why So Many Scientists Work with Arabidopsis</w:t>
      </w:r>
      <w:bookmarkEnd w:id="30"/>
    </w:p>
    <w:p>
      <w:pPr>
        <w:pStyle w:val="Bullet"/>
        <w:numPr>
          <w:ilvl w:val="0"/>
          <w:numId w:val="90"/>
        </w:numPr>
      </w:pPr>
      <w:r>
        <w:rPr/>
        <w:t>Arabidopsis thaliana</w:t>
      </w:r>
    </w:p>
    <w:p>
      <w:pPr>
        <w:pStyle w:val="Bullet"/>
        <w:numPr>
          <w:ilvl w:val="1"/>
          <w:numId w:val="90"/>
        </w:numPr>
      </w:pPr>
      <w:r>
        <w:rPr/>
        <w:t>It is a small flowering plant related to cabbage and mustard plants.</w:t>
      </w:r>
    </w:p>
    <w:p>
      <w:pPr>
        <w:pStyle w:val="Bullet"/>
        <w:numPr>
          <w:ilvl w:val="1"/>
          <w:numId w:val="90"/>
        </w:numPr>
      </w:pPr>
      <w:r>
        <w:rPr/>
        <w:t>It has no commercial value.</w:t>
      </w:r>
    </w:p>
    <w:p>
      <w:pPr>
        <w:pStyle w:val="Bullet"/>
        <w:numPr>
          <w:ilvl w:val="1"/>
          <w:numId w:val="90"/>
        </w:numPr>
      </w:pPr>
      <w:r>
        <w:rPr/>
        <w:t>It has become a model organism for the study of plant molecular genetics, including signal transduction.</w:t>
      </w:r>
    </w:p>
    <w:p>
      <w:pPr>
        <w:pStyle w:val="Bullet"/>
        <w:numPr>
          <w:ilvl w:val="2"/>
          <w:numId w:val="90"/>
        </w:numPr>
      </w:pPr>
      <w:r>
        <w:rPr/>
        <w:t>It is small, so many hundreds of plants can be grown in a small amount of space.</w:t>
      </w:r>
    </w:p>
    <w:p>
      <w:pPr>
        <w:pStyle w:val="Bullet"/>
        <w:numPr>
          <w:ilvl w:val="2"/>
          <w:numId w:val="90"/>
        </w:numPr>
      </w:pPr>
      <w:r>
        <w:rPr/>
        <w:t>Generation time is short; 5 to 6 weeks until maturity.</w:t>
      </w:r>
    </w:p>
    <w:p>
      <w:pPr>
        <w:pStyle w:val="Bullet"/>
        <w:numPr>
          <w:ilvl w:val="2"/>
          <w:numId w:val="90"/>
        </w:numPr>
      </w:pPr>
      <w:r>
        <w:rPr/>
        <w:t>It normally self-pollinates, but it can easily be cross-pollinated.</w:t>
      </w:r>
    </w:p>
    <w:p>
      <w:pPr>
        <w:pStyle w:val="Bullet"/>
        <w:numPr>
          <w:ilvl w:val="2"/>
          <w:numId w:val="90"/>
        </w:numPr>
      </w:pPr>
      <w:r>
        <w:rPr/>
        <w:t>The number of base pairs in its DNA is relatively small.</w:t>
      </w:r>
    </w:p>
    <w:p>
      <w:pPr>
        <w:pStyle w:val="Slideheading"/>
      </w:pPr>
      <w:bookmarkStart w:id="31" w:name="s262032"/>
      <w:r>
        <w:rPr>
          <w:rStyle w:val="Slidecode"/>
          <w:b/>
        </w:rPr>
        <w:t>26.2.32</w:t>
      </w:r>
      <w:r>
        <w:rPr>
          <w:b/>
        </w:rPr>
        <w:t xml:space="preserve"> Arabidopsis thaliana</w:t>
      </w:r>
      <w:bookmarkEnd w:id="31"/>
    </w:p>
    <w:p>
      <w:pPr>
        <w:pStyle w:val="Figure"/>
      </w:pPr>
      <w:r>
        <w:rPr>
          <w:i/>
        </w:rPr>
        <w:t xml:space="preserve">Fig: </w:t>
      </w:r>
      <w:r>
        <w:rPr/>
        <w:t>Close-up of Arabidopsis thaliana shows a flat rosette of leaves, from which grows a short flower stalk.</w:t>
      </w:r>
    </w:p>
    <w:p>
      <w:pPr>
        <w:pStyle w:val="Slideheading"/>
      </w:pPr>
      <w:bookmarkStart w:id="32" w:name="s262033"/>
      <w:r>
        <w:rPr>
          <w:rStyle w:val="Slidecode"/>
          <w:b/>
        </w:rPr>
        <w:t>26.2.33</w:t>
      </w:r>
      <w:r>
        <w:rPr>
          <w:b/>
        </w:rPr>
        <w:t xml:space="preserve"> Movement Caused by Internal Stimuli</w:t>
      </w:r>
      <w:bookmarkEnd w:id="32"/>
    </w:p>
    <w:p>
      <w:pPr>
        <w:pStyle w:val="Bullet"/>
        <w:numPr>
          <w:ilvl w:val="0"/>
          <w:numId w:val="90"/>
        </w:numPr>
      </w:pPr>
      <w:r>
        <w:rPr/>
        <w:t>Turgor movements also called nastic movements:</w:t>
      </w:r>
    </w:p>
    <w:p>
      <w:pPr>
        <w:pStyle w:val="Bullet"/>
        <w:numPr>
          <w:ilvl w:val="1"/>
          <w:numId w:val="90"/>
        </w:numPr>
      </w:pPr>
      <w:r>
        <w:rPr/>
        <w:t>Do not involve growth and</w:t>
      </w:r>
    </w:p>
    <w:p>
      <w:pPr>
        <w:pStyle w:val="Bullet"/>
        <w:numPr>
          <w:ilvl w:val="1"/>
          <w:numId w:val="90"/>
        </w:numPr>
      </w:pPr>
      <w:r>
        <w:rPr/>
        <w:t>Are not dependent on the stimulus direction</w:t>
      </w:r>
    </w:p>
    <w:p>
      <w:pPr>
        <w:pStyle w:val="Bullet"/>
        <w:numPr>
          <w:ilvl w:val="1"/>
          <w:numId w:val="90"/>
        </w:numPr>
      </w:pPr>
      <w:r>
        <w:rPr/>
        <w:t>Could be result of electrical impulses, hormone action, or changes in turgor pressure</w:t>
      </w:r>
    </w:p>
    <w:p>
      <w:pPr>
        <w:pStyle w:val="Bullet"/>
        <w:numPr>
          <w:ilvl w:val="0"/>
          <w:numId w:val="90"/>
        </w:numPr>
      </w:pPr>
      <w:r>
        <w:rPr/>
        <w:t>Turgor movements result from touch, shaking, or thermal stimulation. Examples:</w:t>
      </w:r>
    </w:p>
    <w:p>
      <w:pPr>
        <w:pStyle w:val="Bullet"/>
        <w:numPr>
          <w:ilvl w:val="1"/>
          <w:numId w:val="90"/>
        </w:numPr>
      </w:pPr>
      <w:r>
        <w:rPr/>
        <w:t>Mimosa pudica</w:t>
      </w:r>
    </w:p>
    <w:p>
      <w:pPr>
        <w:pStyle w:val="Bullet"/>
        <w:numPr>
          <w:ilvl w:val="1"/>
          <w:numId w:val="90"/>
        </w:numPr>
      </w:pPr>
      <w:r>
        <w:rPr/>
        <w:t>Venus flytrap</w:t>
      </w:r>
    </w:p>
    <w:p>
      <w:pPr>
        <w:pStyle w:val="Bullet"/>
        <w:numPr>
          <w:ilvl w:val="0"/>
          <w:numId w:val="90"/>
        </w:numPr>
      </w:pPr>
      <w:r>
        <w:rPr/>
        <w:t>Sleep movements:</w:t>
      </w:r>
    </w:p>
    <w:p>
      <w:pPr>
        <w:pStyle w:val="Bullet"/>
        <w:numPr>
          <w:ilvl w:val="1"/>
          <w:numId w:val="90"/>
        </w:numPr>
      </w:pPr>
      <w:r>
        <w:rPr/>
        <w:t>Occur daily in response to light and dark changes</w:t>
      </w:r>
    </w:p>
    <w:p>
      <w:pPr>
        <w:pStyle w:val="Bullet"/>
        <w:numPr>
          <w:ilvl w:val="2"/>
          <w:numId w:val="90"/>
        </w:numPr>
      </w:pPr>
      <w:r>
        <w:rPr/>
        <w:t>Circadian rhythm and effects of photosensitive pigments</w:t>
      </w:r>
    </w:p>
    <w:p>
      <w:pPr>
        <w:pStyle w:val="Slideheading"/>
      </w:pPr>
      <w:bookmarkStart w:id="33" w:name="s262034"/>
      <w:r>
        <w:rPr>
          <w:rStyle w:val="Slidecode"/>
          <w:b/>
        </w:rPr>
        <w:t>26.2.34</w:t>
      </w:r>
      <w:r>
        <w:rPr>
          <w:b/>
        </w:rPr>
        <w:t xml:space="preserve"> Plant Cell Exhibits Turgor</w:t>
      </w:r>
      <w:bookmarkEnd w:id="33"/>
    </w:p>
    <w:p>
      <w:pPr>
        <w:pStyle w:val="Bullet"/>
        <w:numPr>
          <w:ilvl w:val="0"/>
          <w:numId w:val="90"/>
        </w:numPr>
      </w:pPr>
      <w:r>
        <w:rPr/>
        <w:t>Cell is limp</w:t>
      </w:r>
    </w:p>
    <w:p>
      <w:pPr>
        <w:pStyle w:val="Bullet"/>
        <w:numPr>
          <w:ilvl w:val="0"/>
          <w:numId w:val="90"/>
        </w:numPr>
      </w:pPr>
      <w:r>
        <w:rPr/>
        <w:t>Cell is turgid</w:t>
      </w:r>
    </w:p>
    <w:p>
      <w:pPr>
        <w:pStyle w:val="Figure"/>
      </w:pPr>
      <w:r>
        <w:rPr>
          <w:i/>
        </w:rPr>
        <w:t xml:space="preserve">Fig: </w:t>
      </w:r>
      <w:r>
        <w:rPr/>
        <w:t>When a cell fills with water, it is turgid. When water leaves the cell, the cell is limp.</w:t>
      </w:r>
    </w:p>
    <w:p>
      <w:pPr>
        <w:pStyle w:val="Slideheading"/>
      </w:pPr>
      <w:bookmarkStart w:id="34" w:name="s262035"/>
      <w:r>
        <w:rPr>
          <w:rStyle w:val="Slidecode"/>
          <w:b/>
        </w:rPr>
        <w:t>26.2.35</w:t>
      </w:r>
      <w:r>
        <w:rPr>
          <w:b/>
        </w:rPr>
        <w:t xml:space="preserve"> Turgor Movement</w:t>
      </w:r>
      <w:bookmarkEnd w:id="34"/>
    </w:p>
    <w:p>
      <w:pPr>
        <w:pStyle w:val="Figure"/>
      </w:pPr>
      <w:r>
        <w:rPr>
          <w:i/>
        </w:rPr>
        <w:t xml:space="preserve">Fig: </w:t>
      </w:r>
      <w:r>
        <w:rPr/>
        <w:t>The leaflets of the sensitive plant Mimosa pudica collapse within one second when touched due to loss of turgor pressure in leaf petiole cells. Left panel: Leaves opened with an inset showing labels for pulvinus and vascular tissue. Right panel: The leaves are closed after touching with an inset showing label for cells retaining turgor in pulvinus and cells at margin losing turgor.</w:t>
      </w:r>
    </w:p>
    <w:p>
      <w:pPr>
        <w:pStyle w:val="Sectionheading"/>
      </w:pPr>
      <w:r>
        <w:rPr/>
        <w:t>26.3 Plant Responses to Phytochrome</w:t>
      </w:r>
    </w:p>
    <w:p>
      <w:pPr>
        <w:pStyle w:val="Slideheading"/>
      </w:pPr>
      <w:bookmarkStart w:id="35" w:name="s263036"/>
      <w:r>
        <w:rPr>
          <w:rStyle w:val="Slidecode"/>
          <w:b/>
        </w:rPr>
        <w:t>26.3.36</w:t>
      </w:r>
      <w:bookmarkEnd w:id="35"/>
    </w:p>
    <w:p>
      <w:pPr>
        <w:pStyle w:val="Bullet"/>
        <w:numPr>
          <w:ilvl w:val="0"/>
          <w:numId w:val="90"/>
        </w:numPr>
      </w:pPr>
      <w:r>
        <w:rPr/>
        <w:t>Photoperiodism: Any physiological response prompted by changes in day or night length</w:t>
      </w:r>
    </w:p>
    <w:p>
      <w:pPr>
        <w:pStyle w:val="Bullet"/>
        <w:numPr>
          <w:ilvl w:val="1"/>
          <w:numId w:val="90"/>
        </w:numPr>
      </w:pPr>
      <w:r>
        <w:rPr/>
        <w:t>Influences flowering in some plants</w:t>
      </w:r>
    </w:p>
    <w:p>
      <w:pPr>
        <w:pStyle w:val="Bullet"/>
        <w:numPr>
          <w:ilvl w:val="1"/>
          <w:numId w:val="90"/>
        </w:numPr>
      </w:pPr>
      <w:r>
        <w:rPr/>
        <w:t>Requires participation of a biological clock and a plant photoreceptor called phytochrome</w:t>
      </w:r>
    </w:p>
    <w:p>
      <w:pPr>
        <w:pStyle w:val="Slideheading"/>
      </w:pPr>
      <w:bookmarkStart w:id="36" w:name="s263037"/>
      <w:r>
        <w:rPr>
          <w:rStyle w:val="Slidecode"/>
          <w:b/>
        </w:rPr>
        <w:t>26.3.37</w:t>
      </w:r>
      <w:r>
        <w:rPr>
          <w:b/>
        </w:rPr>
        <w:t xml:space="preserve"> Phytochrome</w:t>
      </w:r>
      <w:bookmarkEnd w:id="36"/>
    </w:p>
    <w:p>
      <w:pPr>
        <w:pStyle w:val="Bullet"/>
        <w:numPr>
          <w:ilvl w:val="0"/>
          <w:numId w:val="90"/>
        </w:numPr>
      </w:pPr>
      <w:r>
        <w:rPr/>
        <w:t>Phytochrome is a blue-green leaf pigment that alternately exists in two forms.</w:t>
      </w:r>
    </w:p>
    <w:p>
      <w:pPr>
        <w:pStyle w:val="Bullet"/>
        <w:numPr>
          <w:ilvl w:val="1"/>
          <w:numId w:val="90"/>
        </w:numPr>
      </w:pPr>
      <w:r>
        <w:rPr/>
        <w:t>Phytochrome red (Pr) absorbs red light and converted into Pfr in daytime</w:t>
      </w:r>
    </w:p>
    <w:p>
      <w:pPr>
        <w:pStyle w:val="Bullet"/>
        <w:numPr>
          <w:ilvl w:val="1"/>
          <w:numId w:val="90"/>
        </w:numPr>
      </w:pPr>
      <w:r>
        <w:rPr/>
        <w:t>Phytochrome far-red (Pfr) absorbs far-red light and converted into Pr in evening</w:t>
      </w:r>
    </w:p>
    <w:p>
      <w:pPr>
        <w:pStyle w:val="Bullet"/>
        <w:numPr>
          <w:ilvl w:val="0"/>
          <w:numId w:val="90"/>
        </w:numPr>
      </w:pPr>
      <w:r>
        <w:rPr/>
        <w:t>Conversion of forms allows a plant to detect photoperiod changes.</w:t>
      </w:r>
    </w:p>
    <w:p>
      <w:pPr>
        <w:pStyle w:val="Bullet"/>
        <w:numPr>
          <w:ilvl w:val="0"/>
          <w:numId w:val="90"/>
        </w:numPr>
      </w:pPr>
      <w:r>
        <w:rPr/>
        <w:t>Also promotes seed germination and flowering and inhibits shoot elongation</w:t>
      </w:r>
    </w:p>
    <w:p>
      <w:pPr>
        <w:pStyle w:val="Slideheading"/>
      </w:pPr>
      <w:bookmarkStart w:id="37" w:name="s263038"/>
      <w:r>
        <w:rPr>
          <w:rStyle w:val="Slidecode"/>
          <w:b/>
        </w:rPr>
        <w:t>26.3.38</w:t>
      </w:r>
      <w:r>
        <w:rPr>
          <w:b/>
        </w:rPr>
        <w:t xml:space="preserve"> Inactive and Active Phytochrome</w:t>
      </w:r>
      <w:bookmarkEnd w:id="37"/>
    </w:p>
    <w:p>
      <w:pPr>
        <w:pStyle w:val="Bullet"/>
        <w:numPr>
          <w:ilvl w:val="0"/>
          <w:numId w:val="90"/>
        </w:numPr>
      </w:pPr>
      <w:r>
        <w:rPr/>
        <w:t>The inactive form of phytochrome (Pr) is converted to the active form Pfr in the presence of red light, (prevalent in daylight).</w:t>
      </w:r>
    </w:p>
    <w:p>
      <w:pPr>
        <w:pStyle w:val="Bullet"/>
        <w:numPr>
          <w:ilvl w:val="0"/>
          <w:numId w:val="90"/>
        </w:numPr>
      </w:pPr>
      <w:r>
        <w:rPr/>
        <w:t>Pfr is involved in various plant responses, such as seed germination, shoot elongation, and flowering.</w:t>
      </w:r>
    </w:p>
    <w:p>
      <w:pPr>
        <w:pStyle w:val="Bullet"/>
        <w:numPr>
          <w:ilvl w:val="0"/>
          <w:numId w:val="90"/>
        </w:numPr>
      </w:pPr>
      <w:r>
        <w:rPr/>
        <w:t>Pfr is converted to Pr whenever light is limited, (shade/night).</w:t>
      </w:r>
    </w:p>
    <w:p>
      <w:pPr>
        <w:pStyle w:val="Slideheading"/>
      </w:pPr>
      <w:bookmarkStart w:id="38" w:name="s263039"/>
      <w:r>
        <w:rPr>
          <w:rStyle w:val="Slidecode"/>
          <w:b/>
        </w:rPr>
        <w:t>26.3.39</w:t>
      </w:r>
      <w:r>
        <w:rPr>
          <w:b/>
        </w:rPr>
        <w:t xml:space="preserve"> Phytochrome Conversion Cycle</w:t>
      </w:r>
      <w:bookmarkEnd w:id="38"/>
    </w:p>
    <w:p>
      <w:pPr>
        <w:pStyle w:val="Figure"/>
      </w:pPr>
      <w:r>
        <w:rPr>
          <w:i/>
        </w:rPr>
        <w:t xml:space="preserve">Fig: </w:t>
      </w:r>
      <w:r>
        <w:rPr/>
        <w:t>The inactive form of phytochrome (Pr) is converted to the active form Pfr in the presence of red light, which is prevalent in daylight. Pfr is involved in various plant responses, such as seed germination, shoot elongation, and flowering. Pfr is converted to Pr whenever light is limited, such as in the shade or during the night.</w:t>
      </w:r>
    </w:p>
    <w:p>
      <w:pPr>
        <w:pStyle w:val="Slideheading"/>
      </w:pPr>
      <w:bookmarkStart w:id="39" w:name="s263040"/>
      <w:r>
        <w:rPr>
          <w:rStyle w:val="Slidecode"/>
          <w:b/>
        </w:rPr>
        <w:t>26.3.40</w:t>
      </w:r>
      <w:r>
        <w:rPr>
          <w:b/>
        </w:rPr>
        <w:t xml:space="preserve"> Flowering and Photoperiodism</w:t>
      </w:r>
      <w:bookmarkEnd w:id="39"/>
    </w:p>
    <w:p>
      <w:pPr>
        <w:pStyle w:val="Bullet"/>
        <w:numPr>
          <w:ilvl w:val="1"/>
          <w:numId w:val="90"/>
        </w:numPr>
      </w:pPr>
      <w:r>
        <w:rPr/>
        <w:t>Requires participation of a biological clock</w:t>
      </w:r>
    </w:p>
    <w:p>
      <w:pPr>
        <w:pStyle w:val="Bullet"/>
        <w:numPr>
          <w:ilvl w:val="0"/>
          <w:numId w:val="90"/>
        </w:numPr>
      </w:pPr>
      <w:r>
        <w:rPr/>
        <w:t>Physiological changes in flowering plants are related to a seasonal change in day length.</w:t>
      </w:r>
    </w:p>
    <w:p>
      <w:pPr>
        <w:pStyle w:val="Bullet"/>
        <w:numPr>
          <w:ilvl w:val="1"/>
          <w:numId w:val="90"/>
        </w:numPr>
      </w:pPr>
      <w:r>
        <w:rPr/>
        <w:t>Flowering plants can be divided into three groups, based on their flowering status.</w:t>
      </w:r>
    </w:p>
    <w:p>
      <w:pPr>
        <w:pStyle w:val="Bullet"/>
        <w:numPr>
          <w:ilvl w:val="2"/>
          <w:numId w:val="90"/>
        </w:numPr>
      </w:pPr>
      <w:r>
        <w:rPr/>
        <w:t>Short-day plants flower when the day length is shorter than a critical length.</w:t>
      </w:r>
    </w:p>
    <w:p>
      <w:pPr>
        <w:pStyle w:val="Bullet"/>
        <w:numPr>
          <w:ilvl w:val="2"/>
          <w:numId w:val="90"/>
        </w:numPr>
      </w:pPr>
      <w:r>
        <w:rPr/>
        <w:t>Long-day plants flower when the day length is longer than a critical length.</w:t>
      </w:r>
    </w:p>
    <w:p>
      <w:pPr>
        <w:pStyle w:val="Bullet"/>
        <w:numPr>
          <w:ilvl w:val="2"/>
          <w:numId w:val="90"/>
        </w:numPr>
      </w:pPr>
      <w:r>
        <w:rPr/>
        <w:t>Day-neutral plants are not dependent on day length for flowering.</w:t>
      </w:r>
    </w:p>
    <w:p>
      <w:pPr>
        <w:pStyle w:val="Bullet"/>
        <w:numPr>
          <w:ilvl w:val="1"/>
          <w:numId w:val="90"/>
        </w:numPr>
      </w:pPr>
      <w:r>
        <w:rPr/>
        <w:t>Some plants may require a specific sequence of day lengths in order to flower.</w:t>
      </w:r>
    </w:p>
    <w:p>
      <w:pPr>
        <w:pStyle w:val="Slideheading"/>
      </w:pPr>
      <w:bookmarkStart w:id="40" w:name="s263041"/>
      <w:r>
        <w:rPr>
          <w:rStyle w:val="Slidecode"/>
          <w:b/>
        </w:rPr>
        <w:t>26.3.41</w:t>
      </w:r>
      <w:r>
        <w:rPr>
          <w:b/>
        </w:rPr>
        <w:t xml:space="preserve"> Short-Day (Long-Night) Plant</w:t>
      </w:r>
      <w:bookmarkEnd w:id="40"/>
    </w:p>
    <w:p>
      <w:pPr>
        <w:pStyle w:val="Bullet"/>
        <w:numPr>
          <w:ilvl w:val="0"/>
          <w:numId w:val="90"/>
        </w:numPr>
      </w:pPr>
      <w:r>
        <w:rPr/>
        <w:t>When the day is shorter than a critical length, this type of plant flowers. The plant does not flower when the day is longer than the critical length or if the longer-than-critical-length night is interrupted by a flash of light.</w:t>
      </w:r>
    </w:p>
    <w:p>
      <w:pPr>
        <w:pStyle w:val="Figure"/>
      </w:pPr>
      <w:r>
        <w:rPr>
          <w:i/>
        </w:rPr>
        <w:t xml:space="preserve">Fig: </w:t>
      </w:r>
      <w:r>
        <w:rPr/>
        <w:t>Cocklebur is an example of a short-day (long-night) plant.</w:t>
      </w:r>
    </w:p>
    <w:p>
      <w:pPr>
        <w:pStyle w:val="Correction"/>
      </w:pPr>
      <w:r>
        <w:rPr>
          <w:b/>
          <w:i/>
        </w:rPr>
        <w:t xml:space="preserve">Textbook: </w:t>
      </w:r>
      <w:r>
        <w:rPr/>
        <w:t>The deck's text alternative for this slide describes the sensitive plant's leaves (printed with 26.2.35). The figure is cocklebur, a short-day plant: it flowers when the night is longer than a critical length, and a flash of light that interrupts that night stops it flowering (Fig. 26.16a).</w:t>
      </w:r>
    </w:p>
    <w:p>
      <w:pPr>
        <w:pStyle w:val="Slideheading"/>
      </w:pPr>
      <w:bookmarkStart w:id="41" w:name="s263042"/>
      <w:r>
        <w:rPr>
          <w:rStyle w:val="Slidecode"/>
          <w:b/>
        </w:rPr>
        <w:t>26.3.42</w:t>
      </w:r>
      <w:r>
        <w:rPr>
          <w:b/>
        </w:rPr>
        <w:t xml:space="preserve"> Long-Day (Short-Night) Plant</w:t>
      </w:r>
      <w:bookmarkEnd w:id="41"/>
    </w:p>
    <w:p>
      <w:pPr>
        <w:pStyle w:val="Bullet"/>
        <w:numPr>
          <w:ilvl w:val="0"/>
          <w:numId w:val="90"/>
        </w:numPr>
      </w:pPr>
      <w:r>
        <w:rPr/>
        <w:t>When the day is longer than a critical length this plant flowers. When the day is shorter than a critical length, this type of plant does not flower. However, it does flower if the slightly longer-than-critical-length night is interrupted by a flash of light.</w:t>
      </w:r>
    </w:p>
    <w:p>
      <w:pPr>
        <w:pStyle w:val="Figure"/>
      </w:pPr>
      <w:r>
        <w:rPr>
          <w:i/>
        </w:rPr>
        <w:t xml:space="preserve">Fig: </w:t>
      </w:r>
      <w:r>
        <w:rPr/>
        <w:t>Clover is an example of a long-day (short night) plant.</w:t>
      </w:r>
    </w:p>
    <w:p>
      <w:pPr>
        <w:pStyle w:val="Slideheading"/>
      </w:pPr>
      <w:bookmarkStart w:id="42" w:name="s263043"/>
      <w:r>
        <w:rPr>
          <w:rStyle w:val="Slidecode"/>
          <w:b/>
        </w:rPr>
        <w:t>26.3.43</w:t>
      </w:r>
      <w:r>
        <w:rPr>
          <w:b/>
        </w:rPr>
        <w:t xml:space="preserve"> Phytochrome Controls Shoot Elongation and Chlorophyll Production</w:t>
      </w:r>
      <w:bookmarkEnd w:id="42"/>
    </w:p>
    <w:p>
      <w:pPr>
        <w:pStyle w:val="Figure"/>
      </w:pPr>
      <w:r>
        <w:rPr>
          <w:i/>
        </w:rPr>
        <w:t xml:space="preserve">Fig: </w:t>
      </w:r>
      <w:r>
        <w:rPr/>
        <w:t>Photos show green alfalfa sprouts with normal growth (left) and alfalfa sprouts grown in the absence of light, which are elongated and yellow (right).</w:t>
      </w:r>
    </w:p>
    <w:p>
      <w:pPr>
        <w:pStyle w:val="Figure"/>
      </w:pPr>
      <w:r>
        <w:rPr>
          <w:i/>
        </w:rPr>
        <w:t xml:space="preserve">Textbook: </w:t>
      </w:r>
      <w:r>
        <w:rPr/>
        <w:t>If red light is prevalent, as in bright sunlight, growth is normal. If far-red light is prevalent, as in the shade, or the plant grows in darkness, etiolation occurs: the shoot increases in length and the leaves stay small and yellow. These effects are due to phytochrome.</w:t>
      </w:r>
    </w:p>
    <w:p>
      <w:pPr>
        <w:pStyle w:val="Slideheading"/>
      </w:pPr>
      <w:bookmarkStart w:id="43" w:name="s263044"/>
      <w:r>
        <w:rPr>
          <w:rStyle w:val="Slidecode"/>
          <w:b/>
        </w:rPr>
        <w:t>26.3.44</w:t>
      </w:r>
      <w:r>
        <w:rPr>
          <w:b/>
        </w:rPr>
        <w:t xml:space="preserve"> Phytochrome and Competition</w:t>
      </w:r>
      <w:bookmarkEnd w:id="43"/>
    </w:p>
    <w:p>
      <w:pPr>
        <w:pStyle w:val="Bullet"/>
        <w:numPr>
          <w:ilvl w:val="0"/>
          <w:numId w:val="90"/>
        </w:numPr>
      </w:pPr>
      <w:r>
        <w:rPr/>
        <w:t>Phytochrome and plant spacing:</w:t>
      </w:r>
    </w:p>
    <w:p>
      <w:pPr>
        <w:pStyle w:val="Bullet"/>
        <w:numPr>
          <w:ilvl w:val="1"/>
          <w:numId w:val="90"/>
        </w:numPr>
      </w:pPr>
      <w:r>
        <w:rPr/>
        <w:t>Red and far red light also signal spacing.</w:t>
      </w:r>
    </w:p>
    <w:p>
      <w:pPr>
        <w:pStyle w:val="Bullet"/>
        <w:numPr>
          <w:ilvl w:val="1"/>
          <w:numId w:val="90"/>
        </w:numPr>
      </w:pPr>
      <w:r>
        <w:rPr/>
        <w:t>Leaf shading increases the amount of far-red light relative to red light.</w:t>
      </w:r>
    </w:p>
    <w:p>
      <w:pPr>
        <w:pStyle w:val="Bullet"/>
        <w:numPr>
          <w:ilvl w:val="1"/>
          <w:numId w:val="90"/>
        </w:numPr>
      </w:pPr>
      <w:r>
        <w:rPr/>
        <w:t>Plants measure the amount of far-red light bounced back by neighboring plants.</w:t>
      </w:r>
    </w:p>
    <w:p>
      <w:pPr>
        <w:pStyle w:val="Bullet"/>
        <w:numPr>
          <w:ilvl w:val="1"/>
          <w:numId w:val="90"/>
        </w:numPr>
      </w:pPr>
      <w:r>
        <w:rPr/>
        <w:t>The more far-red light (relative to red light) perceived correlates to energy spent to grow taller, which is a strategy to outcompete others for sunlight.</w:t>
      </w:r>
    </w:p>
    <w:p>
      <w:pPr>
        <w:pStyle w:val="Slideheading"/>
      </w:pPr>
      <w:bookmarkStart w:id="44" w:name="s263045"/>
      <w:r>
        <w:rPr>
          <w:rStyle w:val="Slidecode"/>
          <w:b/>
        </w:rPr>
        <w:t>26.3.45</w:t>
      </w:r>
      <w:r>
        <w:rPr>
          <w:b/>
        </w:rPr>
        <w:t xml:space="preserve"> Circadian Rhythms</w:t>
      </w:r>
      <w:bookmarkEnd w:id="44"/>
    </w:p>
    <w:p>
      <w:pPr>
        <w:pStyle w:val="Bullet"/>
        <w:numPr>
          <w:ilvl w:val="0"/>
          <w:numId w:val="90"/>
        </w:numPr>
      </w:pPr>
      <w:r>
        <w:rPr/>
        <w:t>Circadian rhythms: Biological rhythms with a 24-hour cycle</w:t>
      </w:r>
    </w:p>
    <w:p>
      <w:pPr>
        <w:pStyle w:val="Bullet"/>
        <w:numPr>
          <w:ilvl w:val="0"/>
          <w:numId w:val="90"/>
        </w:numPr>
      </w:pPr>
      <w:r>
        <w:rPr/>
        <w:t>Tend to be persistent</w:t>
      </w:r>
    </w:p>
    <w:p>
      <w:pPr>
        <w:pStyle w:val="Bullet"/>
        <w:numPr>
          <w:ilvl w:val="1"/>
          <w:numId w:val="90"/>
        </w:numPr>
      </w:pPr>
      <w:r>
        <w:rPr/>
        <w:t>Rhythm is maintained in the absence of environmental stimuli.</w:t>
      </w:r>
    </w:p>
    <w:p>
      <w:pPr>
        <w:pStyle w:val="Bullet"/>
        <w:numPr>
          <w:ilvl w:val="1"/>
          <w:numId w:val="90"/>
        </w:numPr>
      </w:pPr>
      <w:r>
        <w:rPr/>
        <w:t>Caused by a biological clock</w:t>
      </w:r>
    </w:p>
    <w:p>
      <w:pPr>
        <w:pStyle w:val="Bullet"/>
        <w:numPr>
          <w:ilvl w:val="1"/>
          <w:numId w:val="90"/>
        </w:numPr>
      </w:pPr>
      <w:r>
        <w:rPr/>
        <w:t>In plants with sleep movements, the sleep cycle changes when plant is kept in dim light</w:t>
      </w:r>
    </w:p>
    <w:p>
      <w:pPr>
        <w:pStyle w:val="Bullet"/>
        <w:numPr>
          <w:ilvl w:val="1"/>
          <w:numId w:val="90"/>
        </w:numPr>
      </w:pPr>
      <w:r>
        <w:rPr/>
        <w:t>Entrainment means to be synchronized to light at daybreak.</w:t>
      </w:r>
    </w:p>
    <w:p>
      <w:pPr>
        <w:pStyle w:val="Slideheading"/>
      </w:pPr>
      <w:bookmarkStart w:id="45" w:name="s263046"/>
      <w:r>
        <w:rPr>
          <w:rStyle w:val="Slidecode"/>
          <w:b/>
        </w:rPr>
        <w:t>26.3.46</w:t>
      </w:r>
      <w:r>
        <w:rPr>
          <w:b/>
        </w:rPr>
        <w:t xml:space="preserve"> Examples of Circadian Rhythms</w:t>
      </w:r>
      <w:bookmarkEnd w:id="45"/>
    </w:p>
    <w:p>
      <w:pPr>
        <w:pStyle w:val="Figure"/>
      </w:pPr>
      <w:r>
        <w:rPr>
          <w:i/>
        </w:rPr>
        <w:t xml:space="preserve">Fig: </w:t>
      </w:r>
      <w:r>
        <w:rPr/>
        <w:t>The horizontal axis represents time (in hours) ranges from 0 to 48 while vertical axis ranges from flower closing to flower opening. The data is as follows: The graph shows two consecutive parabolic curves with peak marked at 12 and 26 hours, labeled as circadian rhythm: period (about 24 hours).</w:t>
      </w:r>
    </w:p>
    <w:p>
      <w:pPr>
        <w:pStyle w:val="Lookupheading"/>
      </w:pPr>
      <w:bookmarkStart w:id="46" w:name="lk26LkTables"/>
      <w:r>
        <w:rPr>
          <w:rStyle w:val="Slidecode"/>
        </w:rPr>
        <w:t>Comparison tables</w:t>
      </w:r>
      <w:bookmarkEnd w:id="46"/>
    </w:p>
    <w:p>
      <w:pPr>
        <w:pStyle w:val="Tabletitle"/>
      </w:pPr>
      <w:r>
        <w:rPr>
          <w:b/>
        </w:rPr>
        <w:t>Plant hormones</w:t>
      </w:r>
      <w:r>
        <w:rPr/>
        <w:t xml:space="preserve"> 26.1.7–8, 26.1.12, 26.1.14, 26.1.17, 26.1.20</w:t>
      </w:r>
    </w:p>
    <w:p>
      <w:pPr>
        <w:pStyle w:val="Groupheading"/>
      </w:pPr>
      <w:r>
        <w:rPr/>
        <w:t>Auxin (IAA)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37"/>
        <w:gridCol w:w="4063"/>
      </w:tblGrid>
      <w:tr>
        <w:trPr>
          <w:cantSplit/>
        </w:trPr>
        <w:tc>
          <w:tcPr>
            <w:tcW w:type="dxa" w:w="1337"/>
          </w:tcPr>
          <w:p>
            <w:pPr>
              <w:pStyle w:val="Tabletext"/>
            </w:pPr>
            <w:r>
              <w:rPr/>
              <w:t>Made in</w:t>
            </w:r>
          </w:p>
        </w:tc>
        <w:tc>
          <w:tcPr>
            <w:tcW w:type="dxa" w:w="4063"/>
          </w:tcPr>
          <w:p>
            <w:pPr>
              <w:pStyle w:val="Tabletext"/>
            </w:pPr>
            <w:r>
              <w:rPr/>
              <w:t>shoot apical meristem; young leaves, flowers, fruits</w:t>
            </w:r>
          </w:p>
        </w:tc>
      </w:tr>
      <w:tr>
        <w:trPr>
          <w:cantSplit/>
        </w:trPr>
        <w:tc>
          <w:tcPr>
            <w:tcW w:type="dxa" w:w="1337"/>
          </w:tcPr>
          <w:p>
            <w:pPr>
              <w:pStyle w:val="Tabletext"/>
            </w:pPr>
            <w:r>
              <w:rPr/>
              <w:t>Effects</w:t>
            </w:r>
          </w:p>
        </w:tc>
        <w:tc>
          <w:tcPr>
            <w:tcW w:type="dxa" w:w="4063"/>
          </w:tcPr>
          <w:p>
            <w:pPr>
              <w:pStyle w:val="Tabletext"/>
            </w:pPr>
            <w:r>
              <w:rPr/>
              <w:t>apical dominance (blocks axillary buds); root and fruit growth; prevents loss of leaves and fruit; phototropism (shady-side cells elongate); gravitropism</w:t>
            </w:r>
          </w:p>
        </w:tc>
      </w:tr>
      <w:tr>
        <w:trPr>
          <w:cantSplit/>
        </w:trPr>
        <w:tc>
          <w:tcPr>
            <w:tcW w:type="dxa" w:w="1337"/>
          </w:tcPr>
          <w:p>
            <w:pPr>
              <w:pStyle w:val="Tabletext"/>
            </w:pPr>
            <w:r>
              <w:rPr/>
              <w:t>Commercial use</w:t>
            </w:r>
          </w:p>
        </w:tc>
        <w:tc>
          <w:tcPr>
            <w:tcW w:type="dxa" w:w="4063"/>
          </w:tcPr>
          <w:p>
            <w:pPr>
              <w:pStyle w:val="Tabletext"/>
            </w:pPr>
            <w:r>
              <w:rPr/>
              <w:t>herbicides (2,4-D; Agent Orange); fruit without pollination</w:t>
            </w:r>
          </w:p>
        </w:tc>
      </w:tr>
    </w:tbl>
    <w:p>
      <w:pPr>
        <w:pStyle w:val="Tabletext"/>
      </w:pPr>
    </w:p>
    <w:p>
      <w:pPr>
        <w:pStyle w:val="Groupheading"/>
      </w:pPr>
      <w:r>
        <w:rPr/>
        <w:t>Gibberellins (GA3)</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8"/>
        <w:gridCol w:w="3812"/>
      </w:tblGrid>
      <w:tr>
        <w:trPr>
          <w:cantSplit/>
        </w:trPr>
        <w:tc>
          <w:tcPr>
            <w:tcW w:type="dxa" w:w="1588"/>
          </w:tcPr>
          <w:p>
            <w:pPr>
              <w:pStyle w:val="Tabletext"/>
            </w:pPr>
            <w:r>
              <w:rPr/>
              <w:t>Made in</w:t>
            </w:r>
          </w:p>
        </w:tc>
        <w:tc>
          <w:tcPr>
            <w:tcW w:type="dxa" w:w="3812"/>
          </w:tcPr>
          <w:p>
            <w:pPr>
              <w:pStyle w:val="Tabletext"/>
            </w:pPr>
            <w:r>
              <w:rPr/>
              <w:t>young leaves, roots, embryos, seeds, fruits (textbook)</w:t>
            </w:r>
          </w:p>
        </w:tc>
      </w:tr>
      <w:tr>
        <w:trPr>
          <w:cantSplit/>
        </w:trPr>
        <w:tc>
          <w:tcPr>
            <w:tcW w:type="dxa" w:w="1588"/>
          </w:tcPr>
          <w:p>
            <w:pPr>
              <w:pStyle w:val="Tabletext"/>
            </w:pPr>
            <w:r>
              <w:rPr/>
              <w:t>Effects</w:t>
            </w:r>
          </w:p>
        </w:tc>
        <w:tc>
          <w:tcPr>
            <w:tcW w:type="dxa" w:w="3812"/>
          </w:tcPr>
          <w:p>
            <w:pPr>
              <w:pStyle w:val="Tabletext"/>
            </w:pPr>
            <w:r>
              <w:rPr/>
              <w:t>stem elongation; break bud and seed dormancy</w:t>
            </w:r>
          </w:p>
        </w:tc>
      </w:tr>
      <w:tr>
        <w:trPr>
          <w:cantSplit/>
        </w:trPr>
        <w:tc>
          <w:tcPr>
            <w:tcW w:type="dxa" w:w="1588"/>
          </w:tcPr>
          <w:p>
            <w:pPr>
              <w:pStyle w:val="Tabletext"/>
            </w:pPr>
            <w:r>
              <w:rPr/>
              <w:t>Commercial use</w:t>
            </w:r>
          </w:p>
        </w:tc>
        <w:tc>
          <w:tcPr>
            <w:tcW w:type="dxa" w:w="3812"/>
          </w:tcPr>
          <w:p>
            <w:pPr>
              <w:pStyle w:val="Tabletext"/>
            </w:pPr>
            <w:r>
              <w:rPr/>
              <w:t>induce growth in crops; larger grapes</w:t>
            </w:r>
          </w:p>
        </w:tc>
      </w:tr>
    </w:tbl>
    <w:p>
      <w:pPr>
        <w:pStyle w:val="Tabletext"/>
      </w:pPr>
    </w:p>
    <w:p>
      <w:pPr>
        <w:pStyle w:val="Groupheading"/>
      </w:pPr>
      <w:r>
        <w:rPr/>
        <w:t>Cytokinins (zeatin)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88"/>
        <w:gridCol w:w="4012"/>
      </w:tblGrid>
      <w:tr>
        <w:trPr>
          <w:cantSplit/>
        </w:trPr>
        <w:tc>
          <w:tcPr>
            <w:tcW w:type="dxa" w:w="1388"/>
          </w:tcPr>
          <w:p>
            <w:pPr>
              <w:pStyle w:val="Tabletext"/>
            </w:pPr>
            <w:r>
              <w:rPr/>
              <w:t>Made in</w:t>
            </w:r>
          </w:p>
        </w:tc>
        <w:tc>
          <w:tcPr>
            <w:tcW w:type="dxa" w:w="4012"/>
          </w:tcPr>
          <w:p>
            <w:pPr>
              <w:pStyle w:val="Tabletext"/>
            </w:pPr>
            <w:r>
              <w:rPr/>
              <w:t>dividing root tissue, seeds, fruits</w:t>
            </w:r>
          </w:p>
        </w:tc>
      </w:tr>
      <w:tr>
        <w:trPr>
          <w:cantSplit/>
        </w:trPr>
        <w:tc>
          <w:tcPr>
            <w:tcW w:type="dxa" w:w="1388"/>
          </w:tcPr>
          <w:p>
            <w:pPr>
              <w:pStyle w:val="Tabletext"/>
            </w:pPr>
            <w:r>
              <w:rPr/>
              <w:t>Effects</w:t>
            </w:r>
          </w:p>
        </w:tc>
        <w:tc>
          <w:tcPr>
            <w:tcW w:type="dxa" w:w="4012"/>
          </w:tcPr>
          <w:p>
            <w:pPr>
              <w:pStyle w:val="Tabletext"/>
            </w:pPr>
            <w:r>
              <w:rPr/>
              <w:t>cell division and organ formation; root nodules, galls; with auxin, prevent senescence; low levels in autumn let leaves change color and die</w:t>
            </w:r>
          </w:p>
        </w:tc>
      </w:tr>
      <w:tr>
        <w:trPr>
          <w:cantSplit/>
        </w:trPr>
        <w:tc>
          <w:tcPr>
            <w:tcW w:type="dxa" w:w="1388"/>
          </w:tcPr>
          <w:p>
            <w:pPr>
              <w:pStyle w:val="Tabletext"/>
            </w:pPr>
            <w:r>
              <w:rPr/>
              <w:t>Commercial use</w:t>
            </w:r>
          </w:p>
        </w:tc>
        <w:tc>
          <w:tcPr>
            <w:tcW w:type="dxa" w:w="4012"/>
          </w:tcPr>
          <w:p>
            <w:pPr>
              <w:pStyle w:val="Tabletext"/>
            </w:pPr>
            <w:r>
              <w:rPr/>
              <w:t>prolong the life of cut flowers and stored vegetables</w:t>
            </w:r>
          </w:p>
        </w:tc>
      </w:tr>
    </w:tbl>
    <w:p>
      <w:pPr>
        <w:pStyle w:val="Tabletext"/>
      </w:pPr>
    </w:p>
    <w:p>
      <w:pPr>
        <w:pStyle w:val="Groupheading"/>
      </w:pPr>
      <w:r>
        <w:rPr/>
        <w:t>Abscisic acid (ABA)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89"/>
        <w:gridCol w:w="3911"/>
      </w:tblGrid>
      <w:tr>
        <w:trPr>
          <w:cantSplit/>
        </w:trPr>
        <w:tc>
          <w:tcPr>
            <w:tcW w:type="dxa" w:w="1489"/>
          </w:tcPr>
          <w:p>
            <w:pPr>
              <w:pStyle w:val="Tabletext"/>
            </w:pPr>
            <w:r>
              <w:rPr/>
              <w:t>Made in</w:t>
            </w:r>
          </w:p>
        </w:tc>
        <w:tc>
          <w:tcPr>
            <w:tcW w:type="dxa" w:w="3911"/>
          </w:tcPr>
          <w:p>
            <w:pPr>
              <w:pStyle w:val="Tabletext"/>
            </w:pPr>
            <w:r>
              <w:rPr/>
              <w:t>any green tissue</w:t>
            </w:r>
          </w:p>
        </w:tc>
      </w:tr>
      <w:tr>
        <w:trPr>
          <w:cantSplit/>
        </w:trPr>
        <w:tc>
          <w:tcPr>
            <w:tcW w:type="dxa" w:w="1489"/>
          </w:tcPr>
          <w:p>
            <w:pPr>
              <w:pStyle w:val="Tabletext"/>
            </w:pPr>
            <w:r>
              <w:rPr/>
              <w:t>Effects</w:t>
            </w:r>
          </w:p>
        </w:tc>
        <w:tc>
          <w:tcPr>
            <w:tcW w:type="dxa" w:w="3911"/>
          </w:tcPr>
          <w:p>
            <w:pPr>
              <w:pStyle w:val="Tabletext"/>
            </w:pPr>
            <w:r>
              <w:rPr/>
              <w:t>the stress hormone: starts and maintains seed and bud dormancy; closes stomata; corn that can't respond shows vivipary</w:t>
            </w:r>
          </w:p>
        </w:tc>
      </w:tr>
      <w:tr>
        <w:trPr>
          <w:cantSplit/>
        </w:trPr>
        <w:tc>
          <w:tcPr>
            <w:tcW w:type="dxa" w:w="1489"/>
          </w:tcPr>
          <w:p>
            <w:pPr>
              <w:pStyle w:val="Tabletext"/>
            </w:pPr>
            <w:r>
              <w:rPr/>
              <w:t>Commercial use</w:t>
            </w:r>
          </w:p>
        </w:tc>
        <w:tc>
          <w:tcPr>
            <w:tcW w:type="dxa" w:w="3911"/>
          </w:tcPr>
          <w:p>
            <w:pPr>
              <w:pStyle w:val="Tabletext"/>
            </w:pPr>
            <w:r>
              <w:rPr/>
              <w:t>thinning fruit, so the remaining fruit grows larger</w:t>
            </w:r>
          </w:p>
        </w:tc>
      </w:tr>
    </w:tbl>
    <w:p>
      <w:pPr>
        <w:pStyle w:val="Tabletext"/>
      </w:pPr>
    </w:p>
    <w:p>
      <w:pPr>
        <w:pStyle w:val="Groupheading"/>
      </w:pPr>
      <w:r>
        <w:rPr/>
        <w:t>Ethylene (gas)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46"/>
        <w:gridCol w:w="3954"/>
      </w:tblGrid>
      <w:tr>
        <w:trPr>
          <w:cantSplit/>
        </w:trPr>
        <w:tc>
          <w:tcPr>
            <w:tcW w:type="dxa" w:w="1446"/>
          </w:tcPr>
          <w:p>
            <w:pPr>
              <w:pStyle w:val="Tabletext"/>
            </w:pPr>
            <w:r>
              <w:rPr/>
              <w:t>Made in</w:t>
            </w:r>
          </w:p>
        </w:tc>
        <w:tc>
          <w:tcPr>
            <w:tcW w:type="dxa" w:w="3954"/>
          </w:tcPr>
          <w:p>
            <w:pPr>
              <w:pStyle w:val="Tabletext"/>
            </w:pPr>
            <w:r>
              <w:rPr/>
              <w:t>formed from the amino acid methionine</w:t>
            </w:r>
          </w:p>
        </w:tc>
      </w:tr>
      <w:tr>
        <w:trPr>
          <w:cantSplit/>
        </w:trPr>
        <w:tc>
          <w:tcPr>
            <w:tcW w:type="dxa" w:w="1446"/>
          </w:tcPr>
          <w:p>
            <w:pPr>
              <w:pStyle w:val="Tabletext"/>
            </w:pPr>
            <w:r>
              <w:rPr/>
              <w:t>Effects</w:t>
            </w:r>
          </w:p>
        </w:tc>
        <w:tc>
          <w:tcPr>
            <w:tcW w:type="dxa" w:w="3954"/>
          </w:tcPr>
          <w:p>
            <w:pPr>
              <w:pStyle w:val="Tabletext"/>
            </w:pPr>
            <w:r>
              <w:rPr/>
              <w:t>abscission (stimulates cellulase); ripens fruit (softening, flavor, smell); inhibits axillary buds; suppresses stem and root elongation</w:t>
            </w:r>
          </w:p>
        </w:tc>
      </w:tr>
      <w:tr>
        <w:trPr>
          <w:cantSplit/>
        </w:trPr>
        <w:tc>
          <w:tcPr>
            <w:tcW w:type="dxa" w:w="1446"/>
          </w:tcPr>
          <w:p>
            <w:pPr>
              <w:pStyle w:val="Tabletext"/>
            </w:pPr>
            <w:r>
              <w:rPr/>
              <w:t>Commercial use</w:t>
            </w:r>
          </w:p>
        </w:tc>
        <w:tc>
          <w:tcPr>
            <w:tcW w:type="dxa" w:w="3954"/>
          </w:tcPr>
          <w:p>
            <w:pPr>
              <w:pStyle w:val="Tabletext"/>
            </w:pPr>
            <w:r>
              <w:rPr/>
              <w:t>ripening fruit for market</w:t>
            </w:r>
          </w:p>
        </w:tc>
      </w:tr>
    </w:tbl>
    <w:p>
      <w:pPr>
        <w:pStyle w:val="Tabletext"/>
      </w:pPr>
    </w:p>
    <w:p>
      <w:pPr>
        <w:pStyle w:val="Tabletitle"/>
      </w:pPr>
      <w:r>
        <w:rPr>
          <w:b/>
        </w:rPr>
        <w:t>Movements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128"/>
        <w:gridCol w:w="3272"/>
      </w:tblGrid>
      <w:tr>
        <w:trPr>
          <w:cantSplit/>
          <w:tblHeader/>
        </w:trPr>
        <w:tc>
          <w:tcPr>
            <w:tcW w:type="dxa" w:w="2128"/>
          </w:tcPr>
          <w:p>
            <w:pPr>
              <w:pStyle w:val="Tabletext"/>
            </w:pPr>
            <w:r>
              <w:rPr>
                <w:b/>
              </w:rPr>
              <w:t>Response</w:t>
            </w:r>
          </w:p>
        </w:tc>
        <w:tc>
          <w:tcPr>
            <w:tcW w:type="dxa" w:w="3272"/>
          </w:tcPr>
          <w:p>
            <w:pPr>
              <w:pStyle w:val="Tabletext"/>
            </w:pPr>
            <w:r>
              <w:rPr>
                <w:b/>
              </w:rPr>
              <w:t>Stimulus / how</w:t>
            </w:r>
          </w:p>
        </w:tc>
      </w:tr>
      <w:tr>
        <w:trPr>
          <w:cantSplit/>
        </w:trPr>
        <w:tc>
          <w:tcPr>
            <w:tcW w:type="dxa" w:w="2128"/>
          </w:tcPr>
          <w:p>
            <w:pPr>
              <w:pStyle w:val="Tabletext"/>
            </w:pPr>
            <w:r>
              <w:rPr/>
              <w:t>Phototropism</w:t>
            </w:r>
          </w:p>
        </w:tc>
        <w:tc>
          <w:tcPr>
            <w:tcW w:type="dxa" w:w="3272"/>
          </w:tcPr>
          <w:p>
            <w:pPr>
              <w:pStyle w:val="Tabletext"/>
            </w:pPr>
            <w:r>
              <w:rPr/>
              <w:t>light: stems grow toward it (shady-side cells elongate, auxin); roots insensitive or negative; phototropin absorbs blue light (26.2.25–26)</w:t>
            </w:r>
          </w:p>
        </w:tc>
      </w:tr>
      <w:tr>
        <w:trPr>
          <w:cantSplit/>
        </w:trPr>
        <w:tc>
          <w:tcPr>
            <w:tcW w:type="dxa" w:w="2128"/>
          </w:tcPr>
          <w:p>
            <w:pPr>
              <w:pStyle w:val="Tabletext"/>
            </w:pPr>
            <w:r>
              <w:rPr/>
              <w:t>Thigmotropism</w:t>
            </w:r>
          </w:p>
        </w:tc>
        <w:tc>
          <w:tcPr>
            <w:tcW w:type="dxa" w:w="3272"/>
          </w:tcPr>
          <w:p>
            <w:pPr>
              <w:pStyle w:val="Tabletext"/>
            </w:pPr>
            <w:r>
              <w:rPr/>
              <w:t>touch (plant, animal, rock, wind): tendrils and stems coil (runner beans, morning glories) (26.2.27–28)</w:t>
            </w:r>
          </w:p>
        </w:tc>
      </w:tr>
      <w:tr>
        <w:trPr>
          <w:cantSplit/>
        </w:trPr>
        <w:tc>
          <w:tcPr>
            <w:tcW w:type="dxa" w:w="2128"/>
          </w:tcPr>
          <w:p>
            <w:pPr>
              <w:pStyle w:val="Tabletext"/>
            </w:pPr>
            <w:r>
              <w:rPr/>
              <w:t>Thigmomorphogenesis</w:t>
            </w:r>
          </w:p>
        </w:tc>
        <w:tc>
          <w:tcPr>
            <w:tcW w:type="dxa" w:w="3272"/>
          </w:tcPr>
          <w:p>
            <w:pPr>
              <w:pStyle w:val="Tabletext"/>
            </w:pPr>
            <w:r>
              <w:rPr/>
              <w:t>whole-plant shape change from touch: barrier, wind, rain (26.2.27)</w:t>
            </w:r>
          </w:p>
        </w:tc>
      </w:tr>
      <w:tr>
        <w:trPr>
          <w:cantSplit/>
        </w:trPr>
        <w:tc>
          <w:tcPr>
            <w:tcW w:type="dxa" w:w="2128"/>
          </w:tcPr>
          <w:p>
            <w:pPr>
              <w:pStyle w:val="Tabletext"/>
            </w:pPr>
            <w:r>
              <w:rPr/>
              <w:t>Gravitropism</w:t>
            </w:r>
          </w:p>
        </w:tc>
        <w:tc>
          <w:tcPr>
            <w:tcW w:type="dxa" w:w="3272"/>
          </w:tcPr>
          <w:p>
            <w:pPr>
              <w:pStyle w:val="Tabletext"/>
            </w:pPr>
            <w:r>
              <w:rPr/>
              <w:t>gravity: stem up, roots down; statoliths (starch in amyloplasts) settle in root-cap cells; auxin (26.2.29–30)</w:t>
            </w:r>
          </w:p>
        </w:tc>
      </w:tr>
      <w:tr>
        <w:trPr>
          <w:cantSplit/>
        </w:trPr>
        <w:tc>
          <w:tcPr>
            <w:tcW w:type="dxa" w:w="2128"/>
          </w:tcPr>
          <w:p>
            <w:pPr>
              <w:pStyle w:val="Tabletext"/>
            </w:pPr>
            <w:r>
              <w:rPr/>
              <w:t>Turgor (nastic) movement</w:t>
            </w:r>
          </w:p>
        </w:tc>
        <w:tc>
          <w:tcPr>
            <w:tcW w:type="dxa" w:w="3272"/>
          </w:tcPr>
          <w:p>
            <w:pPr>
              <w:pStyle w:val="Tabletext"/>
            </w:pPr>
            <w:r>
              <w:rPr/>
              <w:t>no growth, not directional: turgor changes, electrical impulses or hormones (Mimosa pudica, Venus flytrap) (26.2.33, 26.2.35)</w:t>
            </w:r>
          </w:p>
        </w:tc>
      </w:tr>
      <w:tr>
        <w:trPr>
          <w:cantSplit/>
        </w:trPr>
        <w:tc>
          <w:tcPr>
            <w:tcW w:type="dxa" w:w="2128"/>
          </w:tcPr>
          <w:p>
            <w:pPr>
              <w:pStyle w:val="Tabletext"/>
            </w:pPr>
            <w:r>
              <w:rPr/>
              <w:t>Sleep movements</w:t>
            </w:r>
          </w:p>
        </w:tc>
        <w:tc>
          <w:tcPr>
            <w:tcW w:type="dxa" w:w="3272"/>
          </w:tcPr>
          <w:p>
            <w:pPr>
              <w:pStyle w:val="Tabletext"/>
            </w:pPr>
            <w:r>
              <w:rPr/>
              <w:t>daily, with light and dark; circadian rhythm (26.2.33, 26.3.46)</w:t>
            </w:r>
          </w:p>
        </w:tc>
      </w:tr>
    </w:tbl>
    <w:p>
      <w:pPr>
        <w:pStyle w:val="Tabletext"/>
      </w:pPr>
    </w:p>
    <w:p>
      <w:pPr>
        <w:pStyle w:val="Tabletitle"/>
      </w:pPr>
      <w:r>
        <w:rPr>
          <w:b/>
        </w:rPr>
        <w:t>Photoperiod</w:t>
      </w:r>
      <w:r>
        <w:rPr/>
        <w:t xml:space="preserve"> 26.3.40–42</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56"/>
        <w:gridCol w:w="2284"/>
        <w:gridCol w:w="1260"/>
      </w:tblGrid>
      <w:tr>
        <w:trPr>
          <w:cantSplit/>
          <w:tblHeader/>
        </w:trPr>
        <w:tc>
          <w:tcPr>
            <w:tcW w:type="dxa" w:w="1856"/>
          </w:tcPr>
          <w:p>
            <w:pPr>
              <w:pStyle w:val="Tabletext"/>
            </w:pPr>
            <w:r>
              <w:rPr>
                <w:b/>
              </w:rPr>
              <w:t>Plant</w:t>
            </w:r>
          </w:p>
        </w:tc>
        <w:tc>
          <w:tcPr>
            <w:tcW w:type="dxa" w:w="2284"/>
          </w:tcPr>
          <w:p>
            <w:pPr>
              <w:pStyle w:val="Tabletext"/>
            </w:pPr>
            <w:r>
              <w:rPr>
                <w:b/>
              </w:rPr>
              <w:t>Flowers when</w:t>
            </w:r>
          </w:p>
        </w:tc>
        <w:tc>
          <w:tcPr>
            <w:tcW w:type="dxa" w:w="1260"/>
          </w:tcPr>
          <w:p>
            <w:pPr>
              <w:pStyle w:val="Tabletext"/>
            </w:pPr>
            <w:r>
              <w:rPr>
                <w:b/>
              </w:rPr>
              <w:t>Night flash</w:t>
            </w:r>
          </w:p>
        </w:tc>
      </w:tr>
      <w:tr>
        <w:trPr>
          <w:cantSplit/>
        </w:trPr>
        <w:tc>
          <w:tcPr>
            <w:tcW w:type="dxa" w:w="1856"/>
          </w:tcPr>
          <w:p>
            <w:pPr>
              <w:pStyle w:val="Tabletext"/>
            </w:pPr>
            <w:r>
              <w:rPr/>
              <w:t>Short-day (long-night)</w:t>
            </w:r>
          </w:p>
        </w:tc>
        <w:tc>
          <w:tcPr>
            <w:tcW w:type="dxa" w:w="2284"/>
          </w:tcPr>
          <w:p>
            <w:pPr>
              <w:pStyle w:val="Tabletext"/>
            </w:pPr>
            <w:r>
              <w:rPr/>
              <w:t>day shorter than the critical length (night longer)</w:t>
            </w:r>
          </w:p>
        </w:tc>
        <w:tc>
          <w:tcPr>
            <w:tcW w:type="dxa" w:w="1260"/>
          </w:tcPr>
          <w:p>
            <w:pPr>
              <w:pStyle w:val="Tabletext"/>
            </w:pPr>
            <w:r>
              <w:rPr/>
              <w:t>stops flowering</w:t>
            </w:r>
          </w:p>
        </w:tc>
      </w:tr>
      <w:tr>
        <w:trPr>
          <w:cantSplit/>
        </w:trPr>
        <w:tc>
          <w:tcPr>
            <w:tcW w:type="dxa" w:w="1856"/>
          </w:tcPr>
          <w:p>
            <w:pPr>
              <w:pStyle w:val="Tabletext"/>
            </w:pPr>
            <w:r>
              <w:rPr/>
              <w:t>Long-day (short-night)</w:t>
            </w:r>
          </w:p>
        </w:tc>
        <w:tc>
          <w:tcPr>
            <w:tcW w:type="dxa" w:w="2284"/>
          </w:tcPr>
          <w:p>
            <w:pPr>
              <w:pStyle w:val="Tabletext"/>
            </w:pPr>
            <w:r>
              <w:rPr/>
              <w:t>day longer than the critical length (night shorter); clover</w:t>
            </w:r>
          </w:p>
        </w:tc>
        <w:tc>
          <w:tcPr>
            <w:tcW w:type="dxa" w:w="1260"/>
          </w:tcPr>
          <w:p>
            <w:pPr>
              <w:pStyle w:val="Tabletext"/>
            </w:pPr>
            <w:r>
              <w:rPr/>
              <w:t>makes it flower</w:t>
            </w:r>
          </w:p>
        </w:tc>
      </w:tr>
      <w:tr>
        <w:trPr>
          <w:cantSplit/>
        </w:trPr>
        <w:tc>
          <w:tcPr>
            <w:tcW w:type="dxa" w:w="1856"/>
          </w:tcPr>
          <w:p>
            <w:pPr>
              <w:pStyle w:val="Tabletext"/>
            </w:pPr>
            <w:r>
              <w:rPr/>
              <w:t>Day-neutral</w:t>
            </w:r>
          </w:p>
        </w:tc>
        <w:tc>
          <w:tcPr>
            <w:tcW w:type="dxa" w:w="2284"/>
          </w:tcPr>
          <w:p>
            <w:pPr>
              <w:pStyle w:val="Tabletext"/>
            </w:pPr>
            <w:r>
              <w:rPr/>
              <w:t>regardless of day length</w:t>
            </w:r>
          </w:p>
        </w:tc>
        <w:tc>
          <w:tcPr>
            <w:tcW w:type="dxa" w:w="1260"/>
          </w:tcPr>
          <w:p>
            <w:pPr>
              <w:pStyle w:val="Tabletext"/>
            </w:pPr>
            <w:r>
              <w:rPr/>
              <w:t>–</w:t>
            </w:r>
          </w:p>
        </w:tc>
      </w:tr>
    </w:tbl>
    <w:p>
      <w:pPr>
        <w:pStyle w:val="Tabletext"/>
      </w:pPr>
    </w:p>
    <w:p>
      <w:pPr>
        <w:pStyle w:val="Tabletitle"/>
      </w:pPr>
      <w:r>
        <w:rPr>
          <w:b/>
        </w:rPr>
        <w:t>Phytochrome</w:t>
      </w:r>
      <w:r>
        <w:rPr/>
        <w:t xml:space="preserve"> 26.3.37–39, 26.3.43–44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30"/>
        <w:gridCol w:w="4170"/>
      </w:tblGrid>
      <w:tr>
        <w:trPr>
          <w:cantSplit/>
          <w:tblHeader/>
        </w:trPr>
        <w:tc>
          <w:tcPr>
            <w:tcW w:type="dxa" w:w="1230"/>
          </w:tcPr>
          <w:p>
            <w:pPr>
              <w:pStyle w:val="Tabletext"/>
            </w:pPr>
            <w:r>
              <w:rPr>
                <w:b/>
              </w:rPr>
            </w:r>
          </w:p>
        </w:tc>
        <w:tc>
          <w:tcPr>
            <w:tcW w:type="dxa" w:w="4170"/>
          </w:tcPr>
          <w:p>
            <w:pPr>
              <w:pStyle w:val="Tabletext"/>
            </w:pPr>
            <w:r>
              <w:rPr>
                <w:b/>
              </w:rPr>
              <w:t>What it does</w:t>
            </w:r>
          </w:p>
        </w:tc>
      </w:tr>
      <w:tr>
        <w:trPr>
          <w:cantSplit/>
        </w:trPr>
        <w:tc>
          <w:tcPr>
            <w:tcW w:type="dxa" w:w="1230"/>
          </w:tcPr>
          <w:p>
            <w:pPr>
              <w:pStyle w:val="Tabletext"/>
            </w:pPr>
            <w:r>
              <w:rPr/>
              <w:t>Pr</w:t>
            </w:r>
          </w:p>
        </w:tc>
        <w:tc>
          <w:tcPr>
            <w:tcW w:type="dxa" w:w="4170"/>
          </w:tcPr>
          <w:p>
            <w:pPr>
              <w:pStyle w:val="Tabletext"/>
            </w:pPr>
            <w:r>
              <w:rPr/>
              <w:t>inactive; absorbs red light (daylight) and becomes Pfr</w:t>
            </w:r>
          </w:p>
        </w:tc>
      </w:tr>
      <w:tr>
        <w:trPr>
          <w:cantSplit/>
        </w:trPr>
        <w:tc>
          <w:tcPr>
            <w:tcW w:type="dxa" w:w="1230"/>
          </w:tcPr>
          <w:p>
            <w:pPr>
              <w:pStyle w:val="Tabletext"/>
            </w:pPr>
            <w:r>
              <w:rPr/>
              <w:t>Pfr</w:t>
            </w:r>
          </w:p>
        </w:tc>
        <w:tc>
          <w:tcPr>
            <w:tcW w:type="dxa" w:w="4170"/>
          </w:tcPr>
          <w:p>
            <w:pPr>
              <w:pStyle w:val="Tabletext"/>
            </w:pPr>
            <w:r>
              <w:rPr/>
              <w:t>active; absorbs far-red light and becomes Pr in the evening, shade or night</w:t>
            </w:r>
          </w:p>
        </w:tc>
      </w:tr>
      <w:tr>
        <w:trPr>
          <w:cantSplit/>
        </w:trPr>
        <w:tc>
          <w:tcPr>
            <w:tcW w:type="dxa" w:w="1230"/>
          </w:tcPr>
          <w:p>
            <w:pPr>
              <w:pStyle w:val="Tabletext"/>
            </w:pPr>
            <w:r>
              <w:rPr/>
              <w:t>Effects</w:t>
            </w:r>
          </w:p>
        </w:tc>
        <w:tc>
          <w:tcPr>
            <w:tcW w:type="dxa" w:w="4170"/>
          </w:tcPr>
          <w:p>
            <w:pPr>
              <w:pStyle w:val="Tabletext"/>
            </w:pPr>
            <w:r>
              <w:rPr/>
              <w:t>detects photoperiod changes; promotes germination and flowering; inhibits shoot elongation</w:t>
            </w:r>
          </w:p>
        </w:tc>
      </w:tr>
      <w:tr>
        <w:trPr>
          <w:cantSplit/>
        </w:trPr>
        <w:tc>
          <w:tcPr>
            <w:tcW w:type="dxa" w:w="1230"/>
          </w:tcPr>
          <w:p>
            <w:pPr>
              <w:pStyle w:val="Tabletext"/>
            </w:pPr>
            <w:r>
              <w:rPr/>
              <w:t>Spacing</w:t>
            </w:r>
          </w:p>
        </w:tc>
        <w:tc>
          <w:tcPr>
            <w:tcW w:type="dxa" w:w="4170"/>
          </w:tcPr>
          <w:p>
            <w:pPr>
              <w:pStyle w:val="Tabletext"/>
            </w:pPr>
            <w:r>
              <w:rPr/>
              <w:t>more far-red light (shade from neighbors) → grows taller to compete</w:t>
            </w:r>
          </w:p>
        </w:tc>
      </w:tr>
      <w:tr>
        <w:trPr>
          <w:cantSplit/>
        </w:trPr>
        <w:tc>
          <w:tcPr>
            <w:tcW w:type="dxa" w:w="1230"/>
          </w:tcPr>
          <w:p>
            <w:pPr>
              <w:pStyle w:val="Tabletext"/>
            </w:pPr>
            <w:r>
              <w:rPr/>
              <w:t>Darkness</w:t>
            </w:r>
          </w:p>
        </w:tc>
        <w:tc>
          <w:tcPr>
            <w:tcW w:type="dxa" w:w="4170"/>
          </w:tcPr>
          <w:p>
            <w:pPr>
              <w:pStyle w:val="Tabletext"/>
            </w:pPr>
            <w:r>
              <w:rPr/>
              <w:t>etiolation: long shoots, small yellow leaves</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480"/>
        <w:gridCol w:w="2920"/>
      </w:tblGrid>
      <w:tr>
        <w:trPr>
          <w:cantSplit/>
          <w:tblHeader/>
        </w:trPr>
        <w:tc>
          <w:tcPr>
            <w:tcW w:type="dxa" w:w="2480"/>
          </w:tcPr>
          <w:p>
            <w:pPr>
              <w:pStyle w:val="Tabletext"/>
            </w:pPr>
            <w:r>
              <w:rPr>
                <w:b/>
              </w:rPr>
              <w:t>These</w:t>
            </w:r>
          </w:p>
        </w:tc>
        <w:tc>
          <w:tcPr>
            <w:tcW w:type="dxa" w:w="2920"/>
          </w:tcPr>
          <w:p>
            <w:pPr>
              <w:pStyle w:val="Tabletext"/>
            </w:pPr>
            <w:r>
              <w:rPr>
                <w:b/>
              </w:rPr>
              <w:t>The difference</w:t>
            </w:r>
          </w:p>
        </w:tc>
      </w:tr>
      <w:tr>
        <w:trPr>
          <w:cantSplit/>
        </w:trPr>
        <w:tc>
          <w:tcPr>
            <w:tcW w:type="dxa" w:w="2480"/>
          </w:tcPr>
          <w:p>
            <w:pPr>
              <w:pStyle w:val="Tabletext"/>
            </w:pPr>
            <w:r>
              <w:rPr/>
              <w:t>auxin vs cytokinins</w:t>
            </w:r>
          </w:p>
        </w:tc>
        <w:tc>
          <w:tcPr>
            <w:tcW w:type="dxa" w:w="2920"/>
          </w:tcPr>
          <w:p>
            <w:pPr>
              <w:pStyle w:val="Tabletext"/>
            </w:pPr>
            <w:r>
              <w:rPr/>
              <w:t>apical dominance, elongation, phototropism vs cell division, organ formation (26.1.8, 26.1.14)</w:t>
            </w:r>
          </w:p>
        </w:tc>
      </w:tr>
      <w:tr>
        <w:trPr>
          <w:cantSplit/>
        </w:trPr>
        <w:tc>
          <w:tcPr>
            <w:tcW w:type="dxa" w:w="2480"/>
          </w:tcPr>
          <w:p>
            <w:pPr>
              <w:pStyle w:val="Tabletext"/>
            </w:pPr>
            <w:r>
              <w:rPr/>
              <w:t>gibberellins vs abscisic acid</w:t>
            </w:r>
          </w:p>
        </w:tc>
        <w:tc>
          <w:tcPr>
            <w:tcW w:type="dxa" w:w="2920"/>
          </w:tcPr>
          <w:p>
            <w:pPr>
              <w:pStyle w:val="Tabletext"/>
            </w:pPr>
            <w:r>
              <w:rPr/>
              <w:t>break dormancy vs start and keep dormancy (26.1.12, 26.1.17)</w:t>
            </w:r>
          </w:p>
        </w:tc>
      </w:tr>
      <w:tr>
        <w:trPr>
          <w:cantSplit/>
        </w:trPr>
        <w:tc>
          <w:tcPr>
            <w:tcW w:type="dxa" w:w="2480"/>
          </w:tcPr>
          <w:p>
            <w:pPr>
              <w:pStyle w:val="Tabletext"/>
            </w:pPr>
            <w:r>
              <w:rPr/>
              <w:t>abscisic acid vs abscission</w:t>
            </w:r>
          </w:p>
        </w:tc>
        <w:tc>
          <w:tcPr>
            <w:tcW w:type="dxa" w:w="2920"/>
          </w:tcPr>
          <w:p>
            <w:pPr>
              <w:pStyle w:val="Tabletext"/>
            </w:pPr>
            <w:r>
              <w:rPr/>
              <w:t>the stress hormone vs leaf, fruit or flower drop (caused by ethylene) (26.1.17, 26.1.20)</w:t>
            </w:r>
          </w:p>
        </w:tc>
      </w:tr>
      <w:tr>
        <w:trPr>
          <w:cantSplit/>
        </w:trPr>
        <w:tc>
          <w:tcPr>
            <w:tcW w:type="dxa" w:w="2480"/>
          </w:tcPr>
          <w:p>
            <w:pPr>
              <w:pStyle w:val="Tabletext"/>
            </w:pPr>
            <w:r>
              <w:rPr/>
              <w:t>primary vs secondary metabolites</w:t>
            </w:r>
          </w:p>
        </w:tc>
        <w:tc>
          <w:tcPr>
            <w:tcW w:type="dxa" w:w="2920"/>
          </w:tcPr>
          <w:p>
            <w:pPr>
              <w:pStyle w:val="Tabletext"/>
            </w:pPr>
            <w:r>
              <w:rPr/>
              <w:t>sugars, amino acids every cell needs vs defense chemicals (26.1.23)</w:t>
            </w:r>
          </w:p>
        </w:tc>
      </w:tr>
      <w:tr>
        <w:trPr>
          <w:cantSplit/>
        </w:trPr>
        <w:tc>
          <w:tcPr>
            <w:tcW w:type="dxa" w:w="2480"/>
          </w:tcPr>
          <w:p>
            <w:pPr>
              <w:pStyle w:val="Tabletext"/>
            </w:pPr>
            <w:r>
              <w:rPr/>
              <w:t>positive vs negative tropism</w:t>
            </w:r>
          </w:p>
        </w:tc>
        <w:tc>
          <w:tcPr>
            <w:tcW w:type="dxa" w:w="2920"/>
          </w:tcPr>
          <w:p>
            <w:pPr>
              <w:pStyle w:val="Tabletext"/>
            </w:pPr>
            <w:r>
              <w:rPr/>
              <w:t>toward vs away from the stimulus (26.2.24)</w:t>
            </w:r>
          </w:p>
        </w:tc>
      </w:tr>
      <w:tr>
        <w:trPr>
          <w:cantSplit/>
        </w:trPr>
        <w:tc>
          <w:tcPr>
            <w:tcW w:type="dxa" w:w="2480"/>
          </w:tcPr>
          <w:p>
            <w:pPr>
              <w:pStyle w:val="Tabletext"/>
            </w:pPr>
            <w:r>
              <w:rPr/>
              <w:t>tropism vs turgor movement</w:t>
            </w:r>
          </w:p>
        </w:tc>
        <w:tc>
          <w:tcPr>
            <w:tcW w:type="dxa" w:w="2920"/>
          </w:tcPr>
          <w:p>
            <w:pPr>
              <w:pStyle w:val="Tabletext"/>
            </w:pPr>
            <w:r>
              <w:rPr/>
              <w:t>growth, directional vs no growth, not directional (26.2.24, 26.2.33)</w:t>
            </w:r>
          </w:p>
        </w:tc>
      </w:tr>
      <w:tr>
        <w:trPr>
          <w:cantSplit/>
        </w:trPr>
        <w:tc>
          <w:tcPr>
            <w:tcW w:type="dxa" w:w="2480"/>
          </w:tcPr>
          <w:p>
            <w:pPr>
              <w:pStyle w:val="Tabletext"/>
            </w:pPr>
            <w:r>
              <w:rPr/>
              <w:t>thigmotropism vs thigmomorphogenesis</w:t>
            </w:r>
          </w:p>
        </w:tc>
        <w:tc>
          <w:tcPr>
            <w:tcW w:type="dxa" w:w="2920"/>
          </w:tcPr>
          <w:p>
            <w:pPr>
              <w:pStyle w:val="Tabletext"/>
            </w:pPr>
            <w:r>
              <w:rPr/>
              <w:t>growth toward a touch vs whole-plant shape change (26.2.27)</w:t>
            </w:r>
          </w:p>
        </w:tc>
      </w:tr>
      <w:tr>
        <w:trPr>
          <w:cantSplit/>
        </w:trPr>
        <w:tc>
          <w:tcPr>
            <w:tcW w:type="dxa" w:w="2480"/>
          </w:tcPr>
          <w:p>
            <w:pPr>
              <w:pStyle w:val="Tabletext"/>
            </w:pPr>
            <w:r>
              <w:rPr/>
              <w:t>phototropin vs phytochrome</w:t>
            </w:r>
          </w:p>
        </w:tc>
        <w:tc>
          <w:tcPr>
            <w:tcW w:type="dxa" w:w="2920"/>
          </w:tcPr>
          <w:p>
            <w:pPr>
              <w:pStyle w:val="Tabletext"/>
            </w:pPr>
            <w:r>
              <w:rPr/>
              <w:t>blue light, phototropism vs red and far-red light, photoperiod (26.2.25, 26.3.36–37)</w:t>
            </w:r>
          </w:p>
        </w:tc>
      </w:tr>
      <w:tr>
        <w:trPr>
          <w:cantSplit/>
        </w:trPr>
        <w:tc>
          <w:tcPr>
            <w:tcW w:type="dxa" w:w="2480"/>
          </w:tcPr>
          <w:p>
            <w:pPr>
              <w:pStyle w:val="Tabletext"/>
            </w:pPr>
            <w:r>
              <w:rPr/>
              <w:t>statoliths vs amyloplasts</w:t>
            </w:r>
          </w:p>
        </w:tc>
        <w:tc>
          <w:tcPr>
            <w:tcW w:type="dxa" w:w="2920"/>
          </w:tcPr>
          <w:p>
            <w:pPr>
              <w:pStyle w:val="Tabletext"/>
            </w:pPr>
            <w:r>
              <w:rPr/>
              <w:t>starch grains that settle vs the organelles holding them (26.2.29)</w:t>
            </w:r>
          </w:p>
        </w:tc>
      </w:tr>
      <w:tr>
        <w:trPr>
          <w:cantSplit/>
        </w:trPr>
        <w:tc>
          <w:tcPr>
            <w:tcW w:type="dxa" w:w="2480"/>
          </w:tcPr>
          <w:p>
            <w:pPr>
              <w:pStyle w:val="Tabletext"/>
            </w:pPr>
            <w:r>
              <w:rPr/>
              <w:t>short-day vs long-day plant</w:t>
            </w:r>
          </w:p>
        </w:tc>
        <w:tc>
          <w:tcPr>
            <w:tcW w:type="dxa" w:w="2920"/>
          </w:tcPr>
          <w:p>
            <w:pPr>
              <w:pStyle w:val="Tabletext"/>
            </w:pPr>
            <w:r>
              <w:rPr/>
              <w:t>flowers when nights are long vs short (26.3.40)</w:t>
            </w:r>
          </w:p>
        </w:tc>
      </w:tr>
      <w:tr>
        <w:trPr>
          <w:cantSplit/>
        </w:trPr>
        <w:tc>
          <w:tcPr>
            <w:tcW w:type="dxa" w:w="2480"/>
          </w:tcPr>
          <w:p>
            <w:pPr>
              <w:pStyle w:val="Tabletext"/>
            </w:pPr>
            <w:r>
              <w:rPr/>
              <w:t>photoperiodism vs circadian rhythm</w:t>
            </w:r>
          </w:p>
        </w:tc>
        <w:tc>
          <w:tcPr>
            <w:tcW w:type="dxa" w:w="2920"/>
          </w:tcPr>
          <w:p>
            <w:pPr>
              <w:pStyle w:val="Tabletext"/>
            </w:pPr>
            <w:r>
              <w:rPr/>
              <w:t>response to day or night length vs a roughly 24-hour cycle (26.3.36, 26.3.45)</w:t>
            </w:r>
          </w:p>
        </w:tc>
      </w:tr>
    </w:tbl>
    <w:p>
      <w:pPr>
        <w:pStyle w:val="Tabletext"/>
      </w:pPr>
    </w:p>
    <w:p>
      <w:pPr>
        <w:pStyle w:val="Lookupheading"/>
      </w:pPr>
      <w:bookmarkStart w:id="47" w:name="lk26LkSeq"/>
      <w:r>
        <w:rPr>
          <w:rStyle w:val="Slidecode"/>
        </w:rPr>
        <w:t>Sequences</w:t>
      </w:r>
      <w:bookmarkEnd w:id="47"/>
    </w:p>
    <w:p>
      <w:pPr>
        <w:pStyle w:val="Tabletitle"/>
      </w:pPr>
      <w:r>
        <w:rPr>
          <w:b/>
        </w:rPr>
        <w:t>Signal transduction</w:t>
      </w:r>
      <w:r>
        <w:rPr/>
        <w:t xml:space="preserve"> 26.1.4–5</w:t>
      </w:r>
    </w:p>
    <w:p>
      <w:pPr>
        <w:pStyle w:val="Entry"/>
      </w:pPr>
      <w:r>
        <w:rPr/>
        <w:t>signal (e.g. blue light) → receptor protein (plasma membrane, cytoplasm or nucleus) activated → transduction pathway: relay proteins amplify and convert the signal → cellular response, most often a change in gene expression (stem bending, root growth, defense)</w:t>
      </w:r>
    </w:p>
    <w:p>
      <w:pPr>
        <w:pStyle w:val="Tabletitle"/>
      </w:pPr>
      <w:r>
        <w:rPr>
          <w:b/>
        </w:rPr>
        <w:t>Auxin bends a stem toward light</w:t>
      </w:r>
      <w:r>
        <w:rPr/>
        <w:t xml:space="preserve"> 26.1.10–11</w:t>
      </w:r>
    </w:p>
    <w:p>
      <w:pPr>
        <w:pStyle w:val="Entry"/>
      </w:pPr>
      <w:r>
        <w:rPr/>
        <w:t>light from one side → auxin moves to the shady side → attaches to a receptor (in the nucleus, textbook) → proton pumps push H+ into the cell wall → enzymes break cellulose fibers; the wall loosens → water enters, turgor rises → the cell enlarges and rebuilds a longer wall → shady side elongates; stem bends toward the light</w:t>
      </w:r>
    </w:p>
    <w:p>
      <w:pPr>
        <w:pStyle w:val="Tabletitle"/>
      </w:pPr>
      <w:r>
        <w:rPr>
          <w:b/>
        </w:rPr>
        <w:t>Auxin experiment</w:t>
      </w:r>
      <w:r>
        <w:rPr/>
        <w:t xml:space="preserve"> 26.1.9</w:t>
      </w:r>
    </w:p>
    <w:p>
      <w:pPr>
        <w:pStyle w:val="Entry"/>
      </w:pPr>
      <w:r>
        <w:rPr/>
        <w:t>coleoptile tip (contains auxin) removed → placed on agar; auxin diffuses into it → agar block placed on one side of the cut coleoptile → it curves beneath the block</w:t>
      </w:r>
    </w:p>
    <w:p>
      <w:pPr>
        <w:pStyle w:val="Tabletitle"/>
      </w:pPr>
      <w:r>
        <w:rPr>
          <w:b/>
        </w:rPr>
        <w:t>ABA closes stomata</w:t>
      </w:r>
      <w:r>
        <w:rPr/>
        <w:t xml:space="preserve"> 26.1.19</w:t>
      </w:r>
    </w:p>
    <w:p>
      <w:pPr>
        <w:pStyle w:val="Entry"/>
      </w:pPr>
      <w:r>
        <w:rPr/>
        <w:t>ABA binds a receptor on the guard cell → Ca2+ enters (second messenger) → K+ channels open; K+ leaves → water leaves → stoma closes (textbook)</w:t>
      </w:r>
    </w:p>
    <w:p>
      <w:pPr>
        <w:pStyle w:val="Tabletitle"/>
      </w:pPr>
      <w:r>
        <w:rPr>
          <w:b/>
        </w:rPr>
        <w:t>Roots sense gravity</w:t>
      </w:r>
      <w:r>
        <w:rPr/>
        <w:t xml:space="preserve"> 26.2.29–30</w:t>
      </w:r>
    </w:p>
    <w:p>
      <w:pPr>
        <w:pStyle w:val="Entry"/>
      </w:pPr>
      <w:r>
        <w:rPr/>
        <w:t>statoliths (starch grains in amyloplasts) settle to the bottom of root-cap cells → they press on organelles, signaling down → auxin redistributes → the root grows down (a clinostat's rotation stops them settling)</w:t>
      </w:r>
    </w:p>
    <w:p>
      <w:pPr>
        <w:pStyle w:val="Tabletitle"/>
      </w:pPr>
      <w:r>
        <w:rPr>
          <w:b/>
        </w:rPr>
        <w:t>Phytochrome cycle</w:t>
      </w:r>
      <w:r>
        <w:rPr/>
        <w:t xml:space="preserve"> 26.3.37–39</w:t>
      </w:r>
    </w:p>
    <w:p>
      <w:pPr>
        <w:pStyle w:val="Entry"/>
      </w:pPr>
      <w:r>
        <w:rPr/>
        <w:t>Pr (inactive) absorbs red light in daylight → Pfr (active) → Pfr reverts (far-red light; evening, shade, night) → Pr</w:t>
      </w:r>
    </w:p>
    <w:p>
      <w:pPr>
        <w:pStyle w:val="Lookupheading"/>
      </w:pPr>
      <w:bookmarkStart w:id="48" w:name="lk26LkUses"/>
      <w:r>
        <w:rPr>
          <w:rStyle w:val="Slidecode"/>
        </w:rPr>
        <w:t>Uses</w:t>
      </w:r>
      <w:bookmarkEnd w:id="48"/>
    </w:p>
    <w:p>
      <w:pPr>
        <w:pStyle w:val="Tabletitle"/>
      </w:pPr>
      <w:r>
        <w:rPr>
          <w:b/>
        </w:rPr>
      </w:r>
      <w:r>
        <w:rPr/>
        <w:t>26.1.7, 26.1.10, 26.1.13–14, 26.1.22, 26.2.31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77"/>
        <w:gridCol w:w="3823"/>
      </w:tblGrid>
      <w:tr>
        <w:trPr>
          <w:cantSplit/>
          <w:tblHeader/>
        </w:trPr>
        <w:tc>
          <w:tcPr>
            <w:tcW w:type="dxa" w:w="1577"/>
          </w:tcPr>
          <w:p>
            <w:pPr>
              <w:pStyle w:val="Tabletext"/>
            </w:pPr>
            <w:r>
              <w:rPr>
                <w:b/>
              </w:rPr>
              <w:t>Source</w:t>
            </w:r>
          </w:p>
        </w:tc>
        <w:tc>
          <w:tcPr>
            <w:tcW w:type="dxa" w:w="3823"/>
          </w:tcPr>
          <w:p>
            <w:pPr>
              <w:pStyle w:val="Tabletext"/>
            </w:pPr>
            <w:r>
              <w:rPr>
                <w:b/>
              </w:rPr>
              <w:t>Use (and why)</w:t>
            </w:r>
          </w:p>
        </w:tc>
      </w:tr>
      <w:tr>
        <w:trPr>
          <w:cantSplit/>
        </w:trPr>
        <w:tc>
          <w:tcPr>
            <w:tcW w:type="dxa" w:w="1577"/>
          </w:tcPr>
          <w:p>
            <w:pPr>
              <w:pStyle w:val="Tabletext"/>
            </w:pPr>
            <w:r>
              <w:rPr/>
              <w:t>Synthetic auxins</w:t>
            </w:r>
          </w:p>
        </w:tc>
        <w:tc>
          <w:tcPr>
            <w:tcW w:type="dxa" w:w="3823"/>
          </w:tcPr>
          <w:p>
            <w:pPr>
              <w:pStyle w:val="Tabletext"/>
            </w:pPr>
            <w:r>
              <w:rPr/>
              <w:t>herbicides (2,4-D); fruit without pollination (26.1.7, 26.1.10)</w:t>
            </w:r>
          </w:p>
        </w:tc>
      </w:tr>
      <w:tr>
        <w:trPr>
          <w:cantSplit/>
        </w:trPr>
        <w:tc>
          <w:tcPr>
            <w:tcW w:type="dxa" w:w="1577"/>
          </w:tcPr>
          <w:p>
            <w:pPr>
              <w:pStyle w:val="Tabletext"/>
            </w:pPr>
            <w:r>
              <w:rPr/>
              <w:t>Agent Orange</w:t>
            </w:r>
          </w:p>
        </w:tc>
        <w:tc>
          <w:tcPr>
            <w:tcW w:type="dxa" w:w="3823"/>
          </w:tcPr>
          <w:p>
            <w:pPr>
              <w:pStyle w:val="Tabletext"/>
            </w:pPr>
            <w:r>
              <w:rPr/>
              <w:t>a synthetic auxin used to defoliate forests in Vietnam (26.1.10)</w:t>
            </w:r>
          </w:p>
        </w:tc>
      </w:tr>
      <w:tr>
        <w:trPr>
          <w:cantSplit/>
        </w:trPr>
        <w:tc>
          <w:tcPr>
            <w:tcW w:type="dxa" w:w="1577"/>
          </w:tcPr>
          <w:p>
            <w:pPr>
              <w:pStyle w:val="Tabletext"/>
            </w:pPr>
            <w:r>
              <w:rPr/>
              <w:t>Gibberellins</w:t>
            </w:r>
          </w:p>
        </w:tc>
        <w:tc>
          <w:tcPr>
            <w:tcW w:type="dxa" w:w="3823"/>
          </w:tcPr>
          <w:p>
            <w:pPr>
              <w:pStyle w:val="Tabletext"/>
            </w:pPr>
            <w:r>
              <w:rPr/>
              <w:t>induce crop growth; larger grapes (26.1.12–13)</w:t>
            </w:r>
          </w:p>
        </w:tc>
      </w:tr>
      <w:tr>
        <w:trPr>
          <w:cantSplit/>
        </w:trPr>
        <w:tc>
          <w:tcPr>
            <w:tcW w:type="dxa" w:w="1577"/>
          </w:tcPr>
          <w:p>
            <w:pPr>
              <w:pStyle w:val="Tabletext"/>
            </w:pPr>
            <w:r>
              <w:rPr/>
              <w:t>Cytokinins</w:t>
            </w:r>
          </w:p>
        </w:tc>
        <w:tc>
          <w:tcPr>
            <w:tcW w:type="dxa" w:w="3823"/>
          </w:tcPr>
          <w:p>
            <w:pPr>
              <w:pStyle w:val="Tabletext"/>
            </w:pPr>
            <w:r>
              <w:rPr/>
              <w:t>keep cut flowers and stored vegetables fresh (26.1.14)</w:t>
            </w:r>
          </w:p>
        </w:tc>
      </w:tr>
      <w:tr>
        <w:trPr>
          <w:cantSplit/>
        </w:trPr>
        <w:tc>
          <w:tcPr>
            <w:tcW w:type="dxa" w:w="1577"/>
          </w:tcPr>
          <w:p>
            <w:pPr>
              <w:pStyle w:val="Tabletext"/>
            </w:pPr>
            <w:r>
              <w:rPr/>
              <w:t>ABA</w:t>
            </w:r>
          </w:p>
        </w:tc>
        <w:tc>
          <w:tcPr>
            <w:tcW w:type="dxa" w:w="3823"/>
          </w:tcPr>
          <w:p>
            <w:pPr>
              <w:pStyle w:val="Tabletext"/>
            </w:pPr>
            <w:r>
              <w:rPr/>
              <w:t>thinning fruit so the rest grows larger (26.1.7)</w:t>
            </w:r>
          </w:p>
        </w:tc>
      </w:tr>
      <w:tr>
        <w:trPr>
          <w:cantSplit/>
        </w:trPr>
        <w:tc>
          <w:tcPr>
            <w:tcW w:type="dxa" w:w="1577"/>
          </w:tcPr>
          <w:p>
            <w:pPr>
              <w:pStyle w:val="Tabletext"/>
            </w:pPr>
            <w:r>
              <w:rPr/>
              <w:t>Ethylene</w:t>
            </w:r>
          </w:p>
        </w:tc>
        <w:tc>
          <w:tcPr>
            <w:tcW w:type="dxa" w:w="3823"/>
          </w:tcPr>
          <w:p>
            <w:pPr>
              <w:pStyle w:val="Tabletext"/>
            </w:pPr>
            <w:r>
              <w:rPr/>
              <w:t>ripening fruit for market; tomatoes engineered without it ship green (26.1.7, 26.1.22)</w:t>
            </w:r>
          </w:p>
        </w:tc>
      </w:tr>
      <w:tr>
        <w:trPr>
          <w:cantSplit/>
        </w:trPr>
        <w:tc>
          <w:tcPr>
            <w:tcW w:type="dxa" w:w="1577"/>
          </w:tcPr>
          <w:p>
            <w:pPr>
              <w:pStyle w:val="Tabletext"/>
            </w:pPr>
            <w:r>
              <w:rPr/>
              <w:t>Arabidopsis</w:t>
            </w:r>
          </w:p>
        </w:tc>
        <w:tc>
          <w:tcPr>
            <w:tcW w:type="dxa" w:w="3823"/>
          </w:tcPr>
          <w:p>
            <w:pPr>
              <w:pStyle w:val="Tabletext"/>
            </w:pPr>
            <w:r>
              <w:rPr/>
              <w:t>model organism for plant molecular genetics (26.2.31)</w:t>
            </w:r>
          </w:p>
        </w:tc>
      </w:tr>
    </w:tbl>
    <w:p>
      <w:pPr>
        <w:pStyle w:val="Tabletext"/>
      </w:pPr>
    </w:p>
    <w:sectPr w:rsidR="00FC693F" w:rsidRPr="0006063C" w:rsidSect="00034616">
      <w:type w:val="continuous"/>
      <w:pgSz w:w="12240" w:h="15840"/>
      <w:pgMar w:top="792" w:right="576" w:bottom="720" w:left="576" w:header="432" w:footer="360" w:gutter="0"/>
      <w:pgNumType w:start="27"/>
      <w:cols w:space="288" w:num="2" w:sep="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27</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27</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26: Flowering Plants: Control of Growth Responses</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Handwriting Final" w:hAnsi="Handwriting Final" w:cs="Handwriting Final"/>
      </w:rPr>
    </w:lvl>
    <w:lvl w:ilvl="1">
      <w:start w:val="1"/>
      <w:numFmt w:val="bullet"/>
      <w:lvlText w:val="–"/>
      <w:lvlJc w:val="left"/>
      <w:pPr>
        <w:ind w:left="356" w:hanging="172"/>
      </w:pPr>
      <w:rPr>
        <w:rFonts w:ascii="Handwriting Final" w:hAnsi="Handwriting Final" w:cs="Handwriting Final"/>
      </w:rPr>
    </w:lvl>
    <w:lvl w:ilvl="2">
      <w:start w:val="1"/>
      <w:numFmt w:val="bullet"/>
      <w:lvlText w:val="–"/>
      <w:lvlJc w:val="left"/>
      <w:pPr>
        <w:ind w:left="540" w:hanging="172"/>
      </w:pPr>
      <w:rPr>
        <w:rFonts w:ascii="Handwriting Final" w:hAnsi="Handwriting Final" w:cs="Handwriting Final"/>
      </w:rPr>
    </w:lvl>
    <w:lvl w:ilvl="3">
      <w:start w:val="1"/>
      <w:numFmt w:val="bullet"/>
      <w:lvlText w:val="–"/>
      <w:lvlJc w:val="left"/>
      <w:pPr>
        <w:ind w:left="724" w:hanging="172"/>
      </w:pPr>
      <w:rPr>
        <w:rFonts w:ascii="Handwriting Final" w:hAnsi="Handwriting Final" w:cs="Handwriting Final"/>
      </w:rPr>
    </w:lvl>
    <w:lvl w:ilvl="4">
      <w:start w:val="1"/>
      <w:numFmt w:val="bullet"/>
      <w:lvlText w:val="–"/>
      <w:lvlJc w:val="left"/>
      <w:pPr>
        <w:ind w:left="908" w:hanging="172"/>
      </w:pPr>
      <w:rPr>
        <w:rFonts w:ascii="Handwriting Final" w:hAnsi="Handwriting Final" w:cs="Handwriting Final"/>
      </w:rPr>
    </w:lvl>
    <w:lvl w:ilvl="5">
      <w:start w:val="1"/>
      <w:numFmt w:val="bullet"/>
      <w:lvlText w:val="–"/>
      <w:lvlJc w:val="left"/>
      <w:pPr>
        <w:ind w:left="1092" w:hanging="172"/>
      </w:pPr>
      <w:rPr>
        <w:rFonts w:ascii="Handwriting Final" w:hAnsi="Handwriting Final" w:cs="Handwriting Final"/>
      </w:rPr>
    </w:lvl>
    <w:lvl w:ilvl="6">
      <w:start w:val="1"/>
      <w:numFmt w:val="bullet"/>
      <w:lvlText w:val="–"/>
      <w:lvlJc w:val="left"/>
      <w:pPr>
        <w:ind w:left="1276" w:hanging="172"/>
      </w:pPr>
      <w:rPr>
        <w:rFonts w:ascii="Handwriting Final" w:hAnsi="Handwriting Final" w:cs="Handwriting Final"/>
      </w:rPr>
    </w:lvl>
    <w:lvl w:ilvl="7">
      <w:start w:val="1"/>
      <w:numFmt w:val="bullet"/>
      <w:lvlText w:val="–"/>
      <w:lvlJc w:val="left"/>
      <w:pPr>
        <w:ind w:left="1460" w:hanging="172"/>
      </w:pPr>
      <w:rPr>
        <w:rFonts w:ascii="Handwriting Final" w:hAnsi="Handwriting Final" w:cs="Handwriting Final"/>
      </w:rPr>
    </w:lvl>
    <w:lvl w:ilvl="8">
      <w:start w:val="1"/>
      <w:numFmt w:val="bullet"/>
      <w:lvlText w:val="–"/>
      <w:lvlJc w:val="left"/>
      <w:pPr>
        <w:ind w:left="1644" w:hanging="172"/>
      </w:pPr>
      <w:rPr>
        <w:rFonts w:ascii="Handwriting Final" w:hAnsi="Handwriting Final" w:cs="Handwriting Fin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Handwriting Final" w:hAnsi="Handwriting Final" w:eastAsia="Handwriting Final"/>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