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992"/>
        <w:gridCol w:w="2410"/>
        <w:gridCol w:w="2551"/>
        <w:gridCol w:w="2409"/>
      </w:tblGrid>
      <w:tr w:rsidR="000E45FB" w:rsidRPr="0030744A" w14:paraId="526EDB6F" w14:textId="0CF5EFCE" w:rsidTr="00444330">
        <w:trPr>
          <w:trHeight w:val="227"/>
          <w:jc w:val="center"/>
        </w:trPr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0AABD7" w14:textId="77777777" w:rsidR="000E45FB" w:rsidRPr="0030744A" w:rsidRDefault="000E45FB" w:rsidP="0006401C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DBDC2" w14:textId="77777777" w:rsidR="000E45FB" w:rsidRPr="0030744A" w:rsidRDefault="000E45FB" w:rsidP="0006401C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86E47" w14:textId="2C3C0161" w:rsidR="000E45FB" w:rsidRPr="0030744A" w:rsidRDefault="000E45FB" w:rsidP="0006401C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1C6B9D98" w14:textId="77F034FC" w:rsidR="000E45FB" w:rsidRPr="0030744A" w:rsidRDefault="000E45FB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DGRPool</w:t>
            </w:r>
          </w:p>
        </w:tc>
        <w:tc>
          <w:tcPr>
            <w:tcW w:w="2409" w:type="dxa"/>
            <w:vAlign w:val="center"/>
          </w:tcPr>
          <w:p w14:paraId="6789972C" w14:textId="5DA6ABD5" w:rsidR="000E45FB" w:rsidRPr="0030744A" w:rsidRDefault="000E45FB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DGRP2</w:t>
            </w:r>
          </w:p>
        </w:tc>
      </w:tr>
      <w:tr w:rsidR="000E45FB" w:rsidRPr="0030744A" w14:paraId="0614ED16" w14:textId="77777777" w:rsidTr="00444330">
        <w:trPr>
          <w:trHeight w:val="227"/>
          <w:jc w:val="center"/>
        </w:trPr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A070" w14:textId="4B3574F2" w:rsidR="000E45FB" w:rsidRPr="0030744A" w:rsidRDefault="000E45FB" w:rsidP="0006401C">
            <w:pPr>
              <w:jc w:val="center"/>
              <w:rPr>
                <w:b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lang w:val="en-US"/>
              </w:rPr>
              <w:t>REFERENCE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2FAAA89A" w14:textId="6E90D5BB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This study</w:t>
            </w:r>
          </w:p>
        </w:tc>
        <w:tc>
          <w:tcPr>
            <w:tcW w:w="2409" w:type="dxa"/>
            <w:vAlign w:val="center"/>
          </w:tcPr>
          <w:p w14:paraId="16F23989" w14:textId="77777777" w:rsidR="000E45FB" w:rsidRPr="00136B63" w:rsidRDefault="000E45FB" w:rsidP="000E45FB">
            <w:pPr>
              <w:jc w:val="center"/>
              <w:rPr>
                <w:rFonts w:ascii="Arial" w:hAnsi="Arial" w:cs="Arial"/>
                <w:sz w:val="14"/>
                <w:szCs w:val="16"/>
                <w:lang w:val="fr-CH"/>
              </w:rPr>
            </w:pPr>
            <w:r w:rsidRPr="00136B63">
              <w:rPr>
                <w:rFonts w:ascii="Arial" w:hAnsi="Arial" w:cs="Arial"/>
                <w:sz w:val="14"/>
                <w:szCs w:val="16"/>
                <w:lang w:val="fr-CH"/>
              </w:rPr>
              <w:t>(Mackay et al., 2012)</w:t>
            </w:r>
          </w:p>
          <w:p w14:paraId="4112F376" w14:textId="4E4471DB" w:rsidR="000E45FB" w:rsidRPr="00136B63" w:rsidRDefault="000E45FB" w:rsidP="000E45FB">
            <w:pPr>
              <w:jc w:val="center"/>
              <w:rPr>
                <w:rFonts w:ascii="Arial" w:hAnsi="Arial" w:cs="Arial"/>
                <w:sz w:val="14"/>
                <w:szCs w:val="16"/>
                <w:lang w:val="fr-CH"/>
              </w:rPr>
            </w:pPr>
            <w:r w:rsidRPr="00136B63">
              <w:rPr>
                <w:rFonts w:ascii="Arial" w:hAnsi="Arial" w:cs="Arial"/>
                <w:sz w:val="14"/>
                <w:szCs w:val="16"/>
                <w:lang w:val="fr-CH"/>
              </w:rPr>
              <w:t>(Huang, Massouras, et al., 2014</w:t>
            </w:r>
            <w:r w:rsidR="00444330" w:rsidRPr="00136B63">
              <w:rPr>
                <w:rFonts w:ascii="Arial" w:hAnsi="Arial" w:cs="Arial"/>
                <w:sz w:val="14"/>
                <w:szCs w:val="16"/>
                <w:lang w:val="fr-CH"/>
              </w:rPr>
              <w:t>)</w:t>
            </w:r>
          </w:p>
        </w:tc>
      </w:tr>
      <w:tr w:rsidR="000E45FB" w:rsidRPr="0030744A" w14:paraId="0EE797EA" w14:textId="237EBD7C" w:rsidTr="00444330">
        <w:trPr>
          <w:trHeight w:val="227"/>
          <w:jc w:val="center"/>
        </w:trPr>
        <w:tc>
          <w:tcPr>
            <w:tcW w:w="568" w:type="dxa"/>
            <w:vMerge w:val="restart"/>
            <w:shd w:val="clear" w:color="auto" w:fill="FFF2CC" w:themeFill="accent4" w:themeFillTint="33"/>
            <w:textDirection w:val="btLr"/>
            <w:vAlign w:val="center"/>
          </w:tcPr>
          <w:p w14:paraId="28FEE45A" w14:textId="2716DAFF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DATA</w:t>
            </w: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78ACADBF" w14:textId="57BFE5B4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DGRP lines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13926DF4" w14:textId="37BCFE15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  <w:r w:rsidR="00136B63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7390DCF7" w14:textId="2C18835D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</w:tr>
      <w:tr w:rsidR="000E45FB" w:rsidRPr="0030744A" w14:paraId="7120AA0F" w14:textId="111C069C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FF2CC" w:themeFill="accent4" w:themeFillTint="33"/>
            <w:vAlign w:val="center"/>
          </w:tcPr>
          <w:p w14:paraId="517F39E8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65BBA075" w14:textId="515B5D6B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DGRP studies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6A078809" w14:textId="5410C295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="00136B63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 (4</w:t>
            </w:r>
            <w:r w:rsidR="00136B63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 fully curated)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3DFAB1D0" w14:textId="6A39BDC6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</w:tr>
      <w:tr w:rsidR="000E45FB" w:rsidRPr="0030744A" w14:paraId="55D774EE" w14:textId="6A8C095F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FF2CC" w:themeFill="accent4" w:themeFillTint="33"/>
            <w:vAlign w:val="center"/>
          </w:tcPr>
          <w:p w14:paraId="7D0FC656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01E508B2" w14:textId="79740A4C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Phenotypes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4A8B4032" w14:textId="4684F437" w:rsidR="000E45FB" w:rsidRPr="0030744A" w:rsidRDefault="00136B63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1034 (840 unique)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5B2AAC76" w14:textId="4CD3EAA4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0E45FB" w:rsidRPr="0030744A" w14:paraId="25D14636" w14:textId="3FD5236E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FF2CC" w:themeFill="accent4" w:themeFillTint="33"/>
            <w:vAlign w:val="center"/>
          </w:tcPr>
          <w:p w14:paraId="5B9CB606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FFF2CC" w:themeFill="accent4" w:themeFillTint="33"/>
            <w:vAlign w:val="center"/>
          </w:tcPr>
          <w:p w14:paraId="5C6B3414" w14:textId="0F6B8BFC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Gene Expression data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17B9DDB4" w14:textId="6F34767E" w:rsidR="000E45FB" w:rsidRPr="0030744A" w:rsidRDefault="000E45FB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External links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507AEE39" w14:textId="56ABE467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</w:tr>
      <w:tr w:rsidR="006F7C50" w:rsidRPr="0030744A" w14:paraId="2EDACEB4" w14:textId="73F7B568" w:rsidTr="00444330">
        <w:trPr>
          <w:trHeight w:val="227"/>
          <w:jc w:val="center"/>
        </w:trPr>
        <w:tc>
          <w:tcPr>
            <w:tcW w:w="568" w:type="dxa"/>
            <w:vMerge w:val="restart"/>
            <w:shd w:val="clear" w:color="auto" w:fill="FBE4D5" w:themeFill="accent2" w:themeFillTint="33"/>
            <w:textDirection w:val="btLr"/>
            <w:vAlign w:val="center"/>
          </w:tcPr>
          <w:p w14:paraId="2843A7F3" w14:textId="691D2965" w:rsidR="006F7C50" w:rsidRPr="0030744A" w:rsidRDefault="006F7C50" w:rsidP="00702E4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TOOLS</w:t>
            </w:r>
          </w:p>
        </w:tc>
        <w:tc>
          <w:tcPr>
            <w:tcW w:w="992" w:type="dxa"/>
            <w:vMerge w:val="restart"/>
            <w:shd w:val="clear" w:color="auto" w:fill="FBE4D5" w:themeFill="accent2" w:themeFillTint="33"/>
            <w:vAlign w:val="center"/>
          </w:tcPr>
          <w:p w14:paraId="4E0D9C3F" w14:textId="6644C056" w:rsidR="006F7C50" w:rsidRPr="0030744A" w:rsidRDefault="006F7C50" w:rsidP="00702E46">
            <w:pPr>
              <w:jc w:val="center"/>
              <w:rPr>
                <w:rFonts w:ascii="Arial" w:hAnsi="Arial" w:cs="Arial"/>
                <w:b/>
                <w:bCs/>
                <w:iCs/>
                <w:sz w:val="14"/>
                <w:lang w:val="en-US"/>
              </w:rPr>
            </w:pPr>
            <w:r w:rsidRPr="0030744A">
              <w:rPr>
                <w:rFonts w:ascii="Arial" w:hAnsi="Arial" w:cs="Arial"/>
                <w:b/>
                <w:bCs/>
                <w:iCs/>
                <w:sz w:val="14"/>
                <w:lang w:val="en-US"/>
              </w:rPr>
              <w:t>GWAS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E1838A7" w14:textId="4D7C87AC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Calculated on all phenotypes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124239B5" w14:textId="14E4E5B5" w:rsidR="006F7C50" w:rsidRPr="0030744A" w:rsidRDefault="006F7C50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11ACA2D5" w14:textId="26863094" w:rsidR="006F7C50" w:rsidRPr="0030744A" w:rsidRDefault="006F7C50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6F7C50" w:rsidRPr="0030744A" w14:paraId="67B475CD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textDirection w:val="btLr"/>
            <w:vAlign w:val="center"/>
          </w:tcPr>
          <w:p w14:paraId="4A5CE8BC" w14:textId="77777777" w:rsidR="006F7C50" w:rsidRPr="0030744A" w:rsidRDefault="006F7C50" w:rsidP="00702E4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7975369C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9594691" w14:textId="3E8D7E01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User upload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20F51373" w14:textId="3D5298A8" w:rsidR="006F7C50" w:rsidRPr="0030744A" w:rsidRDefault="006F7C5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74F7F665" w14:textId="24B7495D" w:rsidR="006F7C50" w:rsidRPr="0030744A" w:rsidRDefault="006F7C5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</w:tr>
      <w:tr w:rsidR="006F7C50" w:rsidRPr="0030744A" w14:paraId="7C68D925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479A4E51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0E3161A0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05BB63FA" w14:textId="7241C6AE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Method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00F72C8A" w14:textId="69C6D063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Plink2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25745EE2" w14:textId="1A594267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FastLMM</w:t>
            </w:r>
          </w:p>
        </w:tc>
      </w:tr>
      <w:tr w:rsidR="006F7C50" w:rsidRPr="0030744A" w14:paraId="03B1A51C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7DD4F5F4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612DCBA0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DECA014" w14:textId="490B0D46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Covariates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29C604A5" w14:textId="335FE94F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  <w:t>Wolbachia</w:t>
            </w: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 + 5 Insertions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2CACFEA4" w14:textId="7CA245A4" w:rsidR="006F7C5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  <w:t>Wolbachia</w:t>
            </w: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 xml:space="preserve"> + 5 Insertions</w:t>
            </w:r>
          </w:p>
        </w:tc>
      </w:tr>
      <w:tr w:rsidR="006F7C50" w:rsidRPr="0030744A" w14:paraId="7E4D9AA5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750B5992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4F7825FB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F55F669" w14:textId="382089D8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Boxplot of REF vs ALT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2FDAE706" w14:textId="5BAEC666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7BDD9297" w14:textId="77777777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</w:p>
        </w:tc>
      </w:tr>
      <w:tr w:rsidR="006F7C50" w:rsidRPr="0030744A" w14:paraId="1BF11933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57C7C894" w14:textId="77777777" w:rsidR="006F7C50" w:rsidRPr="0030744A" w:rsidRDefault="006F7C5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2666A9E9" w14:textId="77777777" w:rsidR="006F7C50" w:rsidRPr="0030744A" w:rsidRDefault="006F7C50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B9128CF" w14:textId="082952F1" w:rsidR="006F7C50" w:rsidRPr="0030744A" w:rsidRDefault="006F7C5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8036CB">
              <w:rPr>
                <w:rFonts w:ascii="Arial" w:hAnsi="Arial" w:cs="Arial"/>
                <w:b/>
                <w:bCs/>
                <w:i/>
                <w:sz w:val="14"/>
                <w:lang w:val="en-US"/>
              </w:rPr>
              <w:t>PheWAS</w:t>
            </w:r>
            <w:r w:rsidRPr="0030744A">
              <w:rPr>
                <w:rFonts w:ascii="Arial" w:hAnsi="Arial" w:cs="Arial"/>
                <w:i/>
                <w:sz w:val="14"/>
                <w:lang w:val="en-US"/>
              </w:rPr>
              <w:t xml:space="preserve"> of top variants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1AD76CE3" w14:textId="5AFE17D3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5578F237" w14:textId="77777777" w:rsidR="006F7C50" w:rsidRPr="0030744A" w:rsidRDefault="006F7C50" w:rsidP="000E45FB">
            <w:pPr>
              <w:jc w:val="center"/>
              <w:rPr>
                <w:rFonts w:ascii="Arial" w:hAnsi="Arial" w:cs="Arial"/>
                <w:i/>
                <w:iCs/>
                <w:sz w:val="14"/>
                <w:szCs w:val="14"/>
                <w:lang w:val="en-US"/>
              </w:rPr>
            </w:pPr>
          </w:p>
        </w:tc>
      </w:tr>
      <w:tr w:rsidR="000E45FB" w:rsidRPr="0030744A" w14:paraId="285EC30A" w14:textId="77777777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1FCF0334" w14:textId="77777777" w:rsidR="000E45FB" w:rsidRPr="0030744A" w:rsidRDefault="000E45FB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 w:val="restart"/>
            <w:shd w:val="clear" w:color="auto" w:fill="FBE4D5" w:themeFill="accent2" w:themeFillTint="33"/>
            <w:vAlign w:val="center"/>
          </w:tcPr>
          <w:p w14:paraId="018C6A54" w14:textId="46874DF8" w:rsidR="000E45FB" w:rsidRPr="0030744A" w:rsidRDefault="000E45FB" w:rsidP="00702E46">
            <w:pPr>
              <w:jc w:val="center"/>
              <w:rPr>
                <w:rFonts w:ascii="Arial" w:hAnsi="Arial" w:cs="Arial"/>
                <w:b/>
                <w:bCs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b/>
                <w:bCs/>
                <w:i/>
                <w:sz w:val="14"/>
                <w:lang w:val="en-US"/>
              </w:rPr>
              <w:t>Phenotype correlation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3BAB270" w14:textId="7925334D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 xml:space="preserve">Calculated </w:t>
            </w:r>
            <w:r w:rsidR="00444330" w:rsidRPr="0030744A">
              <w:rPr>
                <w:rFonts w:ascii="Arial" w:hAnsi="Arial" w:cs="Arial"/>
                <w:i/>
                <w:sz w:val="14"/>
                <w:lang w:val="en-US"/>
              </w:rPr>
              <w:t>on all phenotypes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0C5C56A5" w14:textId="4F80C1D9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4D74B741" w14:textId="7099400A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0E45FB" w:rsidRPr="0030744A" w14:paraId="5151EF52" w14:textId="2C270F6A" w:rsidTr="00444330">
        <w:trPr>
          <w:trHeight w:val="227"/>
          <w:jc w:val="center"/>
        </w:trPr>
        <w:tc>
          <w:tcPr>
            <w:tcW w:w="568" w:type="dxa"/>
            <w:vMerge/>
            <w:shd w:val="clear" w:color="auto" w:fill="FBE4D5" w:themeFill="accent2" w:themeFillTint="33"/>
            <w:vAlign w:val="center"/>
          </w:tcPr>
          <w:p w14:paraId="715067E8" w14:textId="77777777" w:rsidR="000E45FB" w:rsidRPr="0030744A" w:rsidRDefault="000E45FB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2" w:type="dxa"/>
            <w:vMerge/>
            <w:shd w:val="clear" w:color="auto" w:fill="FBE4D5" w:themeFill="accent2" w:themeFillTint="33"/>
            <w:vAlign w:val="center"/>
          </w:tcPr>
          <w:p w14:paraId="28BA237A" w14:textId="77777777" w:rsidR="000E45FB" w:rsidRPr="0030744A" w:rsidRDefault="000E45FB" w:rsidP="00702E46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4CFAE3AD" w14:textId="712D5CCE" w:rsidR="000E45FB" w:rsidRPr="0030744A" w:rsidRDefault="000E45FB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User upload</w:t>
            </w:r>
          </w:p>
        </w:tc>
        <w:tc>
          <w:tcPr>
            <w:tcW w:w="2551" w:type="dxa"/>
            <w:shd w:val="clear" w:color="auto" w:fill="FBE4D5" w:themeFill="accent2" w:themeFillTint="33"/>
            <w:vAlign w:val="center"/>
          </w:tcPr>
          <w:p w14:paraId="4FFD384B" w14:textId="71EDF67E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406563EC" w14:textId="3CD0F41A" w:rsidR="000E45FB" w:rsidRPr="0030744A" w:rsidRDefault="000E45FB" w:rsidP="000E45FB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444330" w:rsidRPr="00136B63" w14:paraId="5A160F78" w14:textId="77777777" w:rsidTr="007A23FA">
        <w:trPr>
          <w:trHeight w:val="227"/>
          <w:jc w:val="center"/>
        </w:trPr>
        <w:tc>
          <w:tcPr>
            <w:tcW w:w="568" w:type="dxa"/>
            <w:vMerge w:val="restart"/>
            <w:shd w:val="clear" w:color="auto" w:fill="DEEAF6" w:themeFill="accent5" w:themeFillTint="33"/>
            <w:textDirection w:val="btLr"/>
            <w:vAlign w:val="center"/>
          </w:tcPr>
          <w:p w14:paraId="433ECA24" w14:textId="1E802479" w:rsidR="00444330" w:rsidRPr="0030744A" w:rsidRDefault="00444330" w:rsidP="00702E4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6"/>
                <w:lang w:val="en-US"/>
              </w:rPr>
              <w:t>WEB</w:t>
            </w: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5ADD9ED1" w14:textId="500DC81B" w:rsidR="00444330" w:rsidRPr="0030744A" w:rsidRDefault="0044433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URL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0322ACAB" w14:textId="6B736E48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https://dgrpool.epfl.ch/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6446CF72" w14:textId="4EF54F49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http://dgrp2.gnets.ncsu.edu/</w:t>
            </w:r>
          </w:p>
        </w:tc>
      </w:tr>
      <w:tr w:rsidR="00444330" w:rsidRPr="0030744A" w14:paraId="03F13340" w14:textId="77777777" w:rsidTr="00B31CA4">
        <w:trPr>
          <w:trHeight w:val="227"/>
          <w:jc w:val="center"/>
        </w:trPr>
        <w:tc>
          <w:tcPr>
            <w:tcW w:w="568" w:type="dxa"/>
            <w:vMerge/>
            <w:shd w:val="clear" w:color="auto" w:fill="DEEAF6" w:themeFill="accent5" w:themeFillTint="33"/>
            <w:vAlign w:val="center"/>
          </w:tcPr>
          <w:p w14:paraId="0942B587" w14:textId="77777777" w:rsidR="00444330" w:rsidRPr="0030744A" w:rsidRDefault="00444330" w:rsidP="00702E4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5F3AAA6C" w14:textId="27061F24" w:rsidR="00444330" w:rsidRPr="0030744A" w:rsidRDefault="0044433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Backend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68A8DBC8" w14:textId="1E3309A7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Ruby-on-rails + PostgreSQL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31046CBC" w14:textId="3FE828F4" w:rsidR="0044433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NA</w:t>
            </w:r>
          </w:p>
        </w:tc>
      </w:tr>
      <w:tr w:rsidR="00444330" w:rsidRPr="0030744A" w14:paraId="10D61491" w14:textId="77777777" w:rsidTr="00F0187E">
        <w:trPr>
          <w:trHeight w:val="227"/>
          <w:jc w:val="center"/>
        </w:trPr>
        <w:tc>
          <w:tcPr>
            <w:tcW w:w="568" w:type="dxa"/>
            <w:vMerge/>
            <w:vAlign w:val="center"/>
          </w:tcPr>
          <w:p w14:paraId="1AC87584" w14:textId="77777777" w:rsidR="00444330" w:rsidRPr="0030744A" w:rsidRDefault="00444330" w:rsidP="00702E46">
            <w:pPr>
              <w:jc w:val="center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3402" w:type="dxa"/>
            <w:gridSpan w:val="2"/>
            <w:shd w:val="clear" w:color="auto" w:fill="DEEAF6" w:themeFill="accent5" w:themeFillTint="33"/>
            <w:vAlign w:val="center"/>
          </w:tcPr>
          <w:p w14:paraId="1750FF94" w14:textId="608B759B" w:rsidR="00444330" w:rsidRPr="0030744A" w:rsidRDefault="00444330" w:rsidP="003634AD">
            <w:pPr>
              <w:rPr>
                <w:rFonts w:ascii="Arial" w:hAnsi="Arial" w:cs="Arial"/>
                <w:i/>
                <w:sz w:val="14"/>
                <w:lang w:val="en-US"/>
              </w:rPr>
            </w:pPr>
            <w:r w:rsidRPr="0030744A">
              <w:rPr>
                <w:rFonts w:ascii="Arial" w:hAnsi="Arial" w:cs="Arial"/>
                <w:i/>
                <w:sz w:val="14"/>
                <w:lang w:val="en-US"/>
              </w:rPr>
              <w:t>Frontend</w:t>
            </w:r>
          </w:p>
        </w:tc>
        <w:tc>
          <w:tcPr>
            <w:tcW w:w="2551" w:type="dxa"/>
            <w:shd w:val="clear" w:color="auto" w:fill="DEEAF6" w:themeFill="accent5" w:themeFillTint="33"/>
            <w:vAlign w:val="center"/>
          </w:tcPr>
          <w:p w14:paraId="19699434" w14:textId="4CB745D9" w:rsidR="00444330" w:rsidRPr="0030744A" w:rsidRDefault="0044433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Javascript, Plotly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026754A7" w14:textId="3C9B4A7C" w:rsidR="00444330" w:rsidRPr="0030744A" w:rsidRDefault="006F7C50" w:rsidP="000E45FB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szCs w:val="14"/>
                <w:lang w:val="en-US"/>
              </w:rPr>
              <w:t>NA</w:t>
            </w:r>
          </w:p>
        </w:tc>
      </w:tr>
      <w:tr w:rsidR="00444330" w:rsidRPr="0030744A" w14:paraId="62AF76CA" w14:textId="77777777" w:rsidTr="006D0C37">
        <w:trPr>
          <w:trHeight w:val="227"/>
          <w:jc w:val="center"/>
        </w:trPr>
        <w:tc>
          <w:tcPr>
            <w:tcW w:w="568" w:type="dxa"/>
            <w:vMerge w:val="restart"/>
            <w:textDirection w:val="btLr"/>
            <w:vAlign w:val="center"/>
          </w:tcPr>
          <w:p w14:paraId="32ECE920" w14:textId="5A590586" w:rsidR="00444330" w:rsidRPr="0030744A" w:rsidRDefault="00444330" w:rsidP="00702E46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30744A">
              <w:rPr>
                <w:rFonts w:ascii="Arial" w:hAnsi="Arial" w:cs="Arial"/>
                <w:b/>
                <w:sz w:val="14"/>
                <w:szCs w:val="16"/>
                <w:lang w:val="en-US"/>
              </w:rPr>
              <w:t>FEAT.</w:t>
            </w:r>
          </w:p>
        </w:tc>
        <w:tc>
          <w:tcPr>
            <w:tcW w:w="3402" w:type="dxa"/>
            <w:gridSpan w:val="2"/>
            <w:vAlign w:val="center"/>
          </w:tcPr>
          <w:p w14:paraId="45B8400D" w14:textId="465F8283" w:rsidR="00444330" w:rsidRPr="0030744A" w:rsidRDefault="00444330" w:rsidP="003634AD">
            <w:pPr>
              <w:rPr>
                <w:rFonts w:ascii="Arial" w:hAnsi="Arial" w:cs="Arial"/>
                <w:sz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lang w:val="en-US"/>
              </w:rPr>
              <w:t>Curation system &amp; tools</w:t>
            </w:r>
          </w:p>
        </w:tc>
        <w:tc>
          <w:tcPr>
            <w:tcW w:w="2551" w:type="dxa"/>
            <w:vAlign w:val="center"/>
          </w:tcPr>
          <w:p w14:paraId="487DFAE1" w14:textId="345B2087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vAlign w:val="center"/>
          </w:tcPr>
          <w:p w14:paraId="240E6082" w14:textId="634655C4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</w:p>
        </w:tc>
      </w:tr>
      <w:tr w:rsidR="00444330" w:rsidRPr="0030744A" w14:paraId="1BD8D434" w14:textId="77777777" w:rsidTr="00272C1A">
        <w:trPr>
          <w:trHeight w:val="227"/>
          <w:jc w:val="center"/>
        </w:trPr>
        <w:tc>
          <w:tcPr>
            <w:tcW w:w="568" w:type="dxa"/>
            <w:vMerge/>
            <w:vAlign w:val="center"/>
          </w:tcPr>
          <w:p w14:paraId="62F01CEC" w14:textId="77777777" w:rsidR="00444330" w:rsidRPr="0030744A" w:rsidRDefault="0044433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3092836B" w14:textId="40A13A44" w:rsidR="00444330" w:rsidRPr="0030744A" w:rsidRDefault="00444330" w:rsidP="003634AD">
            <w:pPr>
              <w:rPr>
                <w:rFonts w:ascii="Arial" w:hAnsi="Arial" w:cs="Arial"/>
                <w:sz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lang w:val="en-US"/>
              </w:rPr>
              <w:t>Publish new studies</w:t>
            </w:r>
          </w:p>
        </w:tc>
        <w:tc>
          <w:tcPr>
            <w:tcW w:w="2551" w:type="dxa"/>
            <w:vAlign w:val="center"/>
          </w:tcPr>
          <w:p w14:paraId="7FC8791B" w14:textId="7C4F5771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vAlign w:val="center"/>
          </w:tcPr>
          <w:p w14:paraId="48DB0DD3" w14:textId="50EF749B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</w:p>
        </w:tc>
      </w:tr>
      <w:tr w:rsidR="00444330" w:rsidRPr="0030744A" w14:paraId="44AB4284" w14:textId="77777777" w:rsidTr="00044410">
        <w:trPr>
          <w:trHeight w:val="227"/>
          <w:jc w:val="center"/>
        </w:trPr>
        <w:tc>
          <w:tcPr>
            <w:tcW w:w="568" w:type="dxa"/>
            <w:vMerge/>
            <w:vAlign w:val="center"/>
          </w:tcPr>
          <w:p w14:paraId="58335482" w14:textId="77777777" w:rsidR="00444330" w:rsidRPr="0030744A" w:rsidRDefault="00444330" w:rsidP="00702E46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402" w:type="dxa"/>
            <w:gridSpan w:val="2"/>
            <w:vAlign w:val="center"/>
          </w:tcPr>
          <w:p w14:paraId="443DF311" w14:textId="6AC0E508" w:rsidR="00444330" w:rsidRPr="0030744A" w:rsidRDefault="00444330" w:rsidP="003634AD">
            <w:pPr>
              <w:rPr>
                <w:rFonts w:ascii="Arial" w:hAnsi="Arial" w:cs="Arial"/>
                <w:sz w:val="14"/>
                <w:lang w:val="en-US"/>
              </w:rPr>
            </w:pPr>
            <w:r w:rsidRPr="0030744A">
              <w:rPr>
                <w:rFonts w:ascii="Arial" w:hAnsi="Arial" w:cs="Arial"/>
                <w:sz w:val="14"/>
                <w:lang w:val="en-US"/>
              </w:rPr>
              <w:t>Interactive plots</w:t>
            </w:r>
          </w:p>
        </w:tc>
        <w:tc>
          <w:tcPr>
            <w:tcW w:w="2551" w:type="dxa"/>
            <w:vAlign w:val="center"/>
          </w:tcPr>
          <w:p w14:paraId="17A2A5F9" w14:textId="1DE894AB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  <w:r w:rsidRPr="0030744A">
              <w:rPr>
                <w:rFonts w:ascii="Wingdings" w:hAnsi="Wingdings" w:cs="Segoe UI Symbol"/>
                <w:sz w:val="18"/>
                <w:lang w:val="en-US"/>
              </w:rPr>
              <w:t></w:t>
            </w:r>
          </w:p>
        </w:tc>
        <w:tc>
          <w:tcPr>
            <w:tcW w:w="2409" w:type="dxa"/>
            <w:vAlign w:val="center"/>
          </w:tcPr>
          <w:p w14:paraId="55C61048" w14:textId="34166C9B" w:rsidR="00444330" w:rsidRPr="0030744A" w:rsidRDefault="00444330" w:rsidP="000E45FB">
            <w:pPr>
              <w:jc w:val="center"/>
              <w:rPr>
                <w:rFonts w:ascii="Wingdings" w:hAnsi="Wingdings" w:cs="Segoe UI Symbol"/>
                <w:sz w:val="18"/>
                <w:lang w:val="en-US"/>
              </w:rPr>
            </w:pPr>
          </w:p>
        </w:tc>
      </w:tr>
    </w:tbl>
    <w:p w14:paraId="09AF603F" w14:textId="0184703C" w:rsidR="003F1733" w:rsidRPr="001262BE" w:rsidRDefault="0030744A" w:rsidP="001262BE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="ArialMT" w:hAnsi="Arial" w:cs="Arial"/>
          <w:lang w:val="en-US"/>
        </w:rPr>
      </w:pPr>
      <w:r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Table 1</w:t>
      </w:r>
      <w:r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r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Overview of state-of-the-art web portals organizing DGRP phenotyping data. </w:t>
      </w:r>
      <w:r w:rsidRPr="00BE5E17">
        <w:rPr>
          <w:rFonts w:ascii="Arial" w:hAnsi="Arial" w:cs="Arial"/>
          <w:color w:val="000000"/>
          <w:sz w:val="20"/>
          <w:szCs w:val="20"/>
          <w:lang w:val="en-US"/>
        </w:rPr>
        <w:t>This table compares different features available in DGRPool, with DGRP2, the current main resource for DGRP data.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It separates the features into 1) </w:t>
      </w:r>
      <w:r w:rsidR="003634AD"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Data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>, which summarizes the available</w:t>
      </w:r>
      <w:r w:rsidR="00BE5E17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phenotyping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dat</w:t>
      </w:r>
      <w:r w:rsidR="00BE5E17" w:rsidRPr="00BE5E17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, 2) </w:t>
      </w:r>
      <w:r w:rsidR="003634AD"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Tools</w:t>
      </w:r>
      <w:r w:rsidR="003634AD" w:rsidRPr="00BE5E17">
        <w:rPr>
          <w:rFonts w:ascii="Arial" w:hAnsi="Arial" w:cs="Arial"/>
          <w:color w:val="000000"/>
          <w:sz w:val="20"/>
          <w:szCs w:val="20"/>
          <w:lang w:val="en-US"/>
        </w:rPr>
        <w:t>, which</w:t>
      </w:r>
      <w:r w:rsidR="00BE5E17" w:rsidRPr="00BE5E17">
        <w:rPr>
          <w:rFonts w:ascii="Arial" w:hAnsi="Arial" w:cs="Arial"/>
          <w:color w:val="000000"/>
          <w:sz w:val="20"/>
          <w:szCs w:val="20"/>
          <w:lang w:val="en-US"/>
        </w:rPr>
        <w:t xml:space="preserve"> list the available tools and options, mainly GWAS, PheWAS and phenotype correlation, 3) </w:t>
      </w:r>
      <w:r w:rsidR="00BE5E17" w:rsidRPr="00BE5E17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Web</w:t>
      </w:r>
      <w:r w:rsidR="00BE5E17" w:rsidRPr="00BE5E17">
        <w:rPr>
          <w:rFonts w:ascii="Arial" w:hAnsi="Arial" w:cs="Arial"/>
          <w:sz w:val="20"/>
          <w:szCs w:val="20"/>
          <w:lang w:val="en-US"/>
        </w:rPr>
        <w:t xml:space="preserve">, which describe the website itself, and 4) </w:t>
      </w:r>
      <w:r w:rsidR="00BE5E17" w:rsidRPr="00BE5E17">
        <w:rPr>
          <w:rFonts w:ascii="Arial" w:hAnsi="Arial" w:cs="Arial"/>
          <w:b/>
          <w:bCs/>
          <w:sz w:val="20"/>
          <w:szCs w:val="20"/>
          <w:lang w:val="en-US"/>
        </w:rPr>
        <w:t>Additional features</w:t>
      </w:r>
      <w:r w:rsidR="00BE5E17" w:rsidRPr="00BE5E17">
        <w:rPr>
          <w:rFonts w:ascii="Arial" w:hAnsi="Arial" w:cs="Arial"/>
          <w:sz w:val="20"/>
          <w:szCs w:val="20"/>
          <w:lang w:val="en-US"/>
        </w:rPr>
        <w:t>, that are available in DGRPool, such as the curation system, the possibility to publish new studies and the interactive plots.</w:t>
      </w:r>
      <w:r w:rsidR="00136B63">
        <w:rPr>
          <w:rFonts w:ascii="Arial" w:hAnsi="Arial" w:cs="Arial"/>
          <w:sz w:val="20"/>
          <w:szCs w:val="20"/>
          <w:lang w:val="en-US"/>
        </w:rPr>
        <w:t xml:space="preserve"> Of note, the “unique phenotypes” term describes the number of phenotypes regardless of the sex, while the total number counts the same phenotype separately for different sexes.</w:t>
      </w:r>
      <w:r w:rsidR="00E24872" w:rsidRPr="0030744A">
        <w:rPr>
          <w:rFonts w:ascii="Arial" w:hAnsi="Arial" w:cs="Arial"/>
          <w:noProof/>
          <w:sz w:val="20"/>
          <w:lang w:val="en-US"/>
        </w:rPr>
        <w:fldChar w:fldCharType="begin"/>
      </w:r>
      <w:r w:rsidR="00E24872" w:rsidRPr="0030744A">
        <w:rPr>
          <w:rFonts w:ascii="Arial" w:hAnsi="Arial" w:cs="Arial"/>
          <w:sz w:val="20"/>
          <w:lang w:val="en-US"/>
        </w:rPr>
        <w:instrText xml:space="preserve"> ADDIN EN.REFLIST </w:instrText>
      </w:r>
      <w:r w:rsidR="00E24872" w:rsidRPr="0030744A">
        <w:rPr>
          <w:rFonts w:ascii="Arial" w:hAnsi="Arial" w:cs="Arial"/>
          <w:noProof/>
          <w:sz w:val="20"/>
          <w:lang w:val="en-US"/>
        </w:rPr>
        <w:fldChar w:fldCharType="end"/>
      </w:r>
    </w:p>
    <w:sectPr w:rsidR="003F1733" w:rsidRPr="00126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731F4D"/>
    <w:rsid w:val="0006401C"/>
    <w:rsid w:val="000B49BE"/>
    <w:rsid w:val="000D3B4A"/>
    <w:rsid w:val="000E45FB"/>
    <w:rsid w:val="001262BE"/>
    <w:rsid w:val="00136B63"/>
    <w:rsid w:val="00153199"/>
    <w:rsid w:val="002422A0"/>
    <w:rsid w:val="00271C16"/>
    <w:rsid w:val="002A79A4"/>
    <w:rsid w:val="002B5888"/>
    <w:rsid w:val="002B7221"/>
    <w:rsid w:val="002D4E4D"/>
    <w:rsid w:val="0030744A"/>
    <w:rsid w:val="003634AD"/>
    <w:rsid w:val="003F1733"/>
    <w:rsid w:val="00404FA8"/>
    <w:rsid w:val="004159B1"/>
    <w:rsid w:val="00444330"/>
    <w:rsid w:val="0049160A"/>
    <w:rsid w:val="004A73BF"/>
    <w:rsid w:val="004E2F6C"/>
    <w:rsid w:val="00566C08"/>
    <w:rsid w:val="00571928"/>
    <w:rsid w:val="00661C9A"/>
    <w:rsid w:val="006B6D2F"/>
    <w:rsid w:val="006F7C50"/>
    <w:rsid w:val="00702E46"/>
    <w:rsid w:val="00731F4D"/>
    <w:rsid w:val="00754ADB"/>
    <w:rsid w:val="00787585"/>
    <w:rsid w:val="007977FE"/>
    <w:rsid w:val="007B1C3C"/>
    <w:rsid w:val="007B74EF"/>
    <w:rsid w:val="00801418"/>
    <w:rsid w:val="008036CB"/>
    <w:rsid w:val="00827CE5"/>
    <w:rsid w:val="00844D31"/>
    <w:rsid w:val="008A6429"/>
    <w:rsid w:val="008B7DFA"/>
    <w:rsid w:val="008C7375"/>
    <w:rsid w:val="008D10F2"/>
    <w:rsid w:val="008D25FE"/>
    <w:rsid w:val="008F2594"/>
    <w:rsid w:val="008F5FAA"/>
    <w:rsid w:val="009120D9"/>
    <w:rsid w:val="00985014"/>
    <w:rsid w:val="0098599D"/>
    <w:rsid w:val="009938B0"/>
    <w:rsid w:val="009F7D67"/>
    <w:rsid w:val="00A434EC"/>
    <w:rsid w:val="00AC44F4"/>
    <w:rsid w:val="00AE0BE1"/>
    <w:rsid w:val="00AE6083"/>
    <w:rsid w:val="00AF5873"/>
    <w:rsid w:val="00BE5E17"/>
    <w:rsid w:val="00C118FC"/>
    <w:rsid w:val="00C31D1B"/>
    <w:rsid w:val="00C7648D"/>
    <w:rsid w:val="00C809C0"/>
    <w:rsid w:val="00CC0E3B"/>
    <w:rsid w:val="00CE32B0"/>
    <w:rsid w:val="00D31B29"/>
    <w:rsid w:val="00DC0AA8"/>
    <w:rsid w:val="00E24872"/>
    <w:rsid w:val="00E61554"/>
    <w:rsid w:val="00E82C08"/>
    <w:rsid w:val="00EC270A"/>
    <w:rsid w:val="00EC6263"/>
    <w:rsid w:val="00F119BF"/>
    <w:rsid w:val="00F33C49"/>
    <w:rsid w:val="00F43220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99F5"/>
  <w15:chartTrackingRefBased/>
  <w15:docId w15:val="{FFFA16A6-30F8-4421-891E-B2E7B37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ar"/>
    <w:rsid w:val="00E2487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DefaultParagraphFont"/>
    <w:link w:val="EndNoteBibliographyTitle"/>
    <w:rsid w:val="00E2487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E2487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DefaultParagraphFont"/>
    <w:link w:val="EndNoteBibliography"/>
    <w:rsid w:val="00E24872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F2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9B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5F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F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F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Gardeux</dc:creator>
  <cp:keywords/>
  <dc:description/>
  <cp:lastModifiedBy>Gardeux Vincent Roland Julien</cp:lastModifiedBy>
  <cp:revision>45</cp:revision>
  <cp:lastPrinted>2023-04-05T13:12:00Z</cp:lastPrinted>
  <dcterms:created xsi:type="dcterms:W3CDTF">2020-04-03T10:15:00Z</dcterms:created>
  <dcterms:modified xsi:type="dcterms:W3CDTF">2024-07-17T13:08:00Z</dcterms:modified>
</cp:coreProperties>
</file>