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60"/>
        <w:jc w:val="center"/>
      </w:pPr>
      <w:r>
        <w:rPr>
          <w:rFonts w:ascii="Arial" w:cs="Arial" w:eastAsia="Arial" w:hAnsi="Arial"/>
          <w:b/>
          <w:bCs/>
          <w:i w:val="false"/>
          <w:iCs w:val="false"/>
          <w:color w:val="0A0F1E"/>
          <w:sz w:val="64"/>
          <w:szCs w:val="64"/>
        </w:rPr>
        <w:t xml:space="preserve">USD1</w:t>
      </w:r>
    </w:p>
    <w:p>
      <w:pPr>
        <w:pBdr>
          <w:bottom w:val="single" w:color="2563EB" w:sz="6" w:space="10"/>
        </w:pBdr>
        <w:spacing w:before="0" w:after="60"/>
        <w:jc w:val="center"/>
      </w:pPr>
      <w:r>
        <w:rPr>
          <w:rFonts w:ascii="Arial" w:cs="Arial" w:eastAsia="Arial" w:hAnsi="Arial"/>
          <w:b/>
          <w:bCs/>
          <w:i w:val="false"/>
          <w:iCs w:val="false"/>
          <w:color w:val="2563EB"/>
          <w:sz w:val="28"/>
          <w:szCs w:val="28"/>
        </w:rPr>
        <w:t xml:space="preserve">Pillar 2 — G42 &amp; AI Infrastructure Distribution</w:t>
      </w:r>
    </w:p>
    <w:p>
      <w:pPr>
        <w:spacing w:before="200" w:after="0"/>
      </w:pPr>
      <w:r>
        <w:t xml:space="preserve"/>
      </w:r>
    </w:p>
    <w:p>
      <w:pPr>
        <w:spacing w:before="0" w:after="80"/>
        <w:jc w:val="center"/>
      </w:pPr>
      <w:r>
        <w:rPr>
          <w:rFonts w:ascii="Arial" w:cs="Arial" w:eastAsia="Arial" w:hAnsi="Arial"/>
          <w:b w:val="false"/>
          <w:bCs w:val="false"/>
          <w:i/>
          <w:iCs/>
          <w:color w:val="1A3C8F"/>
          <w:sz w:val="24"/>
          <w:szCs w:val="24"/>
        </w:rPr>
        <w:t xml:space="preserve">Business Development &amp; Partnership Execution Roadmap</w:t>
      </w:r>
    </w:p>
    <w:p>
      <w:pPr>
        <w:spacing w:before="400" w:after="0"/>
      </w:pPr>
      <w:r>
        <w:t xml:space="preserve"/>
      </w:r>
    </w:p>
    <w:p>
      <w:pPr>
        <w:spacing w:before="0" w:after="60"/>
        <w:jc w:val="center"/>
      </w:pPr>
      <w:r>
        <w:rPr>
          <w:rFonts w:ascii="Arial" w:cs="Arial" w:eastAsia="Arial" w:hAnsi="Arial"/>
          <w:b w:val="false"/>
          <w:bCs w:val="false"/>
          <w:i w:val="false"/>
          <w:iCs w:val="false"/>
          <w:color w:val="0A0F1E"/>
          <w:sz w:val="20"/>
          <w:szCs w:val="20"/>
        </w:rPr>
        <w:t xml:space="preserve">World Liberty Financial — Business Development &amp; Leadership</w:t>
      </w:r>
    </w:p>
    <w:p>
      <w:pPr>
        <w:jc w:val="center"/>
      </w:pPr>
      <w:r>
        <w:rPr>
          <w:rFonts w:ascii="Arial" w:cs="Arial" w:eastAsia="Arial" w:hAnsi="Arial"/>
          <w:b w:val="false"/>
          <w:bCs w:val="false"/>
          <w:i/>
          <w:iCs/>
          <w:color w:val="64748B"/>
          <w:sz w:val="18"/>
          <w:szCs w:val="18"/>
        </w:rPr>
        <w:t xml:space="preserve">Draft for BD &amp; Leadership Review — March 2026</w:t>
      </w:r>
    </w:p>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How to Use This Document</w:t>
      </w:r>
    </w:p>
    <w:p>
      <w:pPr>
        <w:spacing w:before="60" w:after="100"/>
      </w:pPr>
      <w:r>
        <w:rPr>
          <w:rFonts w:ascii="Arial" w:cs="Arial" w:eastAsia="Arial" w:hAnsi="Arial"/>
          <w:b w:val="false"/>
          <w:bCs w:val="false"/>
          <w:i w:val="false"/>
          <w:iCs w:val="false"/>
          <w:color w:val="0A0F1E"/>
          <w:sz w:val="20"/>
          <w:szCs w:val="20"/>
        </w:rPr>
        <w:t xml:space="preserve">This document is the business development and partnership execution layer for Pillar 2 of the USD1 Strategic Dominance Roadmap, which has been reviewed and aligned by the WLFI leadership team. It is designed specifically for the BD team and the leadership who manage the G42 investor relationship directly.</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This document is a draft for your review. You are closest to the G42 relationship, the corridor dynamics, and the actual state of partnership conversations. Before this becomes a binding execution plan, we need you to validate the approach, flag anything that does not match the reality of those relationships, and confirm or adjust timelines based on what is actually achievable.</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What This Document Does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Maps every distribution layer of the agentic economy that G42 touches — and defines the specific USD1 integration ask for each layer</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Structures the G42 relationship as a tiered engagement strategy, not a single conversation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Provides corridor-specific partnership frameworks for the Southeast Asia and Middle East geographies where G42 has deployed infrastructure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Defines the direct relationship strategy that must run in parallel with G42 — so USD1 owns the relationship after G42 opens the door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Section</w:t>
            </w:r>
          </w:p>
        </w:tc>
        <w:tc>
          <w:tcPr>
            <w:tcW w:type="dxa" w:w="7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Content</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2</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Strategic context — the G42 leverage point and what it actually unlocks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3</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Agentic Distribution Map — every layer G42 touches and the USD1 ask at each</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2.1  Sovereign AI Deployment Integration — compute billing layer strategy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5</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2.2  AI Lab &amp; Developer Ecosystem — how to move from G42 intro to signed partnership</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6</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2.3  Geographic Corridor Activation — SE Asia &amp; Middle East playbook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7</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2.4  Direct Relationship Strategy — building beyond G42 dependency</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8</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Dependency map and risk flags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9</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Master delivery tracker — all workstreams, owners, timelines</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10</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Review instructions — questions needing BD team input before finalization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2 — Strategic Context: The G42 Leverage Point</w:t>
      </w:r>
    </w:p>
    <w:p>
      <w:pPr>
        <w:pStyle w:val="Heading2"/>
        <w:spacing w:before="320" w:after="120"/>
      </w:pPr>
      <w:r>
        <w:rPr>
          <w:rFonts w:ascii="Arial" w:cs="Arial" w:eastAsia="Arial" w:hAnsi="Arial"/>
          <w:b/>
          <w:bCs/>
          <w:i w:val="false"/>
          <w:iCs w:val="false"/>
          <w:color w:val="1A3C8F"/>
          <w:sz w:val="26"/>
          <w:szCs w:val="26"/>
        </w:rPr>
        <w:t xml:space="preserve">2.1  What G42 Actually Is</w:t>
      </w:r>
    </w:p>
    <w:p>
      <w:pPr>
        <w:spacing w:before="60" w:after="100"/>
      </w:pPr>
      <w:r>
        <w:rPr>
          <w:rFonts w:ascii="Arial" w:cs="Arial" w:eastAsia="Arial" w:hAnsi="Arial"/>
          <w:b w:val="false"/>
          <w:bCs w:val="false"/>
          <w:i w:val="false"/>
          <w:iCs w:val="false"/>
          <w:color w:val="0A0F1E"/>
          <w:sz w:val="20"/>
          <w:szCs w:val="20"/>
        </w:rPr>
        <w:t xml:space="preserve">G42 is not a traditional financial investor in WLFI. It is the world's largest AI and data center infrastructure company, with sovereign-backed deployments across the UAE, Saudi Arabia, Egypt, Pakistan, Malaysia, and broader Asia. G42 does not just invest in AI — it builds and operates the physical layer that AI runs on: the data centers, the chip allocations, the cloud platforms, and the developer ecosystems that sit on top of them.</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This means G42's investment in WLFI is a distribution relationship, not just a capital relationship. G42 touches every layer of the agentic economy stack where USD1 needs to be embedded: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G42 Asset</w:t>
            </w:r>
          </w:p>
        </w:tc>
        <w:tc>
          <w:tcPr>
            <w:tcW w:type="dxa" w:w="3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What It Controls</w:t>
            </w:r>
          </w:p>
        </w:tc>
        <w:tc>
          <w:tcPr>
            <w:tcW w:type="dxa" w:w="32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USD1 Opportunity</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Sovereign AI deployments</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AI infrastructure in UAE, KSA, EG, PK, MY — running national AI platforms and models</w:t>
            </w:r>
          </w:p>
        </w:tc>
        <w:tc>
          <w:tcPr>
            <w:tcW w:type="dxa" w:w="3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Default payment layer for AI service billing across all deployments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Data center network</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Physical compute layer — where workloads run, where API calls originate, where developers build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as the currency for compute credits and API access fees</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NVIDIA chip allocation</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Access to GPU compute — G42 is a major NVIDIA partner, controls chip access for partners</w:t>
            </w:r>
          </w:p>
        </w:tc>
        <w:tc>
          <w:tcPr>
            <w:tcW w:type="dxa" w:w="3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Pipeline to AI labs dependent on G42 for compute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AI lab portfolio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Investments and partnerships across the organizations building next-gen agent systems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Direct introduction pathway to the developers building agents that need a payment layer</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Government relationships</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Trusted infrastructure partner to sovereign entities across MENA and Asia</w:t>
            </w:r>
          </w:p>
        </w:tc>
        <w:tc>
          <w:tcPr>
            <w:tcW w:type="dxa" w:w="3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Credibility pathway for USD1 sovereign adoption and MOU discussions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2.2  Why No Competitor Can Replicate This</w:t>
      </w:r>
    </w:p>
    <w:p>
      <w:pPr>
        <w:spacing w:before="60" w:after="100"/>
      </w:pPr>
      <w:r>
        <w:rPr>
          <w:rFonts w:ascii="Arial" w:cs="Arial" w:eastAsia="Arial" w:hAnsi="Arial"/>
          <w:b w:val="false"/>
          <w:bCs w:val="false"/>
          <w:i w:val="false"/>
          <w:iCs w:val="false"/>
          <w:color w:val="0A0F1E"/>
          <w:sz w:val="20"/>
          <w:szCs w:val="20"/>
        </w:rPr>
        <w:t xml:space="preserve">Circle is building Arc and Gateway and investing heavily in developer toolchain embedding. They have $770M in annual revenue and three years of institutional relationships. What they do not have is a sovereign-backed distribution partner with physical AI infrastructure across the exact geographies where the next billion people will enter the digital economy.</w:t>
      </w:r>
    </w:p>
    <w:p>
      <w:pPr>
        <w:spacing w:before="80" w:after="0"/>
      </w:pPr>
      <w:r>
        <w:t xml:space="preserve"/>
      </w:r>
    </w:p>
    <w:p>
      <w:pPr>
        <w:pBdr>
          <w:left w:val="single" w:color="0F766E" w:sz="16" w:space="14"/>
        </w:pBdr>
        <w:shd w:fill="F0FDFA" w:val="clear"/>
        <w:spacing w:before="140" w:after="140"/>
        <w:ind w:left="240"/>
      </w:pPr>
      <w:r>
        <w:rPr>
          <w:rFonts w:ascii="Arial" w:cs="Arial" w:eastAsia="Arial" w:hAnsi="Arial"/>
          <w:b w:val="false"/>
          <w:bCs w:val="false"/>
          <w:i/>
          <w:iCs/>
          <w:color w:val="0A0F1E"/>
          <w:sz w:val="20"/>
          <w:szCs w:val="20"/>
        </w:rPr>
        <w:t xml:space="preserve">The G42 relationship is not a marketing advantage. It is a distribution moat. USD1 can be embedded at the infrastructure layer — in the compute billing systems, developer onboarding flows, and payment rails of sovereign AI platforms — in a way that Circle cannot replicate regardless of product quality or marketing spend.</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2.3  The Strategic Risk to Manage</w:t>
      </w:r>
    </w:p>
    <w:p>
      <w:pPr>
        <w:spacing w:before="60" w:after="100"/>
      </w:pPr>
      <w:r>
        <w:rPr>
          <w:rFonts w:ascii="Arial" w:cs="Arial" w:eastAsia="Arial" w:hAnsi="Arial"/>
          <w:b w:val="false"/>
          <w:bCs w:val="false"/>
          <w:i w:val="false"/>
          <w:iCs w:val="false"/>
          <w:color w:val="0A0F1E"/>
          <w:sz w:val="20"/>
          <w:szCs w:val="20"/>
        </w:rPr>
        <w:t xml:space="preserve">The G42 relationship is also a concentration risk. G42 faces U.S. regulatory scrutiny on technology transfer concerns. The distribution advantage that G42 provides could become a liability if that scrutiny intensifies. The mitigation is clear but requires deliberate execution: G42 opens the door to every AI lab, sovereign entity, and regional fintech in its network. WLFI must own the direct relationship after G42 makes the introduction. We are using G42 as an access mechanism, not a dependency.</w:t>
      </w:r>
    </w:p>
    <w:p>
      <w:pPr>
        <w:spacing w:before="80" w:after="0"/>
      </w:pPr>
      <w:r>
        <w:t xml:space="preserve"/>
      </w:r>
    </w:p>
    <w:p>
      <w:pPr>
        <w:pBdr>
          <w:left w:val="single" w:color="92400E" w:sz="16" w:space="14"/>
        </w:pBdr>
        <w:shd w:fill="FFFBEB" w:val="clear"/>
        <w:spacing w:before="140" w:after="140"/>
        <w:ind w:left="240"/>
      </w:pPr>
      <w:r>
        <w:rPr>
          <w:rFonts w:ascii="Arial" w:cs="Arial" w:eastAsia="Arial" w:hAnsi="Arial"/>
          <w:b w:val="false"/>
          <w:bCs w:val="false"/>
          <w:i/>
          <w:iCs/>
          <w:color w:val="0A0F1E"/>
          <w:sz w:val="20"/>
          <w:szCs w:val="20"/>
        </w:rPr>
        <w:t xml:space="preserve">Every partnership conversation that G42 initiates on USD1's behalf must result in a direct WLFI relationship that does not require G42 to maintain. If G42's distribution advantage were removed tomorrow, the relationships built through it should remain intact.</w:t>
      </w:r>
    </w:p>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3 — The Agentic Distribution Map</w:t>
      </w:r>
    </w:p>
    <w:p>
      <w:pPr>
        <w:spacing w:before="60" w:after="100"/>
      </w:pPr>
      <w:r>
        <w:rPr>
          <w:rFonts w:ascii="Arial" w:cs="Arial" w:eastAsia="Arial" w:hAnsi="Arial"/>
          <w:b w:val="false"/>
          <w:bCs w:val="false"/>
          <w:i w:val="false"/>
          <w:iCs w:val="false"/>
          <w:color w:val="0A0F1E"/>
          <w:sz w:val="20"/>
          <w:szCs w:val="20"/>
        </w:rPr>
        <w:t xml:space="preserve">Before defining the partnership playbook, it is important to map the specific distribution layers where USD1 needs to be embedded. G42 provides access to all of them. The question for each layer is: what is the specific integration, who is the decision-maker, and what does USD1 need to offer to make the integration happen?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Distribution Layer</w:t>
            </w:r>
          </w:p>
        </w:tc>
        <w:tc>
          <w:tcPr>
            <w:tcW w:type="dxa" w:w="22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G42 Access Vector</w:t>
            </w:r>
          </w:p>
        </w:tc>
        <w:tc>
          <w:tcPr>
            <w:tcW w:type="dxa" w:w="2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USD1 Integration Ask</w:t>
            </w:r>
          </w:p>
        </w:tc>
        <w:tc>
          <w:tcPr>
            <w:tcW w:type="dxa" w:w="2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Decision-Maker Profile</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Compute billing layer</w:t>
            </w:r>
          </w:p>
        </w:tc>
        <w:tc>
          <w:tcPr>
            <w:tcW w:type="dxa" w:w="2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operates the data centers; controls billing infrastructure</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as the default currency for AI compute credits, API access fees, and model usage billing</w:t>
            </w:r>
          </w:p>
        </w:tc>
        <w:tc>
          <w:tcPr>
            <w:tcW w:type="dxa" w:w="2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CTO / Infrastructure team + sovereign platform owners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Developer onboarding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AI platforms onboard developers building on their infrastructure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wallet auto-created at developer sign-up; USD1 credited as compute bonus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Developer Platform / Product team</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AI lab billing</w:t>
            </w:r>
          </w:p>
        </w:tc>
        <w:tc>
          <w:tcPr>
            <w:tcW w:type="dxa" w:w="2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invests in / provides compute to AI labs in its network</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as default currency for agent service billing between AI labs and their customers</w:t>
            </w:r>
          </w:p>
        </w:tc>
        <w:tc>
          <w:tcPr>
            <w:tcW w:type="dxa" w:w="2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AI lab CFO / Head of Platform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Cross-border AI service payments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deploys AI in corridors with cross-border payment friction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as settlement currency for invoiced AI services between entities in different countries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Regional fintech / corporate treasury contacts in each corridor</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Sovereign AI fund treasury</w:t>
            </w:r>
          </w:p>
        </w:tc>
        <w:tc>
          <w:tcPr>
            <w:tcW w:type="dxa" w:w="2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advises sovereign AI funds and national technology initiatives</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as GENIUS-compliant reserve asset and disbursement currency for sovereign AI programs</w:t>
            </w:r>
          </w:p>
        </w:tc>
        <w:tc>
          <w:tcPr>
            <w:tcW w:type="dxa" w:w="2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Sovereign wealth fund managers, ministry-level technology officers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Agent marketplace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portfolio companies are building agent marketplaces and skill platforms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as the default billing currency for agent-to-agent transactions in G42-adjacent marketplaces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Agent platform founders / G42 portfolio company CTOs</w:t>
            </w:r>
          </w:p>
        </w:tc>
      </w:tr>
    </w:tbl>
    <w:p>
      <w:pPr>
        <w:spacing w:before="120" w:after="0"/>
      </w:pPr>
      <w:r>
        <w:t xml:space="preserve"/>
      </w:r>
    </w:p>
    <w:p>
      <w:pPr>
        <w:pBdr>
          <w:left w:val="single" w:color="0F766E" w:sz="16" w:space="14"/>
        </w:pBdr>
        <w:shd w:fill="F0FDFA" w:val="clear"/>
        <w:spacing w:before="140" w:after="140"/>
        <w:ind w:left="240"/>
      </w:pPr>
      <w:r>
        <w:rPr>
          <w:rFonts w:ascii="Arial" w:cs="Arial" w:eastAsia="Arial" w:hAnsi="Arial"/>
          <w:b w:val="false"/>
          <w:bCs w:val="false"/>
          <w:i/>
          <w:iCs/>
          <w:color w:val="0A0F1E"/>
          <w:sz w:val="20"/>
          <w:szCs w:val="20"/>
        </w:rPr>
        <w:t xml:space="preserve">The most valuable integration is the compute billing layer — it is the highest-volume, most durable, and most defensible. If USD1 becomes the currency in which G42 data center customers pay for AI compute, every AI workload running on G42 infrastructure generates USD1 transaction volume automatically, without any further BD effort.</w:t>
      </w:r>
    </w:p>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4 — Workstream 2.1: Sovereign AI Deployment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Status</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PRIORITY — first G42 meeting to be scheduled immediately</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Timeline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Initial meeting: 0-14 days. Integration framework: 30-60 days. First live deployment: 90-120 days.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G42 Contact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[NEEDS BD INPUT] — identify the correct G42 counterpart for a compute billing conversation</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4.1  The Core Proposition to G42</w:t>
      </w:r>
    </w:p>
    <w:p>
      <w:pPr>
        <w:spacing w:before="60" w:after="100"/>
      </w:pPr>
      <w:r>
        <w:rPr>
          <w:rFonts w:ascii="Arial" w:cs="Arial" w:eastAsia="Arial" w:hAnsi="Arial"/>
          <w:b w:val="false"/>
          <w:bCs w:val="false"/>
          <w:i w:val="false"/>
          <w:iCs w:val="false"/>
          <w:color w:val="0A0F1E"/>
          <w:sz w:val="20"/>
          <w:szCs w:val="20"/>
        </w:rPr>
        <w:t xml:space="preserve">The conversation with G42 is not a sales pitch. It is a joint infrastructure conversation between two entities that share an investor relationship and a common interest in building the financial layer of the AI economy. The framing matters enormously.</w:t>
      </w:r>
    </w:p>
    <w:p>
      <w:pPr>
        <w:spacing w:before="80" w:after="0"/>
      </w:pPr>
      <w:r>
        <w:t xml:space="preserve"/>
      </w:r>
    </w:p>
    <w:p>
      <w:pPr>
        <w:pBdr>
          <w:left w:val="single" w:color="2563EB" w:sz="16" w:space="14"/>
        </w:pBdr>
        <w:shd w:fill="EEF2FF" w:val="clear"/>
        <w:spacing w:before="140" w:after="140"/>
        <w:ind w:left="240"/>
      </w:pPr>
      <w:r>
        <w:rPr>
          <w:rFonts w:ascii="Arial" w:cs="Arial" w:eastAsia="Arial" w:hAnsi="Arial"/>
          <w:b w:val="false"/>
          <w:bCs w:val="false"/>
          <w:i/>
          <w:iCs/>
          <w:color w:val="0A0F1E"/>
          <w:sz w:val="20"/>
          <w:szCs w:val="20"/>
        </w:rPr>
        <w:t xml:space="preserve">The ask to G42 is not: 'help us promote USD1.' The ask is: 'Every AI workload you deploy needs a payment layer. Right now that layer defaults to traditional payment rails or USDC by accident. Let USD1 be that layer by design. We will build the integration once. You deploy it at scale across your entire infrastructure network.'</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4.2  Meeting Preparation: The G42 Compute Billing Conversation</w:t>
      </w:r>
    </w:p>
    <w:p>
      <w:pPr>
        <w:pStyle w:val="Heading3"/>
        <w:spacing w:before="240" w:after="80"/>
      </w:pPr>
      <w:r>
        <w:rPr>
          <w:rFonts w:ascii="Arial" w:cs="Arial" w:eastAsia="Arial" w:hAnsi="Arial"/>
          <w:b/>
          <w:bCs/>
          <w:i w:val="false"/>
          <w:iCs w:val="false"/>
          <w:color w:val="2563EB"/>
          <w:sz w:val="22"/>
          <w:szCs w:val="22"/>
        </w:rPr>
        <w:t xml:space="preserve">4.2.1  What to Bring</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USD1 Pillar 1 Technical Execution Roadmap (the companion document to this one) — specifically the SDK and EIP-3009 sections that show G42 what USD1's agent-native infrastructure looks like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 one-page integration brief showing exactly how USD1 sits in the billing flow: developer requests compute → G42 invoices in USD1 → developer's agent wallet pays automatically via EIP-3009 pull payment → G42 receives settlement in USD1</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USD1 chain coverage: ETH, BSC, SOL live, Monad in 2 weeks, EIP-3009 on mainnet in 30 days — this answers the technical feasibility question before it is asked</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Real-time proof of reserves API: G42 and any sovereign partner can verify USD1 backing programmatically at any time — this addresses the institutional trust question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OCC Limited Trust Charter application status — conditional approval expected May 2026 — this addresses the regulatory legitimacy question</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4.2.2  The Three Questions G42 Will Ask</w:t>
      </w:r>
    </w:p>
    <w:p>
      <w:pPr>
        <w:spacing w:before="60" w:after="100"/>
      </w:pPr>
      <w:r>
        <w:rPr>
          <w:rFonts w:ascii="Arial" w:cs="Arial" w:eastAsia="Arial" w:hAnsi="Arial"/>
          <w:b w:val="false"/>
          <w:bCs w:val="false"/>
          <w:i w:val="false"/>
          <w:iCs w:val="false"/>
          <w:color w:val="0A0F1E"/>
          <w:sz w:val="20"/>
          <w:szCs w:val="20"/>
        </w:rPr>
        <w:t xml:space="preserve">Every infrastructure partnership conversation reaches three gates. Prepare answers before walking 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Question</w:t>
            </w:r>
          </w:p>
        </w:tc>
        <w:tc>
          <w:tcPr>
            <w:tcW w:type="dxa" w:w="61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USD1 Answer</w:t>
            </w:r>
          </w:p>
        </w:tc>
      </w:tr>
      <w:tr>
        <w:tc>
          <w:tcPr>
            <w:tcW w:type="dxa" w:w="3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'Is USD1 technically capable of handling our billing volumes?'</w:t>
            </w:r>
          </w:p>
        </w:tc>
        <w:tc>
          <w:tcPr>
            <w:tcW w:type="dxa" w:w="6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Yes. USD1 is natively deployed on ETH, BSC, and SOL. Monad deployment (built for high-throughput AI transaction volumes) is live in 2 weeks. EIP-3009 enables gasless automated billing — agents pay without human approval loops. SDK launches imminently for direct developer integration.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'Is USD1 regulated enough for us to use in sovereign deployments?'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Limited Trust Charter conditional approval expected May 2026. EU MiCA licensing in process. GENIUS Act compliant. Real-time on-chain proof of reserves. These are not future goals — they are in-progress credentials with known timelines.</w:t>
            </w:r>
          </w:p>
        </w:tc>
      </w:tr>
      <w:tr>
        <w:tc>
          <w:tcPr>
            <w:tcW w:type="dxa" w:w="3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does the integration actually require from our side?'</w:t>
            </w:r>
          </w:p>
        </w:tc>
        <w:tc>
          <w:tcPr>
            <w:tcW w:type="dxa" w:w="6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One integration: USD1 SDK deployed in G42's billing infrastructure. After that, every developer onboarding to G42's platform gets a USD1 wallet automatically. We handle the stablecoin infrastructure; G42 handles the billing UI. The integration is additive — it does not require replacing existing payment systems.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4.3  The Integration Architecture</w:t>
      </w:r>
    </w:p>
    <w:p>
      <w:pPr>
        <w:spacing w:before="60" w:after="100"/>
      </w:pPr>
      <w:r>
        <w:rPr>
          <w:rFonts w:ascii="Arial" w:cs="Arial" w:eastAsia="Arial" w:hAnsi="Arial"/>
          <w:b w:val="false"/>
          <w:bCs w:val="false"/>
          <w:i w:val="false"/>
          <w:iCs w:val="false"/>
          <w:color w:val="0A0F1E"/>
          <w:sz w:val="20"/>
          <w:szCs w:val="20"/>
        </w:rPr>
        <w:t xml:space="preserve">The recommended integration for G42's AI platform billing layer follows this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Step</w:t>
            </w:r>
          </w:p>
        </w:tc>
        <w:tc>
          <w:tcPr>
            <w:tcW w:type="dxa" w:w="32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Action</w:t>
            </w:r>
          </w:p>
        </w:tc>
        <w:tc>
          <w:tcPr>
            <w:tcW w:type="dxa" w:w="5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USD1 Component</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w:t>
            </w:r>
          </w:p>
        </w:tc>
        <w:tc>
          <w:tcPr>
            <w:tcW w:type="dxa" w:w="3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Developer signs up for G42 AI platform</w:t>
            </w:r>
          </w:p>
        </w:tc>
        <w:tc>
          <w:tcPr>
            <w:tcW w:type="dxa" w:w="5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wallet auto-created headlessly via SDK — developer does not need to take any action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Developer initiates AI compute / API call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billing system denominates usage in USD1 — live USD1 price feed used for invoicing</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w:t>
            </w:r>
          </w:p>
        </w:tc>
        <w:tc>
          <w:tcPr>
            <w:tcW w:type="dxa" w:w="3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Payment triggered on completion of compute task</w:t>
            </w:r>
          </w:p>
        </w:tc>
        <w:tc>
          <w:tcPr>
            <w:tcW w:type="dxa" w:w="5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EIP-3009 receiveWithAuthorization — G42 pulls payment from developer wallet on task completion. No human approval. No gas token required.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receives USD1 settlement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can hold USD1 or convert — settlement is immediate, on-chain, fully auditable</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w:t>
            </w:r>
          </w:p>
        </w:tc>
        <w:tc>
          <w:tcPr>
            <w:tcW w:type="dxa" w:w="3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Developer sees real-time balance and spend</w:t>
            </w:r>
          </w:p>
        </w:tc>
        <w:tc>
          <w:tcPr>
            <w:tcW w:type="dxa" w:w="5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SDK exposes balance and transaction history queries — G42 dashboard can surface these directly</w:t>
            </w:r>
          </w:p>
        </w:tc>
      </w:tr>
    </w:tbl>
    <w:p>
      <w:pPr>
        <w:spacing w:before="12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BD INPUT] This integration flow is a proposed architecture. Before the G42 meeting, the BD team should validate whether G42's current billing infrastructure has natural hookpoints for this model, or whether a different integration approach would be less disruptive to their existing systems.</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4.4  Sovereign Platform Deployment Targets</w:t>
      </w:r>
    </w:p>
    <w:p>
      <w:pPr>
        <w:spacing w:before="60" w:after="100"/>
      </w:pPr>
      <w:r>
        <w:rPr>
          <w:rFonts w:ascii="Arial" w:cs="Arial" w:eastAsia="Arial" w:hAnsi="Arial"/>
          <w:b w:val="false"/>
          <w:bCs w:val="false"/>
          <w:i w:val="false"/>
          <w:iCs w:val="false"/>
          <w:color w:val="0A0F1E"/>
          <w:sz w:val="20"/>
          <w:szCs w:val="20"/>
        </w:rPr>
        <w:t xml:space="preserve">G42 has active sovereign AI deployments in the following geographies. Each represents a separate integration conversation with a different sovereign counterpart, but all can be initiated through G42 as the introduction vector: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600"/>
      </w:tblGrid>
      <w:tr>
        <w:tc>
          <w:tcPr>
            <w:tcW w:type="dxa" w:w="1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Country</w:t>
            </w:r>
          </w:p>
        </w:tc>
        <w:tc>
          <w:tcPr>
            <w:tcW w:type="dxa" w:w="2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G42 Deployment</w:t>
            </w:r>
          </w:p>
        </w:tc>
        <w:tc>
          <w:tcPr>
            <w:tcW w:type="dxa" w:w="2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USD1 Integration Target</w:t>
            </w:r>
          </w:p>
        </w:tc>
        <w:tc>
          <w:tcPr>
            <w:tcW w:type="dxa" w:w="2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Priority</w:t>
            </w:r>
          </w:p>
        </w:tc>
      </w:tr>
      <w:tr>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UAE</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Core G42 HQ; deepest infrastructure; ADGM financial hub</w:t>
            </w:r>
          </w:p>
        </w:tc>
        <w:tc>
          <w:tcPr>
            <w:tcW w:type="dxa" w:w="2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Default billing currency on UAE national AI platform; ADGM licensing anchor</w:t>
            </w:r>
          </w:p>
        </w:tc>
        <w:tc>
          <w:tcPr>
            <w:tcW w:type="dxa" w:w="2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C2626"/>
                <w:sz w:val="18"/>
                <w:szCs w:val="18"/>
              </w:rPr>
              <w:t xml:space="preserve">HIGHEST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Saudi Arabia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NEOM and Vision 2030 AI deployments; NVIDIA partnership</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Settlement currency for AI-generated services within Vision 2030 projects</w:t>
            </w:r>
          </w:p>
        </w:tc>
        <w:tc>
          <w:tcPr>
            <w:tcW w:type="dxa" w:w="2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HIGH</w:t>
            </w:r>
          </w:p>
        </w:tc>
      </w:tr>
      <w:tr>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Pakistan</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National AI platform; large remittance corridor with UAE</w:t>
            </w:r>
          </w:p>
        </w:tc>
        <w:tc>
          <w:tcPr>
            <w:tcW w:type="dxa" w:w="2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Compute billing + remittance corridor activation — USD1 already has market entry framework here</w:t>
            </w:r>
          </w:p>
        </w:tc>
        <w:tc>
          <w:tcPr>
            <w:tcW w:type="dxa" w:w="2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HIGH</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Malaysia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 Asia data center hub; Malaysia-Indonesia corridor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Regional AI billing hub + Malaysia-Indonesia remittance corridor</w:t>
            </w:r>
          </w:p>
        </w:tc>
        <w:tc>
          <w:tcPr>
            <w:tcW w:type="dxa" w:w="2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HIGH</w:t>
            </w:r>
          </w:p>
        </w:tc>
      </w:tr>
      <w:tr>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Egypt</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Africa gateway deployment; UAE-Egypt corridor</w:t>
            </w:r>
          </w:p>
        </w:tc>
        <w:tc>
          <w:tcPr>
            <w:tcW w:type="dxa" w:w="2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Cross-border AI service settlement in UAE-Egypt corridor</w:t>
            </w:r>
          </w:p>
        </w:tc>
        <w:tc>
          <w:tcPr>
            <w:tcW w:type="dxa" w:w="2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MEDIUM</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compute billing meeting scheduled with correct counterpart</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0-14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Integration brief prepared (one-page billing flow diagram)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Before meeting</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has reviewed and responded to integration framework</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one sovereign deployment country has an active USD1 integration conversation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live G42 platform billing integration (any country) deployed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90-120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5 — Workstream 2.2: AI Lab &amp; Developer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Status</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PLANNED — initiate within 30 days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Timeline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 signed AI lab partnerships within 90 days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Entry Point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makes introductions; WLFI BD closes and owns the relationship</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5.1  Why AI Labs Are the Right Second Conversation</w:t>
      </w:r>
    </w:p>
    <w:p>
      <w:pPr>
        <w:spacing w:before="60" w:after="100"/>
      </w:pPr>
      <w:r>
        <w:rPr>
          <w:rFonts w:ascii="Arial" w:cs="Arial" w:eastAsia="Arial" w:hAnsi="Arial"/>
          <w:b w:val="false"/>
          <w:bCs w:val="false"/>
          <w:i w:val="false"/>
          <w:iCs w:val="false"/>
          <w:color w:val="0A0F1E"/>
          <w:sz w:val="20"/>
          <w:szCs w:val="20"/>
        </w:rPr>
        <w:t xml:space="preserve">After the compute billing layer, AI labs are the highest-leverage distribution point. An AI lab that defaults to USD1 for its agent billing currency embeds USD1 in every application its models power. Developers building on that lab's API inherit the payment rail. This is the same distribution logic Circle is executing — except Circle is doing it from the developer toolchain up, while USD1 can do it from the infrastructure layer down.</w:t>
      </w:r>
    </w:p>
    <w:p>
      <w:pPr>
        <w:spacing w:before="80" w:after="0"/>
      </w:pPr>
      <w:r>
        <w:t xml:space="preserve"/>
      </w:r>
    </w:p>
    <w:p>
      <w:pPr>
        <w:pBdr>
          <w:left w:val="single" w:color="6D28D9" w:sz="16" w:space="14"/>
        </w:pBdr>
        <w:shd w:fill="F5F3FF" w:val="clear"/>
        <w:spacing w:before="140" w:after="140"/>
        <w:ind w:left="240"/>
      </w:pPr>
      <w:r>
        <w:rPr>
          <w:rFonts w:ascii="Arial" w:cs="Arial" w:eastAsia="Arial" w:hAnsi="Arial"/>
          <w:b w:val="false"/>
          <w:bCs w:val="false"/>
          <w:i/>
          <w:iCs/>
          <w:color w:val="0A0F1E"/>
          <w:sz w:val="20"/>
          <w:szCs w:val="20"/>
        </w:rPr>
        <w:t xml:space="preserve">The goal is not for AI labs to 'accept' USD1. The goal is for AI labs to build their agent billing systems with USD1 as the reference implementation — so every developer using their API encounters USD1 first.</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5.2  Target AI Lab Identification</w:t>
      </w:r>
    </w:p>
    <w:p>
      <w:pPr>
        <w:spacing w:before="60" w:after="100"/>
      </w:pPr>
      <w:r>
        <w:rPr>
          <w:rFonts w:ascii="Arial" w:cs="Arial" w:eastAsia="Arial" w:hAnsi="Arial"/>
          <w:b w:val="false"/>
          <w:bCs w:val="false"/>
          <w:i w:val="false"/>
          <w:iCs w:val="false"/>
          <w:color w:val="0A0F1E"/>
          <w:sz w:val="20"/>
          <w:szCs w:val="20"/>
        </w:rPr>
        <w:t xml:space="preserve">The first step is mapping G42's AI lab portfolio and partnership network to identify the ten highest-priority targets. Prioritization criteria: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Criterion</w:t>
            </w:r>
          </w:p>
        </w:tc>
        <w:tc>
          <w:tcPr>
            <w:tcW w:type="dxa" w:w="6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Why It Matters</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chip allocation dependency</w:t>
            </w:r>
          </w:p>
        </w:tc>
        <w:tc>
          <w:tcPr>
            <w:tcW w:type="dxa" w:w="6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Labs dependent on G42 for NVIDIA compute have a natural incentive to align with G42's preferred payment infrastructure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Active agentic product development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Labs building multi-agent systems now are the ones defining payment patterns now — influence is highest pre-launch</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Developer platform with API billing</w:t>
            </w:r>
          </w:p>
        </w:tc>
        <w:tc>
          <w:tcPr>
            <w:tcW w:type="dxa" w:w="6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Labs with their own developer APIs already have a billing infrastructure that can be upgraded to USD1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Geographic alignment with G42 corridors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Labs operating in UAE, KSA, PK, MY have regulatory and operational reasons to prefer a GENIUS-compliant stablecoin over USDC</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Not already defaulted to USDC</w:t>
            </w:r>
          </w:p>
        </w:tc>
        <w:tc>
          <w:tcPr>
            <w:tcW w:type="dxa" w:w="6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Labs that have not yet committed to a stablecoin partner are the actionable opportunity; USDC-committed labs are a second-tier target</w:t>
            </w:r>
          </w:p>
        </w:tc>
      </w:tr>
    </w:tbl>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BD INPUT] Before outreach begins, the BD team should spend 3-5 days mapping G42's portfolio against these criteria to produce a prioritized target list. This mapping should be done before any outreach — cold contact to the wrong labs wastes relationship capital.</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5.3  The AI Lab Partnership Offer</w:t>
      </w:r>
    </w:p>
    <w:p>
      <w:pPr>
        <w:spacing w:before="60" w:after="100"/>
      </w:pPr>
      <w:r>
        <w:rPr>
          <w:rFonts w:ascii="Arial" w:cs="Arial" w:eastAsia="Arial" w:hAnsi="Arial"/>
          <w:b w:val="false"/>
          <w:bCs w:val="false"/>
          <w:i w:val="false"/>
          <w:iCs w:val="false"/>
          <w:color w:val="0A0F1E"/>
          <w:sz w:val="20"/>
          <w:szCs w:val="20"/>
        </w:rPr>
        <w:t xml:space="preserve">The partnership offer must be specific and differentiated. Generic 'partnership' conversations do not move. The offer to an AI lab should include all of the following components:</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5.3.1  Technical Support Package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Dedicated USD1 SDK integration support — a named WLFI technical contact who will help the lab's engineering team integrate the SDK in days, not weeks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EIP-3009 integration guide specific to the lab's agent billing use case — so their billing system can pull payments from agents automatically without requiring human authorization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Co-authored technical documentation — the lab's developer docs reference USD1 as the payment layer, with working code examples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Priority access to new USD1 features before public release — labs that commit early get early access to Monad deployment, EIP-3009 mainnet, and new chain deployments</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5.3.2  Commercial Terms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Preferential treasury terms for labs holding USD1 as their billing reserve — specific terms to be defined with WLFI finance team</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Co-marketing commitment: WLFI announces the partnership across USD1 channels; lab gets association with USD1's institutional positioning and OCC trust charter credential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Joint standards participation: the lab and WLFI co-author or co-sign contributions to X402 or ERC-8004 — the lab gets standards body credibility; USD1 gets a co-signer on its reference implementation</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5.3.3  Distribution Reciprocity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WLFI introduces the lab to G42's sovereign deployment network — G42's AI platform deployments across UAE, KSA, PK, MY represent a significant distribution opportunity for any AI lab trying to enter those markets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USD1 agent skill marketplace listing for the lab's models — if they have an agent skill or model API, it gets promoted through USD1's developer channels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Joint hackathon co-sponsorship — lab provides model access; WLFI provides USD1 prizes and financial infrastructure; G42 provides compute credits</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5.4  The Partnership Conversation Flow</w:t>
      </w:r>
    </w:p>
    <w:p>
      <w:pPr>
        <w:spacing w:before="60" w:after="100"/>
      </w:pPr>
      <w:r>
        <w:rPr>
          <w:rFonts w:ascii="Arial" w:cs="Arial" w:eastAsia="Arial" w:hAnsi="Arial"/>
          <w:b w:val="false"/>
          <w:bCs w:val="false"/>
          <w:i w:val="false"/>
          <w:iCs w:val="false"/>
          <w:color w:val="0A0F1E"/>
          <w:sz w:val="20"/>
          <w:szCs w:val="20"/>
        </w:rPr>
        <w:t xml:space="preserve">AI lab BD conversations typically move through four stages. Map each conversation to its stage and define the next action accordingly: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360"/>
        <w:gridCol w:w="2200"/>
      </w:tblGrid>
      <w:tr>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Stage</w:t>
            </w:r>
          </w:p>
        </w:tc>
        <w:tc>
          <w:tcPr>
            <w:tcW w:type="dxa" w:w="2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Description</w:t>
            </w:r>
          </w:p>
        </w:tc>
        <w:tc>
          <w:tcPr>
            <w:tcW w:type="dxa" w:w="3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WLFI Action</w:t>
            </w:r>
          </w:p>
        </w:tc>
        <w:tc>
          <w:tcPr>
            <w:tcW w:type="dxa" w:w="22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Success Signal</w:t>
            </w:r>
          </w:p>
        </w:tc>
      </w:tr>
      <w:tr>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Introduction</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makes the introduction; lab knows WLFI and USD1 exist</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Prepare a one-page 'why USD1 for agentic billing' brief. Schedule a 30-min call within 1 week of introduction.</w:t>
            </w:r>
          </w:p>
        </w:tc>
        <w:tc>
          <w:tcPr>
            <w:tcW w:type="dxa" w:w="2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Lab agrees to an exploratory call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Exploration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Lab evaluating USD1 vs USDC vs building their own payment rail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Technical demo of SDK + EIP-3009 integration. Share USD1 Agentic Payment Spec. Introduce lab to another USD1 partner for peer validation.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Lab requests SDK access or starts a POC</w:t>
            </w:r>
          </w:p>
        </w:tc>
      </w:tr>
      <w:tr>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Integration</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Lab actively integrating USD1 into their billing infrastructure</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Dedicated integration support. Weekly check-in. Resolve any technical blockers within 24 hours.</w:t>
            </w:r>
          </w:p>
        </w:tc>
        <w:tc>
          <w:tcPr>
            <w:tcW w:type="dxa" w:w="2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Live USD1 transaction on lab's testnet / staging environment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Partnership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Lab committed to USD1 as default agent billing currency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Formalize: signed partnership agreement, co-marketing plan, standards participation MOU. Assign WLFI relationship owner.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Signed agreement + public announcement</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5.5  Target: 3 Signed Partnerships in 90 Days</w:t>
      </w:r>
    </w:p>
    <w:p>
      <w:pPr>
        <w:spacing w:before="60" w:after="100"/>
      </w:pPr>
      <w:r>
        <w:rPr>
          <w:rFonts w:ascii="Arial" w:cs="Arial" w:eastAsia="Arial" w:hAnsi="Arial"/>
          <w:b w:val="false"/>
          <w:bCs w:val="false"/>
          <w:i w:val="false"/>
          <w:iCs w:val="false"/>
          <w:color w:val="0A0F1E"/>
          <w:sz w:val="20"/>
          <w:szCs w:val="20"/>
        </w:rPr>
        <w:t xml:space="preserve">The 90-day target is three signed AI lab partnership agreements. These do not need to be the largest labs — they need to be the fastest to integrate and the most credible to announce. A signed partnership with a mid-size lab that ships a live integration in 60 days is worth more than a letter of intent from a flagship lab that takes 6 months to move.</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Tier 1 targets: labs within G42's direct chip allocation or portfolio — highest motivation to align with G42's preferred payment infrastructure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Tier 2 targets: labs actively building in G42 deployment geographies (UAE, KSA, PK, MY) — regulatory and operational fit with GENIUS-compliant USD1</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Tier 3 targets: OpenClaw ecosystem participants — labs already building agent skills where USD1 SDK is being deployed</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BD INPUT] Map the G42 portfolio before outreach. The 90-day target is only achievable if we are talking to the right 10 labs in the first 30 days, not 30 labs over 90 days. Prioritization is the most important step.</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portfolio mapping complete — top 10 targets identified and prioritized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Outreach initiated to top 10 targets (via G42 introduction where possible)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exploratory calls completed with at least 5 targets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3 labs in active integration or partnership stage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 signed partnership agreements — co-marketing, integration, standards participation</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1 live USD1 transaction on a partner lab's platform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6 — Workstream 2.3: Geographic Corridor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Status</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PLANNED — initiate in parallel with Workstream 2.1</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Priority Corridors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UAE-Pakistan, Malaysia-Indonesia, UAE-Egypt, Saudi Arabia-Pakistan</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Timeline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 live financial institution partners within 120 days across G42 corridors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6.1  The Corridor Opportunity</w:t>
      </w:r>
    </w:p>
    <w:p>
      <w:pPr>
        <w:spacing w:before="60" w:after="100"/>
      </w:pPr>
      <w:r>
        <w:rPr>
          <w:rFonts w:ascii="Arial" w:cs="Arial" w:eastAsia="Arial" w:hAnsi="Arial"/>
          <w:b w:val="false"/>
          <w:bCs w:val="false"/>
          <w:i w:val="false"/>
          <w:iCs w:val="false"/>
          <w:color w:val="0A0F1E"/>
          <w:sz w:val="20"/>
          <w:szCs w:val="20"/>
        </w:rPr>
        <w:t xml:space="preserve">G42's infrastructure deployments sit directly on top of the world's highest-friction cross-border payment corridors. UAE to Pakistan is one of the largest remittance corridors in the world by volume — Pakistan receives over $27 billion in annual remittances, with the UAE being the single largest source. Malaysia to Indonesia, and UAE to Egypt, follow a similar pattern: high volume, high fee, underserved by existing payment infrastructure.</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USD1's role in these corridors is not remittance in the traditional sense. It is settlement infrastructure for the new category of AI-generated cross-border economic activity: invoiced AI services between companies in different countries, compute billing for models accessed cross-border, and increasingly, agent-to-agent payments across jurisdictions. The G42 infrastructure deployment in these same geographies is the access mechanism.</w:t>
      </w:r>
    </w:p>
    <w:p>
      <w:pPr>
        <w:spacing w:before="80" w:after="0"/>
      </w:pPr>
      <w:r>
        <w:t xml:space="preserve"/>
      </w:r>
    </w:p>
    <w:p>
      <w:pPr>
        <w:pBdr>
          <w:left w:val="single" w:color="0F766E" w:sz="16" w:space="14"/>
        </w:pBdr>
        <w:shd w:fill="F0FDFA" w:val="clear"/>
        <w:spacing w:before="140" w:after="140"/>
        <w:ind w:left="240"/>
      </w:pPr>
      <w:r>
        <w:rPr>
          <w:rFonts w:ascii="Arial" w:cs="Arial" w:eastAsia="Arial" w:hAnsi="Arial"/>
          <w:b w:val="false"/>
          <w:bCs w:val="false"/>
          <w:i/>
          <w:iCs/>
          <w:color w:val="0A0F1E"/>
          <w:sz w:val="20"/>
          <w:szCs w:val="20"/>
        </w:rPr>
        <w:t xml:space="preserve">WLFI already has market entry frameworks developed for Pakistan and Malaysia. The G42 relationship upgrades these from cold market entry to warm introductions — G42 is already operating in these countries as a trusted sovereign infrastructure partner. USD1 is being introduced as part of the G42 ecosystem, not as a new foreign entrant.</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6.2  Corridor Playbooks</w:t>
      </w:r>
    </w:p>
    <w:p>
      <w:pPr>
        <w:pStyle w:val="Heading3"/>
        <w:spacing w:before="240" w:after="80"/>
      </w:pPr>
      <w:r>
        <w:rPr>
          <w:rFonts w:ascii="Arial" w:cs="Arial" w:eastAsia="Arial" w:hAnsi="Arial"/>
          <w:b/>
          <w:bCs/>
          <w:i w:val="false"/>
          <w:iCs w:val="false"/>
          <w:color w:val="2563EB"/>
          <w:sz w:val="22"/>
          <w:szCs w:val="22"/>
        </w:rPr>
        <w:t xml:space="preserve">6.2.1  UAE-Pakistan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Volume context</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Pakistan receives $27B+ in annual remittances; UAE is the largest source country. G42 has national AI deployments in both countries.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use case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Settlement currency for cross-border AI service invoices (Pakistani tech companies serving UAE clients); corporate treasury for companies with USD1 compute billing obligations; eventual on-ramp for retail remittance once on/off ramp infrastructure is in place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access vector</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G42's Pakistan national AI platform deployment and UAE HQ provide introductions to both sides of the corridor — tech companies, fintech partners, and potentially central bank contacts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Target partners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2-3 Pakistani fintech companies operating in the UAE-Pakistan corridor; at least 1 UAE-based exchange or payment processor with Pakistan corridor exposure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Regulatory note</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Pakistan's State Bank has been actively engaging with digital currency frameworks. WLFI's existing market entry work here should be leveraged directly. GENIUS Act compliance is a relevant credential in conversations with Pakistani regulators.</w:t>
            </w:r>
          </w:p>
        </w:tc>
      </w:tr>
    </w:tbl>
    <w:p>
      <w:pPr>
        <w:spacing w:before="120" w:after="0"/>
      </w:pPr>
      <w:r>
        <w:t xml:space="preserve"/>
      </w:r>
    </w:p>
    <w:p>
      <w:pPr>
        <w:pStyle w:val="Heading3"/>
        <w:spacing w:before="240" w:after="80"/>
      </w:pPr>
      <w:r>
        <w:rPr>
          <w:rFonts w:ascii="Arial" w:cs="Arial" w:eastAsia="Arial" w:hAnsi="Arial"/>
          <w:b/>
          <w:bCs/>
          <w:i w:val="false"/>
          <w:iCs w:val="false"/>
          <w:color w:val="2563EB"/>
          <w:sz w:val="22"/>
          <w:szCs w:val="22"/>
        </w:rPr>
        <w:t xml:space="preserve">6.2.2  Malaysia-Indonesia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Volume context</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Malaysia-Indonesia is the largest bilateral remittance corridor in Southeast Asia. Malaysia is also G42's primary SE Asia data center hub.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use case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AI service billing for Indonesia-based companies using Malaysian-hosted compute; cross-border invoice settlement; eventually retail remittance as on/off ramp infrastructure develops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access vector</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G42's Malaysia data center deployment provides introductions to the Malaysian tech and fintech ecosystem. MAS (Monetary Authority of Singapore) licensing conversations can anchor regional regulatory credibility.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Target partners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2-3 Malaysian fintechs with Indonesia corridor exposure; at least 1 Islamic finance institution (both countries have significant Islamic finance ecosystems — USD1's GENIUS-compliant structure is relevant here)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Regulatory note</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Singapore MAS licensing (in parallel with ADGM in UAE) would provide the regional regulatory anchor for SE Asia corridor conversations. MAS-licensed stablecoin status is a significant trust signal in both Malaysia and Indonesia.</w:t>
            </w:r>
          </w:p>
        </w:tc>
      </w:tr>
    </w:tbl>
    <w:p>
      <w:pPr>
        <w:spacing w:before="120" w:after="0"/>
      </w:pPr>
      <w:r>
        <w:t xml:space="preserve"/>
      </w:r>
    </w:p>
    <w:p>
      <w:pPr>
        <w:pStyle w:val="Heading3"/>
        <w:spacing w:before="240" w:after="80"/>
      </w:pPr>
      <w:r>
        <w:rPr>
          <w:rFonts w:ascii="Arial" w:cs="Arial" w:eastAsia="Arial" w:hAnsi="Arial"/>
          <w:b/>
          <w:bCs/>
          <w:i w:val="false"/>
          <w:iCs w:val="false"/>
          <w:color w:val="2563EB"/>
          <w:sz w:val="22"/>
          <w:szCs w:val="22"/>
        </w:rPr>
        <w:t xml:space="preserve">6.2.3  UAE-Egypt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Volume context</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Egypt receives significant remittances from UAE; G42 has an AI gateway deployment in Egypt serving as its Africa entry point.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use case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AI service settlement between UAE-based companies and Egyptian operations; corporate treasury for Egyptian tech companies with USD-denominated AI billing</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access vector</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G42's Egypt deployment provides introductions to Egyptian financial institutions and tech companies. The corridor is less developed than UAE-Pakistan, making it easier to establish USD1 as the default before USDC embeds.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Target partners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1-2 Egyptian fintech or payment companies with UAE operations; at least 1 corporate treasury conversation with a company that has significant UAE-Egypt financial flows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6.3  The Fintech Partner Approach</w:t>
      </w:r>
    </w:p>
    <w:p>
      <w:pPr>
        <w:spacing w:before="60" w:after="100"/>
      </w:pPr>
      <w:r>
        <w:rPr>
          <w:rFonts w:ascii="Arial" w:cs="Arial" w:eastAsia="Arial" w:hAnsi="Arial"/>
          <w:b w:val="false"/>
          <w:bCs w:val="false"/>
          <w:i w:val="false"/>
          <w:iCs w:val="false"/>
          <w:color w:val="0A0F1E"/>
          <w:sz w:val="20"/>
          <w:szCs w:val="20"/>
        </w:rPr>
        <w:t xml:space="preserve">Regional fintech partners serve two functions: they provide on/off ramp infrastructure that makes USD1 usable by non-crypto-native businesses, and they provide local market credibility that accelerates regulatory conversations. The criteria for selecting fintech partners in each corridor:</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Existing regulatory approval in both countries of the corridor — a fintech that is already licensed in both UAE and Pakistan is more valuable than two separate single-country fintechs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Existing corporate client base — B2B payment corridors, not retail — the AI service billing use case is corporate treasury, not consumer remittance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API-first infrastructure — the fintech must be able to integrate USD1 via API; paper-based or batch-processing fintechs cannot support the real-time settlement model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Willingness to co-market — the partnership should include a joint announcement; WLFI's association with G42 infrastructure is a co-marketing asset for regional fintechs</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BD INPUT] Which of WLFI's existing fintech contacts from prior Pakistan and Malaysia market entry work are the highest-priority targets in each corridor? The existing relationships should be activated before cold outreach begins.</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6.4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corridor introductions requested and confirmed for UAE-PK, MY-ID, UAE-EG</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Existing WLFI fintech contacts reactivated in each priority corridor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2 fintech partners per corridor in active commercial conversation</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 live fintech partner agreements signed across G42 corridors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120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live USD1 cross-border settlement transaction in at least one corridor</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120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MAS or ADGM licensing conversation initiated using corridor partnerships as context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7 — Workstream 2.4: Direct Relationship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Status</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C2626"/>
                <w:sz w:val="18"/>
                <w:szCs w:val="18"/>
              </w:rPr>
              <w:t xml:space="preserve">MUST RUN IN PARALLEL — not sequential</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Principle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opens the door. WLFI owns the relationship that follows. Every G42 introduction must result in a direct WLFI relationship that exists independently.</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7.1  Why This Workstream Cannot Be Skipped</w:t>
      </w:r>
    </w:p>
    <w:p>
      <w:pPr>
        <w:spacing w:before="60" w:after="100"/>
      </w:pPr>
      <w:r>
        <w:rPr>
          <w:rFonts w:ascii="Arial" w:cs="Arial" w:eastAsia="Arial" w:hAnsi="Arial"/>
          <w:b w:val="false"/>
          <w:bCs w:val="false"/>
          <w:i w:val="false"/>
          <w:iCs w:val="false"/>
          <w:color w:val="0A0F1E"/>
          <w:sz w:val="20"/>
          <w:szCs w:val="20"/>
        </w:rPr>
        <w:t xml:space="preserve">G42's investment in WLFI is a distribution advantage. It is also a concentration risk. The specific risk: G42 faces U.S. technology transfer regulatory scrutiny. If that scrutiny results in restrictions on G42's U.S.-connected activities, any USD1 distribution that flows through G42 as an intermediary — rather than as a direct WLFI relationship — could be disrupted overnight.</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The mitigation is not to avoid using G42. It is to ensure that every relationship G42 opens becomes a direct WLFI relationship within 90 days of introduction. The metric for this workstream is simple: of every AI lab, fintech, and sovereign entity that G42 introduces USD1 to, how many of those relationships are owned directly by WLFI within 90 days?</w:t>
      </w:r>
    </w:p>
    <w:p>
      <w:pPr>
        <w:spacing w:before="80" w:after="0"/>
      </w:pPr>
      <w:r>
        <w:t xml:space="preserve"/>
      </w:r>
    </w:p>
    <w:p>
      <w:pPr>
        <w:pBdr>
          <w:left w:val="single" w:color="92400E" w:sz="16" w:space="14"/>
        </w:pBdr>
        <w:shd w:fill="FFFBEB" w:val="clear"/>
        <w:spacing w:before="140" w:after="140"/>
        <w:ind w:left="240"/>
      </w:pPr>
      <w:r>
        <w:rPr>
          <w:rFonts w:ascii="Arial" w:cs="Arial" w:eastAsia="Arial" w:hAnsi="Arial"/>
          <w:b w:val="false"/>
          <w:bCs w:val="false"/>
          <w:i/>
          <w:iCs/>
          <w:color w:val="0A0F1E"/>
          <w:sz w:val="20"/>
          <w:szCs w:val="20"/>
        </w:rPr>
        <w:t xml:space="preserve">G42 is the introduction mechanism. WLFI must be the relationship owner. If this workstream fails, Pillar 2 is a G42 dependency, not a WLFI asset.</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7.2  Direct Relationship Protocol</w:t>
      </w:r>
    </w:p>
    <w:p>
      <w:pPr>
        <w:spacing w:before="60" w:after="100"/>
      </w:pPr>
      <w:r>
        <w:rPr>
          <w:rFonts w:ascii="Arial" w:cs="Arial" w:eastAsia="Arial" w:hAnsi="Arial"/>
          <w:b w:val="false"/>
          <w:bCs w:val="false"/>
          <w:i w:val="false"/>
          <w:iCs w:val="false"/>
          <w:color w:val="0A0F1E"/>
          <w:sz w:val="20"/>
          <w:szCs w:val="20"/>
        </w:rPr>
        <w:t xml:space="preserve">For every partner introduced via G42, the following protocol applies: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Action</w:t>
            </w:r>
          </w:p>
        </w:tc>
        <w:tc>
          <w:tcPr>
            <w:tcW w:type="dxa" w:w="59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Detail</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w:t>
            </w:r>
          </w:p>
        </w:tc>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Named WLFI owner assigned at introduction</w:t>
            </w:r>
          </w:p>
        </w:tc>
        <w:tc>
          <w:tcPr>
            <w:tcW w:type="dxa" w:w="5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Every partner gets a named WLFI BD contact who is their primary relationship owner — not G42, not a shared inbox</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Direct communication established within 7 days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WLFI BD sends a direct follow-up from a WLFI email address within 7 days of any G42 introduction — establishes WLFI as the primary point of contact going forward</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w:t>
            </w:r>
          </w:p>
        </w:tc>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direct meeting within 30 days</w:t>
            </w:r>
          </w:p>
        </w:tc>
        <w:tc>
          <w:tcPr>
            <w:tcW w:type="dxa" w:w="5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 meeting that does not include G42 participants — between WLFI and the partner only — establishes the direct relationship layer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Partnership agreement in WLFI's name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signed agreements are between WLFI and the partner directly. G42 is acknowledged as the introduction vector but is not a party to the commercial agreement.</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w:t>
            </w:r>
          </w:p>
        </w:tc>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Regular direct cadence established</w:t>
            </w:r>
          </w:p>
        </w:tc>
        <w:tc>
          <w:tcPr>
            <w:tcW w:type="dxa" w:w="5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Quarterly business reviews, a direct Slack or Signal channel, and a named WLFI executive sponsor for partnerships above a materiality threshold</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7.3  Sovereign Relationship Strategy</w:t>
      </w:r>
    </w:p>
    <w:p>
      <w:pPr>
        <w:spacing w:before="60" w:after="100"/>
      </w:pPr>
      <w:r>
        <w:rPr>
          <w:rFonts w:ascii="Arial" w:cs="Arial" w:eastAsia="Arial" w:hAnsi="Arial"/>
          <w:b w:val="false"/>
          <w:bCs w:val="false"/>
          <w:i w:val="false"/>
          <w:iCs w:val="false"/>
          <w:color w:val="0A0F1E"/>
          <w:sz w:val="20"/>
          <w:szCs w:val="20"/>
        </w:rPr>
        <w:t xml:space="preserve">Sovereign entities — national AI funds, central banks, government technology ministries — require a different engagement model than commercial AI labs or fintechs. The key differences:</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Decision timelines are longer (6-18 months for formal MOU vs. weeks for a commercial partnership) — sovereign conversations must start now to produce outcomes within 180 days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Relationships are institutional, not individual — decisions are made by committee or inter-agency process, not by a single executive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Regulatory legitimacy is the primary trust signal — GENIUS Act compliance, OCC charter, and international licensing credentials matter more than product features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first ask should be small — a letter of intent, a working group membership, or an advisory role is more achievable as a first step than a formal MOU</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7.3.1  Sovereign Engagement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Stage</w:t>
            </w:r>
          </w:p>
        </w:tc>
        <w:tc>
          <w:tcPr>
            <w:tcW w:type="dxa" w:w="3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What It Looks Like</w:t>
            </w:r>
          </w:p>
        </w:tc>
        <w:tc>
          <w:tcPr>
            <w:tcW w:type="dxa" w:w="42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WLFI Action Required</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Advisory</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Sovereign entity is aware of USD1 and open to informal dialogue</w:t>
            </w:r>
          </w:p>
        </w:tc>
        <w:tc>
          <w:tcPr>
            <w:tcW w:type="dxa" w:w="4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Publish WLFI white paper for sovereign audiences. Request informal briefing meeting through G42 relationship.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Working Group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is represented in a national or regional AI payment working group</w:t>
            </w:r>
          </w:p>
        </w:tc>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Request participation in any AI x finance working group that G42 has access to. Position WLFI as a technical and regulatory resource, not a vendor.</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Letter of Intent</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Sovereign entity has expressed interest in exploring USD1 integration</w:t>
            </w:r>
          </w:p>
        </w:tc>
        <w:tc>
          <w:tcPr>
            <w:tcW w:type="dxa" w:w="4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Formalize with a non-binding LOI that describes the integration scope and timeline. This is the 180-day target.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MOU / Pilot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Formal commitment to a pilot integration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Dedicated WLFI executive sponsor. Legal review. Joint announcement. This is the 12-month target.</w:t>
            </w:r>
          </w:p>
        </w:tc>
      </w:tr>
    </w:tbl>
    <w:p>
      <w:pPr>
        <w:spacing w:before="80" w:after="0"/>
      </w:pPr>
      <w:r>
        <w:t xml:space="preserve"/>
      </w:r>
    </w:p>
    <w:p>
      <w:pPr>
        <w:pBdr>
          <w:left w:val="single" w:color="2563EB" w:sz="16" w:space="14"/>
        </w:pBdr>
        <w:shd w:fill="EEF2FF" w:val="clear"/>
        <w:spacing w:before="140" w:after="140"/>
        <w:ind w:left="240"/>
      </w:pPr>
      <w:r>
        <w:rPr>
          <w:rFonts w:ascii="Arial" w:cs="Arial" w:eastAsia="Arial" w:hAnsi="Arial"/>
          <w:b w:val="false"/>
          <w:bCs w:val="false"/>
          <w:i/>
          <w:iCs/>
          <w:color w:val="0A0F1E"/>
          <w:sz w:val="20"/>
          <w:szCs w:val="20"/>
        </w:rPr>
        <w:t xml:space="preserve">The 180-day target in the strategic roadmap is a formal MOU or integration announcement with at least one sovereign entity. Given sovereign decision timelines, this is only achievable if the advisory and working group conversations start within the next 30 days.</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7.4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Direct relationship protocol documented and assigned to BD team</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Immediate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100% of G42 introductions have a named WLFI owner within 7 days of introduction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Ongoing</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direct (non-G42) meeting held with every G42-introduced partner within 30 days of introduction</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Ongoing</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WLFI white paper for sovereign audiences published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1 sovereign entity in working group or advisory stage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Formal MOU or integration announcement with at least 1 sovereign entity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180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8 — Dependency Map &amp; Risk Flags</w:t>
      </w:r>
    </w:p>
    <w:p>
      <w:pPr>
        <w:pStyle w:val="Heading2"/>
        <w:spacing w:before="320" w:after="120"/>
      </w:pPr>
      <w:r>
        <w:rPr>
          <w:rFonts w:ascii="Arial" w:cs="Arial" w:eastAsia="Arial" w:hAnsi="Arial"/>
          <w:b/>
          <w:bCs/>
          <w:i w:val="false"/>
          <w:iCs w:val="false"/>
          <w:color w:val="1A3C8F"/>
          <w:sz w:val="26"/>
          <w:szCs w:val="26"/>
        </w:rPr>
        <w:t xml:space="preserve">8.1  What Blocks What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2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Blocks</w:t>
            </w:r>
          </w:p>
        </w:tc>
        <w:tc>
          <w:tcPr>
            <w:tcW w:type="dxa" w:w="3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Notes</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portfolio mapping (2.2)</w:t>
            </w:r>
          </w:p>
        </w:tc>
        <w:tc>
          <w:tcPr>
            <w:tcW w:type="dxa" w:w="2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AI lab outreach</w:t>
            </w:r>
          </w:p>
        </w:tc>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Cannot run targeted outreach without knowing which labs are in G42's network. This is a day-1 task.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compute billing meeting (2.1)</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Integration framework; sovereign deployment conversations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sovereign platform conversations flow through the G42 relationship — the billing meeting establishes the framework all downstream conversations reference.</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Technical team SDK + EIP-3009 launch (Pillar 1)</w:t>
            </w:r>
          </w:p>
        </w:tc>
        <w:tc>
          <w:tcPr>
            <w:tcW w:type="dxa" w:w="2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AI lab integration conversations; fintech partner integrations</w:t>
            </w:r>
          </w:p>
        </w:tc>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BD cannot close integration partnerships without a working SDK to point to. The Pillar 1 and Pillar 2 timelines are interdependent.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conditional approval (May 2026)</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Sovereign entity MOU conversations; institutional fintech partner closings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Most sovereign and institutional conversations require the OCC credential before they will sign. Interim: use the application status + expected approval date as the trust signal.</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WLFI sovereign white paper (2.4)</w:t>
            </w:r>
          </w:p>
        </w:tc>
        <w:tc>
          <w:tcPr>
            <w:tcW w:type="dxa" w:w="2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Working group memberships; sovereign advisory conversations</w:t>
            </w:r>
          </w:p>
        </w:tc>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Sovereign entities need a citable document to justify internal engagement with WLFI. The white paper is the prerequisite for any working group or advisory conversation.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Direct relationship protocol (2.4)</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G42-introduced partnerships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Must be operational before G42 introductions begin. If WLFI does not have a direct ownership protocol in place, G42 introductions will default to G42-mediated relationships.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8.2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Risk</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Severity</w:t>
            </w:r>
          </w:p>
        </w:tc>
        <w:tc>
          <w:tcPr>
            <w:tcW w:type="dxa" w:w="51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Mitigation</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regulatory exposure (U.S. tech transfer scrutiny)</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C2626"/>
                <w:sz w:val="18"/>
                <w:szCs w:val="18"/>
              </w:rPr>
              <w:t xml:space="preserve">HIGH</w:t>
            </w:r>
          </w:p>
        </w:tc>
        <w:tc>
          <w:tcPr>
            <w:tcW w:type="dxa" w:w="5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Workstream 2.4 is the mitigation. Build direct relationships from day one of every G42 introduction. G42 is the door opener, WLFI owns what follows.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billing integration moves slowly due to internal procurement processes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MEDIUM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Start with a narrow pilot in one geography (UAE) rather than a full platform integration. A working pilot is more valuable than a stalled global agreement.</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AI labs already committed to USDC before outreach</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MEDIUM</w:t>
            </w:r>
          </w:p>
        </w:tc>
        <w:tc>
          <w:tcPr>
            <w:tcW w:type="dxa" w:w="5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Focus outreach on labs that have not yet shipped agent billing. Early-stage labs are more persuadable than labs with existing USDC integrations. Map commitment status before outreach.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Corridor fintech partners lack technical capability to integrate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MEDIUM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Pre-screen fintech partners on technical criteria before investing relationship capital. An API-first fintech with existing crypto infrastructure integrates in days; a legacy payment company may take quarters.</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approval delayed beyond May 2026</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LOW</w:t>
            </w:r>
          </w:p>
        </w:tc>
        <w:tc>
          <w:tcPr>
            <w:tcW w:type="dxa" w:w="5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Use the application status itself as the trust signal in all conversations. 'Filed and expecting conditional approval in May' is sufficient for exploratory partnership conversations; formal MOUs can be conditioned on approval.</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9 — Master Delivery Tracker</w:t>
      </w:r>
    </w:p>
    <w:p>
      <w:pPr>
        <w:spacing w:before="60" w:after="100"/>
      </w:pPr>
      <w:r>
        <w:rPr>
          <w:rFonts w:ascii="Arial" w:cs="Arial" w:eastAsia="Arial" w:hAnsi="Arial"/>
          <w:b w:val="false"/>
          <w:bCs w:val="false"/>
          <w:i w:val="false"/>
          <w:iCs w:val="false"/>
          <w:color w:val="0A0F1E"/>
          <w:sz w:val="20"/>
          <w:szCs w:val="20"/>
        </w:rPr>
        <w:t xml:space="preserve">All Pillar 2 deliverables across all workstreams. Owners and dates to be confirmed by BD team and leadership during the review process.</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Now — 0 to 14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560"/>
        <w:gridCol w:w="1400"/>
        <w:gridCol w:w="1400"/>
      </w:tblGrid>
      <w:tr>
        <w:tc>
          <w:tcPr>
            <w:tcW w:type="dxa" w:w="3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12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WS</w:t>
            </w:r>
          </w:p>
        </w:tc>
        <w:tc>
          <w:tcPr>
            <w:tcW w:type="dxa" w:w="1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Owner</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Date</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correct counterpart identified for compute billing conversation</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compute billing meeting scheduled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Integration brief prepared (one-page billing flow)</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Direct relationship protocol documented and assigned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Immediate</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Existing WLFI fintech contacts reactivated in priority corridors</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Next — 14 to 45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560"/>
        <w:gridCol w:w="1400"/>
        <w:gridCol w:w="1400"/>
      </w:tblGrid>
      <w:tr>
        <w:tc>
          <w:tcPr>
            <w:tcW w:type="dxa" w:w="3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12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WS</w:t>
            </w:r>
          </w:p>
        </w:tc>
        <w:tc>
          <w:tcPr>
            <w:tcW w:type="dxa" w:w="1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Owner</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Date</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compute billing meeting held; integration framework under discussion</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portfolio mapping complete — top 10 AI lab targets identified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Outreach initiated to top 10 AI labs via G42 introductions</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Exploratory calls completed with at least 5 AI lab targets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corridor introductions confirmed — UAE-PK, MY-ID, UAE-EG</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WLFI sovereign white paper published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direct (non-G42) meetings held with all introduced partners</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Ongoing</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Later — 45 to 120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560"/>
        <w:gridCol w:w="1400"/>
        <w:gridCol w:w="1400"/>
      </w:tblGrid>
      <w:tr>
        <w:tc>
          <w:tcPr>
            <w:tcW w:type="dxa" w:w="3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12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WS</w:t>
            </w:r>
          </w:p>
        </w:tc>
        <w:tc>
          <w:tcPr>
            <w:tcW w:type="dxa" w:w="1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Owner</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Date</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1 sovereign AI platform has active USD1 integration conversation</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 signed AI lab partnership agreements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1 live USD1 transaction on a partner AI lab's platform</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 live fintech partner agreements across G42 corridors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120 days</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live USD1 cross-border settlement in at least 1 corridor</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120 days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G42 platform live billing integration deployed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90-120 days</w:t>
            </w:r>
          </w:p>
        </w:tc>
      </w:tr>
      <w:tr>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1 sovereign entity in working group or advisory stage</w:t>
            </w:r>
          </w:p>
        </w:tc>
        <w:tc>
          <w:tcPr>
            <w:tcW w:type="dxa" w:w="1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Formal MOU or integration announcement with at least 1 sovereign entity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180 days</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10 — BD &amp; Leadership Review Instructions</w:t>
      </w:r>
    </w:p>
    <w:p>
      <w:pPr>
        <w:pBdr>
          <w:left w:val="single" w:color="2563EB" w:sz="16" w:space="14"/>
        </w:pBdr>
        <w:shd w:fill="EEF2FF" w:val="clear"/>
        <w:spacing w:before="140" w:after="140"/>
        <w:ind w:left="240"/>
      </w:pPr>
      <w:r>
        <w:rPr>
          <w:rFonts w:ascii="Arial" w:cs="Arial" w:eastAsia="Arial" w:hAnsi="Arial"/>
          <w:b w:val="false"/>
          <w:bCs w:val="false"/>
          <w:i/>
          <w:iCs/>
          <w:color w:val="0A0F1E"/>
          <w:sz w:val="20"/>
          <w:szCs w:val="20"/>
        </w:rPr>
        <w:t xml:space="preserve">This document is ready for your review. You are the closest people to the G42 relationship and the corridor dynamics. Before this becomes a binding execution plan, we need the items below resolved. Please annotate directly in the document or bring your input to the group review meeting.</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Questions Requiring BD &amp; Leadership Input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t>
            </w:r>
          </w:p>
        </w:tc>
        <w:tc>
          <w:tcPr>
            <w:tcW w:type="dxa" w:w="42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Question</w:t>
            </w:r>
          </w:p>
        </w:tc>
        <w:tc>
          <w:tcPr>
            <w:tcW w:type="dxa" w:w="4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Section</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w:t>
            </w:r>
          </w:p>
        </w:tc>
        <w:tc>
          <w:tcPr>
            <w:tcW w:type="dxa" w:w="4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Who is the correct G42 counterpart for the compute billing conversation — name, role, and your relationship with them?</w:t>
            </w:r>
          </w:p>
        </w:tc>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w:t>
            </w:r>
          </w:p>
        </w:tc>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Has any conversation with G42 about USD1 as a payment layer already taken place? If so, what was the response and where does it stand?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w:t>
            </w:r>
          </w:p>
        </w:tc>
        <w:tc>
          <w:tcPr>
            <w:tcW w:type="dxa" w:w="4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Which G42 AI lab portfolio companies or chip-dependent partners should be the top 5 priority targets for AI lab outreach?</w:t>
            </w:r>
          </w:p>
        </w:tc>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5</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w:t>
            </w:r>
          </w:p>
        </w:tc>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Are there any AI labs already in WLFI's existing BD pipeline that should be fast-tracked into the Pillar 2 partnership framework?</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5</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w:t>
            </w:r>
          </w:p>
        </w:tc>
        <w:tc>
          <w:tcPr>
            <w:tcW w:type="dxa" w:w="4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Which existing WLFI fintech contacts from prior Pakistan and Malaysia work are highest priority to reactivate for corridor activation?</w:t>
            </w:r>
          </w:p>
        </w:tc>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6</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w:t>
            </w:r>
          </w:p>
        </w:tc>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Has WLFI had any direct conversations with sovereign entities (central banks, national AI funds, ministries) in any of the G42 deployment geographies? What is the status?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Sections 4, 7</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7</w:t>
            </w:r>
          </w:p>
        </w:tc>
        <w:tc>
          <w:tcPr>
            <w:tcW w:type="dxa" w:w="4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Is there a G42 relationship owner on the WLFI leadership side whose role it is to manage the G42 investor relationship? Who controls that relationship and how frequently do they engage with G42?</w:t>
            </w:r>
          </w:p>
        </w:tc>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sections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8</w:t>
            </w:r>
          </w:p>
        </w:tc>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Are there any existing restrictions or sensitivities in the G42 investor relationship that would affect how we frame the compute billing ask — i.e., is this a conversation we can have proactively, or does it require a specific trigger?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w:t>
            </w:r>
          </w:p>
        </w:tc>
        <w:tc>
          <w:tcPr>
            <w:tcW w:type="dxa" w:w="42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Which workstream is most at risk of being blocked by the OCC approval timeline — and should any partnership conversations be structured as conditional on OCC approval to manage that risk?</w:t>
            </w:r>
          </w:p>
        </w:tc>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8</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10</w:t>
            </w:r>
          </w:p>
        </w:tc>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Is there any item in the 0-14 day tracker that you believe is not achievable given current BD team capacity or relationship status?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9</w:t>
            </w:r>
          </w:p>
        </w:tc>
      </w:tr>
    </w:tbl>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How to Submit Your Review</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Annotate directly in this document using tracked changes or comments for specific section feedback</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Fill in all [ASSIGN] and [DATE] fields in Section 9 with real names and dates during or before the group review meeting</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For any question above, bring a written answer or a clear verbal response to the meeting — the meeting should resolve open items, not surface them for the first time</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Once review is complete and all open items are resolved, this document will be versioned as v1.0 and used as the binding execution roadmap for Pillar 2.</w:t>
      </w:r>
    </w:p>
    <w:p>
      <w:pPr>
        <w:spacing w:before="240" w:after="0"/>
      </w:pPr>
      <w:r>
        <w:t xml:space="preserve"/>
      </w:r>
    </w:p>
    <w:p>
      <w:pPr>
        <w:pBdr>
          <w:top w:val="single" w:color="2563EB" w:sz="4" w:space="12"/>
        </w:pBdr>
        <w:spacing w:before="200" w:after="0"/>
        <w:jc w:val="center"/>
      </w:pPr>
      <w:r>
        <w:rPr>
          <w:rFonts w:ascii="Arial" w:cs="Arial" w:eastAsia="Arial" w:hAnsi="Arial"/>
          <w:b w:val="false"/>
          <w:bCs w:val="false"/>
          <w:i/>
          <w:iCs/>
          <w:color w:val="64748B"/>
          <w:sz w:val="17"/>
          <w:szCs w:val="17"/>
        </w:rPr>
        <w:t xml:space="preserve">USD1 — Pillar 2 BD &amp; Partnership Execution Roadmap — DRAFT — For BD &amp; Leadership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0F1E"/>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A3C8F"/>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2026-03-10T01:28:45.927Z</dcterms:created>
  <dcterms:modified xsi:type="dcterms:W3CDTF">2026-03-10T01:28:45.929Z</dcterms:modified>
</cp:coreProperties>
</file>

<file path=docProps/custom.xml><?xml version="1.0" encoding="utf-8"?>
<Properties xmlns="http://schemas.openxmlformats.org/officeDocument/2006/custom-properties" xmlns:vt="http://schemas.openxmlformats.org/officeDocument/2006/docPropsVTypes"/>
</file>