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60"/>
        <w:jc w:val="center"/>
      </w:pPr>
      <w:r>
        <w:rPr>
          <w:rFonts w:ascii="Arial" w:cs="Arial" w:eastAsia="Arial" w:hAnsi="Arial"/>
          <w:b/>
          <w:bCs/>
          <w:i w:val="false"/>
          <w:iCs w:val="false"/>
          <w:color w:val="0A0F1E"/>
          <w:sz w:val="64"/>
          <w:szCs w:val="64"/>
        </w:rPr>
        <w:t xml:space="preserve">USD1</w:t>
      </w:r>
    </w:p>
    <w:p>
      <w:pPr>
        <w:pBdr>
          <w:bottom w:val="single" w:color="2563EB" w:sz="6" w:space="10"/>
        </w:pBdr>
        <w:spacing w:before="0" w:after="60"/>
        <w:jc w:val="center"/>
      </w:pPr>
      <w:r>
        <w:rPr>
          <w:rFonts w:ascii="Arial" w:cs="Arial" w:eastAsia="Arial" w:hAnsi="Arial"/>
          <w:b/>
          <w:bCs/>
          <w:i w:val="false"/>
          <w:iCs w:val="false"/>
          <w:color w:val="2563EB"/>
          <w:sz w:val="28"/>
          <w:szCs w:val="28"/>
        </w:rPr>
        <w:t xml:space="preserve">Pillar 3 — DeFi Liquidity &amp; Exchange Depth</w:t>
      </w:r>
    </w:p>
    <w:p>
      <w:pPr>
        <w:spacing w:before="200" w:after="0"/>
      </w:pPr>
      <w:r>
        <w:t xml:space="preserve"/>
      </w:r>
    </w:p>
    <w:p>
      <w:pPr>
        <w:spacing w:before="0" w:after="80"/>
        <w:jc w:val="center"/>
      </w:pPr>
      <w:r>
        <w:rPr>
          <w:rFonts w:ascii="Arial" w:cs="Arial" w:eastAsia="Arial" w:hAnsi="Arial"/>
          <w:b w:val="false"/>
          <w:bCs w:val="false"/>
          <w:i/>
          <w:iCs/>
          <w:color w:val="1A3C8F"/>
          <w:sz w:val="24"/>
          <w:szCs w:val="24"/>
        </w:rPr>
        <w:t xml:space="preserve">DeFi, Exchange &amp; Market Maker Execution Roadmap</w:t>
      </w:r>
    </w:p>
    <w:p>
      <w:pPr>
        <w:spacing w:before="400" w:after="0"/>
      </w:pPr>
      <w:r>
        <w:t xml:space="preserve"/>
      </w:r>
    </w:p>
    <w:p>
      <w:pPr>
        <w:spacing w:before="0" w:after="60"/>
        <w:jc w:val="center"/>
      </w:pPr>
      <w:r>
        <w:rPr>
          <w:rFonts w:ascii="Arial" w:cs="Arial" w:eastAsia="Arial" w:hAnsi="Arial"/>
          <w:b w:val="false"/>
          <w:bCs w:val="false"/>
          <w:i w:val="false"/>
          <w:iCs w:val="false"/>
          <w:color w:val="0A0F1E"/>
          <w:sz w:val="20"/>
          <w:szCs w:val="20"/>
        </w:rPr>
        <w:t xml:space="preserve">World Liberty Financial — DeFi &amp; Exchange BD Team</w:t>
      </w:r>
    </w:p>
    <w:p>
      <w:pPr>
        <w:jc w:val="center"/>
      </w:pPr>
      <w:r>
        <w:rPr>
          <w:rFonts w:ascii="Arial" w:cs="Arial" w:eastAsia="Arial" w:hAnsi="Arial"/>
          <w:b w:val="false"/>
          <w:bCs w:val="false"/>
          <w:i/>
          <w:iCs/>
          <w:color w:val="64748B"/>
          <w:sz w:val="18"/>
          <w:szCs w:val="18"/>
        </w:rPr>
        <w:t xml:space="preserve">Draft for Review — March 2026</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How to Use This Document</w:t>
      </w:r>
    </w:p>
    <w:p>
      <w:pPr>
        <w:spacing w:before="60" w:after="100"/>
      </w:pPr>
      <w:r>
        <w:rPr>
          <w:rFonts w:ascii="Arial" w:cs="Arial" w:eastAsia="Arial" w:hAnsi="Arial"/>
          <w:b w:val="false"/>
          <w:bCs w:val="false"/>
          <w:i w:val="false"/>
          <w:iCs w:val="false"/>
          <w:color w:val="0A0F1E"/>
          <w:sz w:val="20"/>
          <w:szCs w:val="20"/>
        </w:rPr>
        <w:t xml:space="preserve">This document is the execution layer for Pillar 3 of the USD1 Strategic Dominance Roadmap, written specifically for the team that manages DeFi protocol integrations, centralized exchange partnerships, and market maker relationships. The leadership team has aligned on the strategy. Your job is to validate the approach against what you know about current protocol governance processes, exchange listing requirements, and market maker dynamics — then execute it.</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This is a draft. The protocol-specific tactics, incentive structures, and market maker terms in this document are frameworks. You will know where they need to be adjusted based on your existing relationships and the current state of each negotiation. Section 10 lists the specific questions that need your input before this becomes the binding plan.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Section</w:t>
            </w:r>
          </w:p>
        </w:tc>
        <w:tc>
          <w:tcPr>
            <w:tcW w:type="dxa" w:w="7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Content</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2</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Strategic context — why DeFi liquidity is load-bearing for the entire USD1 thesis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3</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liquidity landscape — current state vs. target state across all venues</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  Tier 1 DeFi protocol integrations — Aave, Uniswap, Curve, Compound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5</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3.2  Tier 2 DeFi protocol integrations — Morpho, Pendle, GMX, Hyperliquid</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6</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  Centralized exchange depth — Binance, Coinbase, OKX, Bybit, Kraken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7</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3.4  Market maker strategy — agreements, spread targets, and institutional flow</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8</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3.5  Real-time proof of reserves as a DeFi commercial weapon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9</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Dependency map and risk register</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10</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Master tracker — all deliverables, owners, timelines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11</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Review instructions — questions requiring team input</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2 — Strategic Context: Why Liquidity Is the Load-Bearing Condition</w:t>
      </w:r>
    </w:p>
    <w:p>
      <w:pPr>
        <w:pStyle w:val="Heading2"/>
        <w:spacing w:before="320" w:after="120"/>
      </w:pPr>
      <w:r>
        <w:rPr>
          <w:rFonts w:ascii="Arial" w:cs="Arial" w:eastAsia="Arial" w:hAnsi="Arial"/>
          <w:b/>
          <w:bCs/>
          <w:i w:val="false"/>
          <w:iCs w:val="false"/>
          <w:color w:val="1A3C8F"/>
          <w:sz w:val="26"/>
          <w:szCs w:val="26"/>
        </w:rPr>
        <w:t xml:space="preserve">2.1  The Problem Pillar 3 Solves</w:t>
      </w:r>
    </w:p>
    <w:p>
      <w:pPr>
        <w:spacing w:before="60" w:after="100"/>
      </w:pPr>
      <w:r>
        <w:rPr>
          <w:rFonts w:ascii="Arial" w:cs="Arial" w:eastAsia="Arial" w:hAnsi="Arial"/>
          <w:b w:val="false"/>
          <w:bCs w:val="false"/>
          <w:i w:val="false"/>
          <w:iCs w:val="false"/>
          <w:color w:val="0A0F1E"/>
          <w:sz w:val="20"/>
          <w:szCs w:val="20"/>
        </w:rPr>
        <w:t xml:space="preserve">The agentic economy thesis for USD1 only works if agents can actually use USD1 once they earn it. An agent that receives USD1 as payment for a completed task needs to be able to deploy that USD1 into lending protocols, provide it as liquidity, use it as collateral, or move it to another chain — at the same speed and at similar depth as USDC or USDT. If it cannot, developers building agentic systems will route around USD1 and default to whichever stablecoin has the deepest DeFi presence. That is currently USDC on most chains and USDT by global volume.</w:t>
      </w:r>
    </w:p>
    <w:p>
      <w:pPr>
        <w:spacing w:before="80" w:after="0"/>
      </w:pPr>
      <w:r>
        <w:t xml:space="preserve"/>
      </w:r>
    </w:p>
    <w:p>
      <w:pPr>
        <w:pBdr>
          <w:left w:val="single" w:color="9F1239" w:sz="16" w:space="14"/>
        </w:pBdr>
        <w:shd w:fill="FFF1F2" w:val="clear"/>
        <w:spacing w:before="140" w:after="140"/>
        <w:ind w:left="240"/>
      </w:pPr>
      <w:r>
        <w:rPr>
          <w:rFonts w:ascii="Arial" w:cs="Arial" w:eastAsia="Arial" w:hAnsi="Arial"/>
          <w:b w:val="false"/>
          <w:bCs w:val="false"/>
          <w:i/>
          <w:iCs/>
          <w:color w:val="0A0F1E"/>
          <w:sz w:val="20"/>
          <w:szCs w:val="20"/>
        </w:rPr>
        <w:t xml:space="preserve">Thin liquidity is not a second-order problem that can be solved later. It is the condition that makes or breaks every other pillar. Pillar 1 (technical infrastructure) and Pillar 2 (G42 distribution) both deliver developers and agents to USD1. Pillar 3 determines whether they stay.</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2.2  The Competitive Liquidity Gap</w:t>
      </w:r>
    </w:p>
    <w:p>
      <w:pPr>
        <w:spacing w:before="60" w:after="100"/>
      </w:pPr>
      <w:r>
        <w:rPr>
          <w:rFonts w:ascii="Arial" w:cs="Arial" w:eastAsia="Arial" w:hAnsi="Arial"/>
          <w:b w:val="false"/>
          <w:bCs w:val="false"/>
          <w:i w:val="false"/>
          <w:iCs w:val="false"/>
          <w:color w:val="0A0F1E"/>
          <w:sz w:val="20"/>
          <w:szCs w:val="20"/>
        </w:rPr>
        <w:t xml:space="preserve">The scale of the gap is important to understand clearly before setting targets: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Metric</w:t>
            </w:r>
          </w:p>
        </w:tc>
        <w:tc>
          <w:tcPr>
            <w:tcW w:type="dxa" w:w="2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USDC</w:t>
            </w:r>
          </w:p>
        </w:tc>
        <w:tc>
          <w:tcPr>
            <w:tcW w:type="dxa" w:w="2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USDT</w:t>
            </w:r>
          </w:p>
        </w:tc>
        <w:tc>
          <w:tcPr>
            <w:tcW w:type="dxa" w:w="19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(Current)</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Market cap</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~$55B</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~$140B</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TVL (collateral)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~$7B+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~$2B+</w:t>
            </w:r>
          </w:p>
        </w:tc>
        <w:tc>
          <w:tcPr>
            <w:tcW w:type="dxa" w:w="196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Not yet listed</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 daily volume</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Dominant</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High</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Minimal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 pool depth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3Pool anchor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3Pool anchor</w:t>
            </w:r>
          </w:p>
        </w:tc>
        <w:tc>
          <w:tcPr>
            <w:tcW w:type="dxa" w:w="196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Not in 3Pool</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spot pairs</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Deep</w:t>
            </w:r>
          </w:p>
        </w:tc>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Deepest</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[NEEDS REVIEW]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Market makers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Wintermute, Cumberland, Galaxy + dozens more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Same + proprietary</w:t>
            </w:r>
          </w:p>
        </w:tc>
        <w:tc>
          <w:tcPr>
            <w:tcW w:type="dxa" w:w="196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[NEEDS REVIEW]</w:t>
            </w:r>
          </w:p>
        </w:tc>
      </w:tr>
    </w:tbl>
    <w:p>
      <w:pPr>
        <w:spacing w:before="120" w:after="0"/>
      </w:pPr>
      <w:r>
        <w:t xml:space="preserve"/>
      </w:r>
    </w:p>
    <w:p>
      <w:pPr>
        <w:spacing w:before="60" w:after="100"/>
      </w:pPr>
      <w:r>
        <w:rPr>
          <w:rFonts w:ascii="Arial" w:cs="Arial" w:eastAsia="Arial" w:hAnsi="Arial"/>
          <w:b w:val="false"/>
          <w:bCs w:val="false"/>
          <w:i w:val="false"/>
          <w:iCs w:val="false"/>
          <w:color w:val="0A0F1E"/>
          <w:sz w:val="20"/>
          <w:szCs w:val="20"/>
        </w:rPr>
        <w:t xml:space="preserve">The gap is real and it is large. The strategic question is not whether USD1 can close it completely in 180 days — it cannot. The question is whether USD1 can achieve enough liquidity depth on enough venues within 60-120 days to be usable for the sophisticated agents and institutional participants who are evaluating it right now. The 180-day target from the strategic roadmap is USD1 liquidity within 20% of USDC depth on Tier 1 DeFi protocols. That is achievable with material capital allocation and disciplined protocol engagement.</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2.3  Why This Is Also a Narrative Battle</w:t>
      </w:r>
    </w:p>
    <w:p>
      <w:pPr>
        <w:spacing w:before="60" w:after="100"/>
      </w:pPr>
      <w:r>
        <w:rPr>
          <w:rFonts w:ascii="Arial" w:cs="Arial" w:eastAsia="Arial" w:hAnsi="Arial"/>
          <w:b w:val="false"/>
          <w:bCs w:val="false"/>
          <w:i w:val="false"/>
          <w:iCs w:val="false"/>
          <w:color w:val="0A0F1E"/>
          <w:sz w:val="20"/>
          <w:szCs w:val="20"/>
        </w:rPr>
        <w:t xml:space="preserve">Tether's market cap durability is almost entirely explained by exchange liquidity depth, not regulatory compliance or product quality. Institutions and agentic systems default to USDT or USDC on any exchange where USD1 is illiquid — not because they prefer those assets, but because slippage and execution risk make thin-liquidity assets uneconomical for large or high-frequency transactions.</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Every basis point of slippage on a USD1 trade is an argument for USDC. Every DeFi protocol that lists USD1 with deep liquidity is an argument against USDC. The liquidity BD team is not running a technical integration process. It is running a market share capture operation with a clear target state and a hard clock.</w:t>
      </w:r>
    </w:p>
    <w:p>
      <w:pPr>
        <w:spacing w:before="8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The DeFi and exchange liquidity BD team should think of this as a 90-day capital deployment and relationship execution sprint, not an ongoing integration pipeline. The window where being 'new and interesting' can substitute for depth is short. After 90 days, liquidity depth is the only argument that matters.</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3 — The Liquidity Landscape: Current State &amp; Target State</w:t>
      </w:r>
    </w:p>
    <w:p>
      <w:pPr>
        <w:spacing w:before="60" w:after="100"/>
      </w:pPr>
      <w:r>
        <w:rPr>
          <w:rFonts w:ascii="Arial" w:cs="Arial" w:eastAsia="Arial" w:hAnsi="Arial"/>
          <w:b w:val="false"/>
          <w:bCs w:val="false"/>
          <w:i w:val="false"/>
          <w:iCs w:val="false"/>
          <w:color w:val="0A0F1E"/>
          <w:sz w:val="20"/>
          <w:szCs w:val="20"/>
        </w:rPr>
        <w:t xml:space="preserve">Before executing on individual protocol and exchange conversations, the team needs a single view of where USD1 stands today and where it needs to be at each milestone. This section is the reference map for all prioritization decisions.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c>
          <w:tcPr>
            <w:tcW w:type="dxa" w:w="2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Venue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Current Status</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30-Day Target</w:t>
            </w:r>
          </w:p>
        </w:tc>
        <w:tc>
          <w:tcPr>
            <w:tcW w:type="dxa" w:w="19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90-Day Target</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180-Day Target</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v3</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DC2626"/>
                <w:sz w:val="18"/>
                <w:szCs w:val="18"/>
              </w:rPr>
              <w:t xml:space="preserve">Not listed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Governance proposal submitted</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Listed — $200M+ TVL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Top 3 stablecoin by Aave TVL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 v3/v4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i w:val="false"/>
                <w:iCs w:val="false"/>
                <w:color w:val="D97706"/>
                <w:sz w:val="18"/>
                <w:szCs w:val="18"/>
              </w:rPr>
              <w:t xml:space="preserve">Minimal depth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USD1/USDC + USD1/ETH pools seeded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$50M+ pool depth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$150M+ pool depth</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 Finance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DC2626"/>
                <w:sz w:val="18"/>
                <w:szCs w:val="18"/>
              </w:rPr>
              <w:t xml:space="preserve">Not in stable pools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Gauge proposal submitted</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in a major stable pool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Gauge weight established, farming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Compound v3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i w:val="false"/>
                <w:iCs w:val="false"/>
                <w:color w:val="DC2626"/>
                <w:sz w:val="18"/>
                <w:szCs w:val="18"/>
              </w:rPr>
              <w:t xml:space="preserve">Not listed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Risk framework submission to Gauntlet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Listed as collateral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Active lending market</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Morpho</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DC2626"/>
                <w:sz w:val="18"/>
                <w:szCs w:val="18"/>
              </w:rPr>
              <w:t xml:space="preserve">Not listed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Curator conversation initiated</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vault deployed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Multiple vaults, yield-bearing USD1 exposure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i w:val="false"/>
                <w:iCs w:val="false"/>
                <w:color w:val="DC2626"/>
                <w:sz w:val="18"/>
                <w:szCs w:val="18"/>
              </w:rPr>
              <w:t xml:space="preserve">Not listed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BD conversation initiated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yield market live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Active PT/YT market with $25M+ TVL</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GMX v2</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DC2626"/>
                <w:sz w:val="18"/>
                <w:szCs w:val="18"/>
              </w:rPr>
              <w:t xml:space="preserve">Not listed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Governance proposal drafted</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in GLP/GM pool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Established position in perpetuals ecosystem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Hyperliquid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i w:val="false"/>
                <w:iCs w:val="false"/>
                <w:color w:val="DC2626"/>
                <w:sz w:val="18"/>
                <w:szCs w:val="18"/>
              </w:rPr>
              <w:t xml:space="preserve">Not listed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Team conversation initiated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collateral support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Deep order book support</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Listing confirmed or timeline locked</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Deep spot pairs live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Futures and lending market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Advanced listing discussions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Listed on Coinbase Advanced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 Prime integration</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OKX</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Listing confirmed or timeline locked</w:t>
            </w:r>
          </w:p>
        </w:tc>
        <w:tc>
          <w:tcPr>
            <w:tcW w:type="dxa" w:w="1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Spot pairs live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Derivatives and earn products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Bybit / Kraken</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Active listing conversations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Listed on both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Market depth established</w:t>
            </w:r>
          </w:p>
        </w:tc>
      </w:tr>
    </w:tbl>
    <w:p>
      <w:pPr>
        <w:spacing w:before="12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TEAM REVIEW] The 'Current Status' column for all CEX entries is marked for review. Before this document is finalized, the team should update the actual current status of every listing conversation — which are live, which are in advanced discussions, which are early stage. This changes prioritization significantly.</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4 — Workstream 3.1: Tier 1 DeFi Protocol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Target Protocols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v3, Uniswap v3/v4, Curve Finance, Compound v3</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four protocols: governance proposals submitted within 30 days; active liquidity within 60 days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Strategic Rationale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These are the four protocols every DeFi agent and institutional participant assumes are available for any serious stablecoin. Absence from these protocols is not a gap — it is a disqualifier.</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4.1  Aave v3</w:t>
      </w:r>
    </w:p>
    <w:p>
      <w:pPr>
        <w:spacing w:before="60" w:after="100"/>
      </w:pPr>
      <w:r>
        <w:rPr>
          <w:rFonts w:ascii="Arial" w:cs="Arial" w:eastAsia="Arial" w:hAnsi="Arial"/>
          <w:b w:val="false"/>
          <w:bCs w:val="false"/>
          <w:i w:val="false"/>
          <w:iCs w:val="false"/>
          <w:color w:val="0A0F1E"/>
          <w:sz w:val="20"/>
          <w:szCs w:val="20"/>
        </w:rPr>
        <w:t xml:space="preserve">Aave is the primary DeFi lending protocol and the most important single integration for USD1. An agent that earns USD1 and wants to deploy it productively has one obvious first destination: Aave. USD1 listed as collateral on Aave is the single most powerful DeFi signal available — it is how USDC established institutional legitimacy in DeFi.</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4.1.1  Governance Process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Aave governance requires a formal proposal submitted to the Aave governance forum — the ARC (Aave Request for Comment) process followed by an AIP (Aave Improvement Proposal) on Snapshot and then on-chain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Risk parameters must be specified in the proposal: LTV (loan-to-value ratio), liquidation threshold, liquidation bonus, reserve factor, and supply/borrow caps. These are reviewed by Gauntlet (Aave's primary risk framework provider)</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Real-time proof of reserves API is the key differentiator in the Gauntlet risk assessment — submit the PoR API endpoint alongside the ARC so Gauntlet can build it into their risk scoring model. No other stablecoin applying for Aave listing can offer this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Engage a delegate with significant Aave governance voting power to co-sponsor the proposal — cold proposals from unknown addresses move slowly; sponsored proposals from known delegates move in weeks</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4.1.2  Target Risk Parameters for ARC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1600"/>
      </w:tblGrid>
      <w:tr>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Parameter</w:t>
            </w:r>
          </w:p>
        </w:tc>
        <w:tc>
          <w:tcPr>
            <w:tcW w:type="dxa" w:w="218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Proposed Value</w:t>
            </w:r>
          </w:p>
        </w:tc>
        <w:tc>
          <w:tcPr>
            <w:tcW w:type="dxa" w:w="218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USDC Benchmark</w:t>
            </w:r>
          </w:p>
        </w:tc>
        <w:tc>
          <w:tcPr>
            <w:tcW w:type="dxa" w:w="1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Rationale</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LTV</w:t>
            </w:r>
          </w:p>
        </w:tc>
        <w:tc>
          <w:tcPr>
            <w:tcW w:type="dxa" w:w="218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75%</w:t>
            </w:r>
          </w:p>
        </w:tc>
        <w:tc>
          <w:tcPr>
            <w:tcW w:type="dxa" w:w="218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77%</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Conservative start; upgrade post-track-record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Liquidation Threshold</w:t>
            </w:r>
          </w:p>
        </w:tc>
        <w:tc>
          <w:tcPr>
            <w:tcW w:type="dxa" w:w="21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80%</w:t>
            </w:r>
          </w:p>
        </w:tc>
        <w:tc>
          <w:tcPr>
            <w:tcW w:type="dxa" w:w="21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80%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Matches USDC — defensible to governance</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Liquidation Bonus</w:t>
            </w:r>
          </w:p>
        </w:tc>
        <w:tc>
          <w:tcPr>
            <w:tcW w:type="dxa" w:w="218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w:t>
            </w:r>
          </w:p>
        </w:tc>
        <w:tc>
          <w:tcPr>
            <w:tcW w:type="dxa" w:w="218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Slightly higher to attract liquidator activity early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Reserve Factor</w:t>
            </w:r>
          </w:p>
        </w:tc>
        <w:tc>
          <w:tcPr>
            <w:tcW w:type="dxa" w:w="21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10%</w:t>
            </w:r>
          </w:p>
        </w:tc>
        <w:tc>
          <w:tcPr>
            <w:tcW w:type="dxa" w:w="21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Matches market standard</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Supply Cap (initial)</w:t>
            </w:r>
          </w:p>
        </w:tc>
        <w:tc>
          <w:tcPr>
            <w:tcW w:type="dxa" w:w="218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$150M</w:t>
            </w:r>
          </w:p>
        </w:tc>
        <w:tc>
          <w:tcPr>
            <w:tcW w:type="dxa" w:w="218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No cap</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Conservative cap expandable by governance; signals responsible launch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Borrow Cap (initial)</w:t>
            </w:r>
          </w:p>
        </w:tc>
        <w:tc>
          <w:tcPr>
            <w:tcW w:type="dxa" w:w="21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$100M</w:t>
            </w:r>
          </w:p>
        </w:tc>
        <w:tc>
          <w:tcPr>
            <w:tcW w:type="dxa" w:w="21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No cap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Conservative; reduces protocol risk during initial period</w:t>
            </w:r>
          </w:p>
        </w:tc>
      </w:tr>
    </w:tbl>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TEAM REVIEW] These parameters are indicative based on Aave governance precedents for new stablecoin listings. The team should validate these with a Gauntlet contact before submitting the ARC — parameters that Gauntlet flags as aggressive will slow the governance process by weeks.</w:t>
      </w:r>
    </w:p>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4.1.3  Liquidity Incentives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Seed the Aave lending market with $20-30M of USD1 supply at listing to establish a visible TVL number from day one — governance delegates notice supply depth</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Offer WLFI or USD1-denominated incentives to early Aave suppliers for the first 90 days — this drives TVL growth organically and signals commitment to the protocol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Target: $200M TVL within 60 days of listing. This is the threshold at which Aave risk committees begin treating USD1 as a stable asset rather than a trial listing</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4.2  Uniswap v3/v4</w:t>
      </w:r>
    </w:p>
    <w:p>
      <w:pPr>
        <w:spacing w:before="60" w:after="100"/>
      </w:pPr>
      <w:r>
        <w:rPr>
          <w:rFonts w:ascii="Arial" w:cs="Arial" w:eastAsia="Arial" w:hAnsi="Arial"/>
          <w:b w:val="false"/>
          <w:bCs w:val="false"/>
          <w:i w:val="false"/>
          <w:iCs w:val="false"/>
          <w:color w:val="0A0F1E"/>
          <w:sz w:val="20"/>
          <w:szCs w:val="20"/>
        </w:rPr>
        <w:t xml:space="preserve">Uniswap is the primary DEX and price discovery venue. Deep USD1 liquidity on Uniswap is essential for two reasons: it provides the price reference that other protocols use for risk management, and it is the settlement venue for any agent that needs to convert USD1 to another asset instantly.</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4.2.1  Pool Strategy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Primary pools: USD1/USDC (0.01% fee tier) and USD1/ETH (0.05% fee tier) — these are the two pools that institutional market participants and agents will use for execution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Seed both pools with meaningful capital at launch — USD1/USDC pool requires $10M minimum to have sub-0.1% slippage on $1M trades; below that threshold, slippage discourages institutional use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Uniswap v4 hooks present an opportunity to build a USD1-specific hook that integrates real-time PoR verification into the pool's LP management — flag this to the technical team as a potential first-mover differentiation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Consider a Uniswap v4 position manager integration that allows agents to programmatically manage USD1 LP positions — this ties liquidity provision directly to the agentic use case</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4.2.2  Liquidity Mining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Run a 90-day liquidity mining program for the USD1/USDC pool — WLFI token rewards or USD1 incentives to LPs who maintain positions above a minimum size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Target: $50M in USD1/USDC pool depth within 30 days of launch; $150M within 90 days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Engage 2-3 professional liquidity managers (Arrakis, Gamma, or similar) to manage concentrated liquidity positions — this produces tighter spreads and better capital efficiency than individual LP positions</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TEAM REVIEW] What is the current state of any USD1 liquidity on Uniswap? Are there any existing pools, however small, that the team is aware of? Starting state determines whether this is a seeding exercise or a deepening exercise.</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4.3  Curve Finance</w:t>
      </w:r>
    </w:p>
    <w:p>
      <w:pPr>
        <w:spacing w:before="60" w:after="100"/>
      </w:pPr>
      <w:r>
        <w:rPr>
          <w:rFonts w:ascii="Arial" w:cs="Arial" w:eastAsia="Arial" w:hAnsi="Arial"/>
          <w:b w:val="false"/>
          <w:bCs w:val="false"/>
          <w:i w:val="false"/>
          <w:iCs w:val="false"/>
          <w:color w:val="0A0F1E"/>
          <w:sz w:val="20"/>
          <w:szCs w:val="20"/>
        </w:rPr>
        <w:t xml:space="preserve">Curve is the settlement layer for large stablecoin flows and the canonical venue for stablecoin-to-stablecoin conversion. Being in a Curve pool — specifically a pool alongside USDC and USDT — is the single most powerful signal of stablecoin legitimacy in DeFi. The 3Pool (DAI/USDC/USDT) is the benchmark. USD1 will not displace these assets from the 3Pool, but establishing a USD1-paired pool with gauge weight is a high-value integration.</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4.3.1  Pool Strategy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Target: a USD1/USDC/USDT pool (a '3Pool-adjacent' pool) or a USD1/FRAX/USDC pool — these structures are well understood by Curve governance and get approved faster than novel configurations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Alternative path: a USD1/crvUSD pool, which is Curve's own stablecoin — this aligns with Curve's incentive to grow crvUSD usage and may get faster governance support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Gauge weight is the prize: a Curve gauge emits CRV rewards to LPs in the pool, which attracts third-party liquidity without requiring WLFI to seed it all directly</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4.3.2  Gauge Acquisition Strategy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Curve gauge weight is controlled by veCRV holders (veCRV = vote-escrowed CRV). The fastest path to gauge weight is to acquire veCRV or work with a protocol that already holds significant veCRV (Convex, Yearn, StakeDAO)</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Approach Convex Finance: Convex controls the largest single block of veCRV. A Convex bribe (paying vlCVX holders to vote for the USD1 gauge) is the fastest mechanism to direct CRV emissions to a new pool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Budget for bribes: the current cost to direct $1M of annual CRV emissions to a pool is approximately $20-40K per two-week voting round. Assess the required emission level based on target TVL and budget accordingly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Alternative: approach Curve DAO directly via a proposal that includes an initial WLFI protocol-owned liquidity contribution — protocols that seed their own liquidity get more favorable governance consideration</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TEAM REVIEW] Does WLFI currently hold any CRV, veCRV, or CVX? If yes, this accelerates the gauge acquisition timeline significantly. If no, the bribe route is the fastest path but requires a specific budget allocation.</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4.4  Compound v3</w:t>
      </w:r>
    </w:p>
    <w:p>
      <w:pPr>
        <w:spacing w:before="60" w:after="100"/>
      </w:pPr>
      <w:r>
        <w:rPr>
          <w:rFonts w:ascii="Arial" w:cs="Arial" w:eastAsia="Arial" w:hAnsi="Arial"/>
          <w:b w:val="false"/>
          <w:bCs w:val="false"/>
          <w:i w:val="false"/>
          <w:iCs w:val="false"/>
          <w:color w:val="0A0F1E"/>
          <w:sz w:val="20"/>
          <w:szCs w:val="20"/>
        </w:rPr>
        <w:t xml:space="preserve">Compound v3 (Comet) operates a risk-isolated market structure where each market has its own risk parameters, independently assessed. The governance process is more streamlined than Aave and the community is generally receptive to well-prepared proposals from credible stablecoins.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Submit a Compound governance proposal for USD1 as a collateral asset in the USDC Comet market — this is the highest-traffic Compound market and the natural home for stablecoin collateral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Engage Gauntlet (also Compound's primary risk framework provider) to pre-assess risk parameters before the formal governance submission — a Gauntlet-endorsed proposal moves significantly faster</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real-time PoR API should be submitted to Gauntlet as part of the pre-assessment — frame it as 'our reserve verification is machine-readable and can be integrated into Gauntlet's continuous monitoring model'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Target risk parameters: LTV 90%, liquidation threshold 93%, liquidation factor 5% — stablecoin-to-stablecoin collateral warrants high LTV given low price risk</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After Compound listing is confirmed, pursue Compound's earn product integration — USD1 as a yield-bearing asset in Compound Earn expands the addressable user base beyond DeFi-native participants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4.5  Tier 1 Protocol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400"/>
        <w:gridCol w:w="1600"/>
      </w:tblGrid>
      <w:tr>
        <w:tc>
          <w:tcPr>
            <w:tcW w:type="dxa" w:w="4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Protocol</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Gauntlet pre-assessment submitted for Aave + Compound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Compound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ARC submitted to Aave governance forum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USD1/USDC Uniswap pool seeded with $10M minimum</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 pool deployed and gauge proposal submitted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Compound governance proposal submitted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Compound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listing live — USD1 active as collateral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 pool depth $50M+</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 gauge weight secured; CRV emissions flowing to USD1 pool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Compound listing live — USD1 active as collateral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Compound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TVL $200M+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5 — Workstream 3.2: Tier 2 DeFi Protocol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Target Protocols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Morpho, Pendle, GMX v2, Hyperliquid</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Initial conversations: 30-60 days. Active integrations: 60-120 days.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Strategic Rationale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These are the protocols where sophisticated agent activity and institutional DeFi flow is growing fastest. Being present here before USD1 is mainstream signals to advanced DeFi participants that USD1 is a serious asset.</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5.1  Morpho</w:t>
      </w:r>
    </w:p>
    <w:p>
      <w:pPr>
        <w:spacing w:before="60" w:after="100"/>
      </w:pPr>
      <w:r>
        <w:rPr>
          <w:rFonts w:ascii="Arial" w:cs="Arial" w:eastAsia="Arial" w:hAnsi="Arial"/>
          <w:b w:val="false"/>
          <w:bCs w:val="false"/>
          <w:i w:val="false"/>
          <w:iCs w:val="false"/>
          <w:color w:val="0A0F1E"/>
          <w:sz w:val="20"/>
          <w:szCs w:val="20"/>
        </w:rPr>
        <w:t xml:space="preserve">Morpho is the fastest-growing lending protocol in DeFi, built on top of Aave and Compound with a curator model that allows specialized vaults to be deployed with custom risk parameters. USD1 in Morpho is strategically important because Morpho attracts the most sophisticated DeFi lenders and creates yield-bearing USD1 exposure that can be used in other protocols.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Morpho uses a 'curator' model — any address can deploy a Morpho vault for any asset, with its own risk parameters and collateral configuration. This means USD1 does not need a governance vote to list on Morpho — a curator just deploys a vault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Identify and approach 2-3 established Morpho curators (Block Analitica, Steakhouse Financial, RE7 Labs) to deploy a USD1 vault — curators with existing reputations attract TVL faster than a WLFI-deployed vault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In parallel, deploy a WLFI-curated USD1 vault as protocol-owned liquidity — this seeds the vault and establishes WLFI as an active Morpho participant, not just a borrower</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Target: a USD1 vault accepting USD1 as collateral against USDC borrowing — this is the natural use case for agents holding USD1 who want to generate yield without selling their position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Morpho's integration with Pendle (below) creates an opportunity for a USD1 yield-bearing vault whose principal tokens are tradeable on Pendle — this compound integration is worth pursuing in the 60-90 day window</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5.2  Pendle Finance</w:t>
      </w:r>
    </w:p>
    <w:p>
      <w:pPr>
        <w:spacing w:before="60" w:after="100"/>
      </w:pPr>
      <w:r>
        <w:rPr>
          <w:rFonts w:ascii="Arial" w:cs="Arial" w:eastAsia="Arial" w:hAnsi="Arial"/>
          <w:b w:val="false"/>
          <w:bCs w:val="false"/>
          <w:i w:val="false"/>
          <w:iCs w:val="false"/>
          <w:color w:val="0A0F1E"/>
          <w:sz w:val="20"/>
          <w:szCs w:val="20"/>
        </w:rPr>
        <w:t xml:space="preserve">Pendle enables the separation and trading of yield from principal, creating PT (principal token) and YT (yield token) markets for any yield-bearing asset. USD1 in Pendle is strategically important because it creates a fixed-rate USD1 market — giving institutional users and agents the ability to lock in a known yield on USD1 holdings, which is essential for treasury management.</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Pendle integration requires a yield-bearing USD1 variant as the underlying — for example, USD1 deposited in Aave or Morpho generates yield that Pendle can wrap and split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This means the Pendle integration is sequentially dependent on Aave or Morpho listing first — sequence: Aave/Morpho listing → Pendle integration (approximately 60-90 days total)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Target: a USD1 PT/YT market with $25M+ TVL within 90 days of Pendle launch. At this scale, Pendle's incentive programs (Pendle Points, SY integration) will contribute additional TVL growth organically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Frame the Pendle integration in BD conversations as 'fixed-rate dollar yield for agents' — this is the product positioning that resonates with institutional treasury teams managing agent payment float</w:t>
      </w:r>
    </w:p>
    <w:p>
      <w:pPr>
        <w:spacing w:before="80" w:after="0"/>
      </w:pPr>
      <w:r>
        <w:t xml:space="preserve"/>
      </w:r>
    </w:p>
    <w:p>
      <w:pPr>
        <w:pBdr>
          <w:left w:val="single" w:color="6D28D9" w:sz="16" w:space="14"/>
        </w:pBdr>
        <w:shd w:fill="F5F3FF" w:val="clear"/>
        <w:spacing w:before="140" w:after="140"/>
        <w:ind w:left="240"/>
      </w:pPr>
      <w:r>
        <w:rPr>
          <w:rFonts w:ascii="Arial" w:cs="Arial" w:eastAsia="Arial" w:hAnsi="Arial"/>
          <w:b w:val="false"/>
          <w:bCs w:val="false"/>
          <w:i/>
          <w:iCs/>
          <w:color w:val="0A0F1E"/>
          <w:sz w:val="20"/>
          <w:szCs w:val="20"/>
        </w:rPr>
        <w:t xml:space="preserve">The Morpho → Pendle integration path creates a compound product: an agent earns USD1, deposits it in a Morpho vault, the vault token is wrapped by Pendle, and the agent can trade the yield component or lock in a fixed rate. This is the first agent-native yield product on a stablecoin. It should be positioned as such.</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5.3  GMX v2</w:t>
      </w:r>
    </w:p>
    <w:p>
      <w:pPr>
        <w:spacing w:before="60" w:after="100"/>
      </w:pPr>
      <w:r>
        <w:rPr>
          <w:rFonts w:ascii="Arial" w:cs="Arial" w:eastAsia="Arial" w:hAnsi="Arial"/>
          <w:b w:val="false"/>
          <w:bCs w:val="false"/>
          <w:i w:val="false"/>
          <w:iCs w:val="false"/>
          <w:color w:val="0A0F1E"/>
          <w:sz w:val="20"/>
          <w:szCs w:val="20"/>
        </w:rPr>
        <w:t xml:space="preserve">GMX is the dominant perpetuals and spot trading protocol on Arbitrum and Avalanche. USD1 in GMX's liquidity pool (GM pools in v2) gives USD1 exposure to the high-volume perpetuals ecosystem and makes USD1 usable as margin collateral for sophisticated trading agents.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GMX v2 uses 'GM pools' — single-asset or paired liquidity pools that back specific perpetuals markets. USD1 can be proposed as a collateral asset for the USD-denominated GM pools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GMX governance is relatively streamlined — engage the GMX governance forum with a proposal that includes USD1's TVL data, PoR API, OCC application status, and chain coverage. Frame USD1 as a safer, more transparent alternative to USDC for GMX's risk-conscious LP community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USD1 in GMX also enables 'long USD1' perpetuals positions — an under-appreciated use case for agents hedging stablecoin exposure across chains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GMX is concentrated on Arbitrum — this integration should be sequenced after the Arbitrum native deployment confirmed in Pillar 1 (cross-chain workstream)</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5.4  Hyperliquid</w:t>
      </w:r>
    </w:p>
    <w:p>
      <w:pPr>
        <w:spacing w:before="60" w:after="100"/>
      </w:pPr>
      <w:r>
        <w:rPr>
          <w:rFonts w:ascii="Arial" w:cs="Arial" w:eastAsia="Arial" w:hAnsi="Arial"/>
          <w:b w:val="false"/>
          <w:bCs w:val="false"/>
          <w:i w:val="false"/>
          <w:iCs w:val="false"/>
          <w:color w:val="0A0F1E"/>
          <w:sz w:val="20"/>
          <w:szCs w:val="20"/>
        </w:rPr>
        <w:t xml:space="preserve">Hyperliquid is the fastest-growing perps DEX by volume, operating a fully on-chain order book with native stablecoin margin. It is where the highest-frequency trading agents are operating and where order book depth matters more than AMM depth.</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Hyperliquid's listing process is more centralized than governance-based protocols — approach the Hyperliquid team directly for a listing conversation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key ask: USD1 as a supported margin asset alongside USDC — agents trading on Hyperliquid who earn USD1 should be able to use it as margin without converting first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Hyperliquid's builder code program allows protocols to offer fee rebates to users who interact through a protocol-deployed interface — consider a WLFI/USD1 builder code to attract agent trading volume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Hyperliquid is also adding spot trading — a USD1 spot listing on Hyperliquid would make it the first fully on-chain order book with USD1 depth, a meaningful first-mover positioning claim</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5.5  Tier 2 Protocol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400"/>
        <w:gridCol w:w="1600"/>
      </w:tblGrid>
      <w:tr>
        <w:tc>
          <w:tcPr>
            <w:tcW w:type="dxa" w:w="4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Protocol</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2-3 Morpho curators engaged for USD1 vault deployment</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Morpho</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WLFI-curated Morpho USD1 vault deployed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Morpho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 integration scoped (post-Aave listing)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GMX governance proposal submitted (post-Arbitrum deployment)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GMX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Hyperliquid team meeting held — margin asset listing discussion</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Hyperliquid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Morpho vault live with $10M+ TVL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Morpho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 PT/YT market live for yield-bearing USD1</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live on Hyperliquid as margin asset or spot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Hyperliquid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90-120 days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6 — Workstream 3.3: Centralized Exchange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Priority Exchanges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Coinbase, OKX, Bybit, Kraken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 OKX + Coinbase: confirmed within 30 days or timeline locked. All five: live within 90 days.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Key Principle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Exchange listing is necessary but not sufficient. Deep order books require market maker agreements in place before or at listing — a listed asset with no market maker support has wider spreads than an unlisted asset with OTC depth.</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6.1  Exchange Listing Strategy</w:t>
      </w:r>
    </w:p>
    <w:p>
      <w:pPr>
        <w:spacing w:before="60" w:after="100"/>
      </w:pPr>
      <w:r>
        <w:rPr>
          <w:rFonts w:ascii="Arial" w:cs="Arial" w:eastAsia="Arial" w:hAnsi="Arial"/>
          <w:b w:val="false"/>
          <w:bCs w:val="false"/>
          <w:i w:val="false"/>
          <w:iCs w:val="false"/>
          <w:color w:val="0A0F1E"/>
          <w:sz w:val="20"/>
          <w:szCs w:val="20"/>
        </w:rPr>
        <w:t xml:space="preserve">Exchange listings for stablecoins follow a different process than token listings. Stablecoins are evaluated on reserve transparency, regulatory compliance, and redemption mechanisms — not tokenomics or community size. USD1's listing profile is strong on all three:</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Reserve transparency: real-time on-chain proof of reserves, publicly accessible via API — this is the strongest reserve disclosure of any stablecoin currently seeking listings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Regulatory compliance: OCC Limited Trust Charter application filed, conditional approval expected May 2026; GENIUS Act compliant; EU MiCA in progress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Redemption mechanism: [NEEDS TEAM REVIEW — confirm USD1 redemption mechanics and any redemption restrictions for exchange listing submissions]</w:t>
      </w:r>
    </w:p>
    <w:p>
      <w:pPr>
        <w:spacing w:before="8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The OCC conditional approval in May is the most powerful exchange listing catalyst USD1 has. Exchanges that are hesitating on USD1 due to regulatory uncertainty will move quickly once a federal banking regulator has issued conditional approval. Sequence listings to close after May if possible, but lock in the terms now.</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6.2  Exchange-by-Exchange Strategy</w:t>
      </w:r>
    </w:p>
    <w:p>
      <w:pPr>
        <w:pStyle w:val="Heading3"/>
        <w:spacing w:before="240" w:after="80"/>
      </w:pPr>
      <w:r>
        <w:rPr>
          <w:rFonts w:ascii="Arial" w:cs="Arial" w:eastAsia="Arial" w:hAnsi="Arial"/>
          <w:b/>
          <w:bCs/>
          <w:i w:val="false"/>
          <w:iCs w:val="false"/>
          <w:color w:val="2563EB"/>
          <w:sz w:val="22"/>
          <w:szCs w:val="22"/>
        </w:rPr>
        <w:t xml:space="preserve">6.2.1  Binance</w:t>
      </w:r>
    </w:p>
    <w:p>
      <w:pPr>
        <w:spacing w:before="60" w:after="100"/>
      </w:pPr>
      <w:r>
        <w:rPr>
          <w:rFonts w:ascii="Arial" w:cs="Arial" w:eastAsia="Arial" w:hAnsi="Arial"/>
          <w:b w:val="false"/>
          <w:bCs w:val="false"/>
          <w:i w:val="false"/>
          <w:iCs w:val="false"/>
          <w:color w:val="0A0F1E"/>
          <w:sz w:val="20"/>
          <w:szCs w:val="20"/>
        </w:rPr>
        <w:t xml:space="preserve">Binance is the highest-priority listing by volume. A Binance listing plus deep market maker support would single-handedly close the liquidity gap with USDC on most metrics that matter to institutional and algorithmic participants.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Binance listing process for stablecoins is handled through the Binance institutional partnerships team, not the standard listing process. This requires a direct relationship with the Binance team, not an application form</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Binance will require: reserve proof (our PoR API is the strongest possible response), regulatory status (OCC + GENIUS Act), market cap and trading volume history, and technical integration with Binance's token standards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Priority pairs: USD1/USDT (highest volume pair for any stablecoin on Binance), USD1/BTC, and USD1/ETH — these three pairs cover institutional, DeFi-native, and retail use cases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Binance Simple Earn / Flexible Savings: negotiate USD1 inclusion in Binance Earn products — this is a significant distribution mechanism that exposes USD1 to Binance's retail base without requiring them to trade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[NEEDS TEAM REVIEW] Current status of Binance relationship — has there been any prior conversation? Who on the team has the Binance contact?</w:t>
      </w:r>
    </w:p>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6.2.2  Coinbase</w:t>
      </w:r>
    </w:p>
    <w:p>
      <w:pPr>
        <w:spacing w:before="60" w:after="100"/>
      </w:pPr>
      <w:r>
        <w:rPr>
          <w:rFonts w:ascii="Arial" w:cs="Arial" w:eastAsia="Arial" w:hAnsi="Arial"/>
          <w:b w:val="false"/>
          <w:bCs w:val="false"/>
          <w:i w:val="false"/>
          <w:iCs w:val="false"/>
          <w:color w:val="0A0F1E"/>
          <w:sz w:val="20"/>
          <w:szCs w:val="20"/>
        </w:rPr>
        <w:t xml:space="preserve">Coinbase is strategically important beyond volume — a Coinbase listing signals regulatory legitimacy to U.S. institutional participants in a way no other exchange does. Coinbase's own regulatory positioning means they are receptive to GENIUS-compliant stablecoins with OCC credentials.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Coinbase's stablecoin listing process goes through their asset hub and is reviewed by their legal and compliance team. The OCC application status and GENIUS Act compliance should be the lead credentials in any Coinbase listing submission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Coinbase Advanced Trade is the priority listing target — this is where institutional and sophisticated retail flow happens. Coinbase Exchange (retail) follows naturally once Advanced Trade is live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Coinbase Prime: negotiate USD1 inclusion in Coinbase Prime — the institutional custody and trading platform. This is where hedge funds, family offices, and corporate treasuries access crypto. A Prime listing is more valuable than a retail listing for USD1's institutional positioning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Coinbase Institutional has a separate relationship track — if WLFI has any existing Coinbase Institutional relationship, this is the right entry point for the listing conversation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[NEEDS TEAM REVIEW] Current status of any Coinbase relationship or prior listing conversations</w:t>
      </w:r>
    </w:p>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6.2.3  OKX</w:t>
      </w:r>
    </w:p>
    <w:p>
      <w:pPr>
        <w:spacing w:before="60" w:after="100"/>
      </w:pPr>
      <w:r>
        <w:rPr>
          <w:rFonts w:ascii="Arial" w:cs="Arial" w:eastAsia="Arial" w:hAnsi="Arial"/>
          <w:b w:val="false"/>
          <w:bCs w:val="false"/>
          <w:i w:val="false"/>
          <w:iCs w:val="false"/>
          <w:color w:val="0A0F1E"/>
          <w:sz w:val="20"/>
          <w:szCs w:val="20"/>
        </w:rPr>
        <w:t xml:space="preserve">OKX is the third-largest exchange by volume and has the strongest presence in the Middle East and Asia — which aligns directly with Pillar 2's G42 corridor strategy. A USD1 listing on OKX gives the asset credibility in the exact geographies where G42 is distributing it.</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OKX listing conversations go through their business development team — approach through the existing WLFI BD network or through G42 relationships if G42 has OKX connections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Priority pairs: USD1/USDT, USD1/OKB — the OKB pair signals OKX commitment to the listing and attracts OKX-native trading activity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OKX Earn: USD1 in OKX's flexible and fixed-term earn products exposes the asset to OKX's large Middle East and Asia user base — negotiate this alongside the spot listing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OKX DEX integration: OKX operates a major DEX aggregator — ensure USD1 routing is enabled in OKX's DEX aggregation layer so on-chain trades route through USD1 pairs automatically</w:t>
      </w:r>
    </w:p>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6.2.4  Bybit &amp; Kraken</w:t>
      </w:r>
    </w:p>
    <w:p>
      <w:pPr>
        <w:spacing w:before="60" w:after="100"/>
      </w:pPr>
      <w:r>
        <w:rPr>
          <w:rFonts w:ascii="Arial" w:cs="Arial" w:eastAsia="Arial" w:hAnsi="Arial"/>
          <w:b w:val="false"/>
          <w:bCs w:val="false"/>
          <w:i w:val="false"/>
          <w:iCs w:val="false"/>
          <w:color w:val="0A0F1E"/>
          <w:sz w:val="20"/>
          <w:szCs w:val="20"/>
        </w:rPr>
        <w:t xml:space="preserve">Bybit and Kraken are Tier 2 priority exchanges. Bybit is the leading derivatives-focused exchange and is particularly important for USD1's perpetuals use case. Kraken is the most credible U.S.-regulated exchange after Coinbase and carries significant institutional trust.</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Bybit: focus on USD1 as perpetuals collateral alongside spot — Bybit's primary value to USD1 is derivatives market depth, not spot volume. A USD1-margined perpetuals market on Bybit would be the first dedicated stablecoin perps product for USD1</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Kraken: the Kraken listing process is thorough and compliance-heavy — start the process now so it closes within 90 days. Kraken Pro (institutional) is the priority tier, not Kraken retail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Both exchanges: ensure market maker agreements are in place before listing day — a listed asset on Bybit or Kraken with no market maker support will have wider spreads than USDC on the same exchange, which is worse than not listing</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6.3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1600"/>
        <w:gridCol w:w="1400"/>
        <w:gridCol w:w="1400"/>
      </w:tblGrid>
      <w:tr>
        <w:tc>
          <w:tcPr>
            <w:tcW w:type="dxa" w:w="49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Exchange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Listing terms agreed or timeline locked</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Listing terms agreed or Advanced Trade submission made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Listing terms agreed or timeline locked</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OKX</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Listing process initiated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Bybit, Kraken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USD1/USDT and USD1/BTC live with market maker support</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live on Coinbase Advanced Trade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60-90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live on OKX with Earn product</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OKX</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live on Bybit and Kraken with market maker support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Both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Simple Earn + OKX Earn integration live</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OKX</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7 — Workstream 3.4: Market Maker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Priority MMs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Wintermute, Cumberland DRW, Galaxy Digital — plus exchange-native MMs for each venue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2 market maker agreements signed before any Tier 1 exchange goes live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Non-Negotiable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Market maker agreements must be in place before or at listing — not after. Thin spreads on day 1 drive adoption; wide spreads on day 1 create a negative first impression that persists.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7.1  Why Market Makers Are Not Optional</w:t>
      </w:r>
    </w:p>
    <w:p>
      <w:pPr>
        <w:spacing w:before="60" w:after="100"/>
      </w:pPr>
      <w:r>
        <w:rPr>
          <w:rFonts w:ascii="Arial" w:cs="Arial" w:eastAsia="Arial" w:hAnsi="Arial"/>
          <w:b w:val="false"/>
          <w:bCs w:val="false"/>
          <w:i w:val="false"/>
          <w:iCs w:val="false"/>
          <w:color w:val="0A0F1E"/>
          <w:sz w:val="20"/>
          <w:szCs w:val="20"/>
        </w:rPr>
        <w:t xml:space="preserve">A stablecoin listing without market maker support produces spreads that make it uneconomical for institutional participants to use the asset. A 5bp spread on USDC/USD versus a 20bp spread on USD1/USD means that any institution or agent making a $10M transaction faces a $15,000 cost differential — per transaction. At scale, this is not a marginal inconvenience. It is a structural reason to use USDC.</w:t>
      </w:r>
    </w:p>
    <w:p>
      <w:pPr>
        <w:spacing w:before="80" w:after="0"/>
      </w:pPr>
      <w:r>
        <w:t xml:space="preserve"/>
      </w:r>
    </w:p>
    <w:p>
      <w:pPr>
        <w:pBdr>
          <w:left w:val="single" w:color="9F1239" w:sz="16" w:space="14"/>
        </w:pBdr>
        <w:shd w:fill="FFF1F2" w:val="clear"/>
        <w:spacing w:before="140" w:after="140"/>
        <w:ind w:left="240"/>
      </w:pPr>
      <w:r>
        <w:rPr>
          <w:rFonts w:ascii="Arial" w:cs="Arial" w:eastAsia="Arial" w:hAnsi="Arial"/>
          <w:b w:val="false"/>
          <w:bCs w:val="false"/>
          <w:i/>
          <w:iCs/>
          <w:color w:val="0A0F1E"/>
          <w:sz w:val="20"/>
          <w:szCs w:val="20"/>
        </w:rPr>
        <w:t xml:space="preserve">Thin order books kill institutional adoption faster than any regulatory issue. This is the single most important sentence in this document. Capital allocated to market maker agreements is not an expense — it is the mechanism by which all other Pillar 3 capital deployment becomes effective.</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7.2  Target Market Maker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Firm</w:t>
            </w:r>
          </w:p>
        </w:tc>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Specialty</w:t>
            </w:r>
          </w:p>
        </w:tc>
        <w:tc>
          <w:tcPr>
            <w:tcW w:type="dxa" w:w="4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Strategic Value</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Wintermute</w:t>
            </w:r>
          </w:p>
        </w:tc>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Largest crypto market maker by volume; DeFi and CeFi; strong on Uniswap, Curve, Binance</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single most important market maker relationship. Wintermute on USD1 pools would establish depth credibility immediately. They have existing relationships with all Tier 1 exchanges and DeFi protocols.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Cumberland DRW</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OTC and exchange market making; deep relationships with Coinbase Institutional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Priority for Coinbase and Kraken — Cumberland is the market maker institutional clients expect to see supporting an asset on these venues.</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Galaxy Digital</w:t>
            </w:r>
          </w:p>
        </w:tc>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trading desk; strong research publication that institutional clients read</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Galaxy publishing research on USD1 — which they will do if they are a market maker — is a significant institutional credibility signal. The research and market making relationships are linked.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Auros / Kairon Labs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Mid-tier crypto market makers; cost-effective; strong on Bybit and OKX</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Use for Bybit and OKX coverage where the Tier 1 firms may have higher minimum commitment thresholds.</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Exchange-native MMs</w:t>
            </w:r>
          </w:p>
        </w:tc>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Each major exchange has preferred market maker programs (Binance VIP, Coinbase MM program)</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Negotiate enrollment in exchange market maker programs alongside listing — these programs provide fee rebates that make providing liquidity economical for smaller MMs.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7.3  Market Maker Agreement Terms</w:t>
      </w:r>
    </w:p>
    <w:p>
      <w:pPr>
        <w:spacing w:before="60" w:after="100"/>
      </w:pPr>
      <w:r>
        <w:rPr>
          <w:rFonts w:ascii="Arial" w:cs="Arial" w:eastAsia="Arial" w:hAnsi="Arial"/>
          <w:b w:val="false"/>
          <w:bCs w:val="false"/>
          <w:i w:val="false"/>
          <w:iCs w:val="false"/>
          <w:color w:val="0A0F1E"/>
          <w:sz w:val="20"/>
          <w:szCs w:val="20"/>
        </w:rPr>
        <w:t xml:space="preserve">Market maker agreements for stablecoins have standard commercial structures. The key terms to negotiate:</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7.3.1  Spread and Depth Commitments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Maximum spread commitment: for USD1/USDT and USD1/USDC pairs, target a maximum spread of 3-5 basis points during core trading hours (08:00-20:00 UTC). This is in line with USDC/USDT spreads on major exchanges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Minimum order book depth: $2M minimum within 10bps of mid price for Binance/OKX; $500K minimum for Bybit/Kraken — these thresholds ensure institutional participants can execute without significant market impact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Uptime commitment: 95%+ uptime during trading hours, with defined procedures for circuit breakers during extreme market conditions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Reporting: weekly spread and depth reports submitted to WLFI — the team needs visibility into actual order book conditions, not just assurances</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7.3.2  Compensation Structure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Inventory provision: WLFI provides the market maker with USD1 inventory to quote from — the MM does not need to acquire market position on the open market to provide liquidity. This reduces the cost of the agreement significantly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Fee structure: market maker agreements for stablecoins are typically structured as either a flat monthly retainer or a rebate-sharing arrangement based on volume. For USD1 at its current stage, a retainer with performance bonuses tied to depth thresholds is preferable — it provides cost certainty while incentivizing quality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Risk parameters: define clearly the conditions under which the MM is permitted to reduce or suspend quoting — a de-peg event, oracle failure, or contract exploit — and the notification requirements</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TEAM REVIEW] What market maker relationships does WLFI currently have? Are there existing agreements or conversations with any of the firms listed above? This significantly affects whether the 'agreements before first listing' target is achievable.</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7.4  Institutional Execution Venues</w:t>
      </w:r>
    </w:p>
    <w:p>
      <w:pPr>
        <w:spacing w:before="60" w:after="100"/>
      </w:pPr>
      <w:r>
        <w:rPr>
          <w:rFonts w:ascii="Arial" w:cs="Arial" w:eastAsia="Arial" w:hAnsi="Arial"/>
          <w:b w:val="false"/>
          <w:bCs w:val="false"/>
          <w:i w:val="false"/>
          <w:iCs w:val="false"/>
          <w:color w:val="0A0F1E"/>
          <w:sz w:val="20"/>
          <w:szCs w:val="20"/>
        </w:rPr>
        <w:t xml:space="preserve">Beyond market makers on exchanges, USD1 needs to be accessible through the institutional execution infrastructure that large participants use for OTC and algorithmic trading:</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Wintermute OTC: negotiate a bilateral OTC trading agreement for USD1/USD and USD1/USDC — this allows institutions to execute large USD1 positions without moving the exchange market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Cumberland OTC desk: same structure — Cumberland serves the institutional clients that Coinbase Prime and Fidelity Digital Assets custody for</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Fireblocks network: Fireblocks is the dominant institutional crypto infrastructure provider. USD1 listed on Fireblocks' supported asset registry means every Fireblocks-connected institution can hold, transfer, and trade USD1 without custom integration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[NEEDS TEAM REVIEW] Is USD1 currently on Fireblocks? If not, this should be a parallel track to the exchange listing effort</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800"/>
        <w:gridCol w:w="1400"/>
        <w:gridCol w:w="800"/>
      </w:tblGrid>
      <w:tr>
        <w:tc>
          <w:tcPr>
            <w:tcW w:type="dxa" w:w="5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Counterparty</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Wintermute agreement term sheet agreed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Wintermute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Before first listing</w:t>
            </w:r>
          </w:p>
        </w:tc>
        <w:tc>
          <w:tcPr>
            <w:tcW w:type="dxa" w:w="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Cumberland agreement term sheet agreed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Cumberland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Before Coinbase</w:t>
            </w:r>
          </w:p>
        </w:tc>
        <w:tc>
          <w:tcPr>
            <w:tcW w:type="dxa" w:w="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2 MM agreements signed before first Tier 1 CEX listing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Min 2 firms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Galaxy Digital research coverage initiated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Galaxy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Spread &lt; 5bps on USD1/USDT verified on Binance at listing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MM</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listing</w:t>
            </w:r>
          </w:p>
        </w:tc>
        <w:tc>
          <w:tcPr>
            <w:tcW w:type="dxa" w:w="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on Fireblocks supported asset registry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Fireblocks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r>
      <w:tr>
        <w:tc>
          <w:tcPr>
            <w:tcW w:type="dxa" w:w="5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Weekly MM reporting cadence established with all active MMs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MMs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agreement</w:t>
            </w:r>
          </w:p>
        </w:tc>
        <w:tc>
          <w:tcPr>
            <w:tcW w:type="dxa" w:w="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8 — Workstream 3.5: Real-Time Proof of Reserves as a DeFi Commercial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Current Status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LIVE — real-time PoR API already deployed</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Task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Marketing it, not building it. The asset exists. It is not being used commercially.</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8.1  The Competitive Advantage That Is Not Being Used</w:t>
      </w:r>
    </w:p>
    <w:p>
      <w:pPr>
        <w:spacing w:before="60" w:after="100"/>
      </w:pPr>
      <w:r>
        <w:rPr>
          <w:rFonts w:ascii="Arial" w:cs="Arial" w:eastAsia="Arial" w:hAnsi="Arial"/>
          <w:b w:val="false"/>
          <w:bCs w:val="false"/>
          <w:i w:val="false"/>
          <w:iCs w:val="false"/>
          <w:color w:val="0A0F1E"/>
          <w:sz w:val="20"/>
          <w:szCs w:val="20"/>
        </w:rPr>
        <w:t xml:space="preserve">Circle publishes monthly PDF attestations signed by Deloitte. These are audited by humans, reviewed by lawyers, and available approximately 30 days after the reporting period. They cannot be queried by a protocol's risk framework, integrated into a market maker's monitoring system, or read by an agent verifying the backing of its holdings.</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USD1's real-time proof of reserves is a live, machine-readable API that any counterparty can query at any time. This is a genuinely differentiated asset in every DeFi protocol governance conversation, every exchange listing submission, and every market maker due diligence process. It is currently being treated as a compliance feature rather than a commercial one.</w:t>
      </w:r>
    </w:p>
    <w:p>
      <w:pPr>
        <w:spacing w:before="8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In every single DeFi protocol governance vote, exchange listing application, and market maker agreement negotiation, the real-time PoR API should be the first technical credential presented — before market cap, before chain coverage, before the OCC application. It is the most differentiated single fact about USD1's reserve infrastructure.</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8.2  DeFi Protocol Integration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Gauntlet (Aave + Compound risk framework): formally submit the PoR API endpoint to Gauntlet's asset assessment process. Request that Gauntlet integrate continuous PoR monitoring into their USD1 risk score — this would make USD1 the only stablecoin on Aave whose collateral risk score updates in real time based on reserve data</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Chaos Labs (alternative DeFi risk provider): same submission. Chaos Labs is used by several protocols where Gauntlet is not. Having both risk frameworks formally recognize the PoR API as a monitoring input is the goal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DefiLlama: request that DefiLlama integrate the USD1 PoR API into their stablecoin backing data — DefiLlama is the primary research tool for DeFi participants evaluating stablecoin risk</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DeFi risk dashboards: submit to Bluechip, Stable Review, and other stablecoin rating platforms — these are cited by governance delegates when evaluating new stablecoin proposals</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8.3  Exchange &amp; Market Maker Integration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Include the PoR API endpoint in every exchange listing submission — frame it as 'you can monitor our reserves in real time, not wait 30 days for a PDF'</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Provide Wintermute and Cumberland with direct API access to the PoR feed as part of their due diligence process — market makers who can monitor reserves in real time have a lower risk profile for inventory they hold against USD1 pairs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Negotiate with Binance and Coinbase to display the real-time PoR link on USD1's asset page — Binance's Proof of Reserves section and Coinbase's transparency pages would amplify the credential to millions of users</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8.4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PoR API formally submitted to Gauntlet for integration into risk scoring</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PoR API submitted to Chaos Labs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DefiLlama stablecoin data integration requested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PoR API included in all Tier 1 protocol governance proposals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With proposals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PoR API included in all exchange listing submissions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With submissions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Gauntlet confirms PoR API integrated into USD1 risk monitoring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1 exchange displays live PoR link on USD1 asset page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9 — Dependency Map &amp; Risk Register</w:t>
      </w:r>
    </w:p>
    <w:p>
      <w:pPr>
        <w:pStyle w:val="Heading2"/>
        <w:spacing w:before="320" w:after="120"/>
      </w:pPr>
      <w:r>
        <w:rPr>
          <w:rFonts w:ascii="Arial" w:cs="Arial" w:eastAsia="Arial" w:hAnsi="Arial"/>
          <w:b/>
          <w:bCs/>
          <w:i w:val="false"/>
          <w:iCs w:val="false"/>
          <w:color w:val="1A3C8F"/>
          <w:sz w:val="26"/>
          <w:szCs w:val="26"/>
        </w:rPr>
        <w:t xml:space="preserve">9.1  What Blocks What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2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Blocks</w:t>
            </w:r>
          </w:p>
        </w:tc>
        <w:tc>
          <w:tcPr>
            <w:tcW w:type="dxa" w:w="3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Market maker agreements signed (3.4)</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Tier 1 CEX listings</w:t>
            </w:r>
          </w:p>
        </w:tc>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Listings without MM support are counterproductive. MM agreements must precede or be simultaneous with any listing going live.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Gauntlet pre-assessment (3.1)</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ARC and Compound proposal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Both Aave and Compound use Gauntlet. A Gauntlet-pre-assessed proposal moves through governance in weeks; an unassessed proposal can take months.</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or Morpho listing (3.1/3.2)</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 integration (3.2)</w:t>
            </w:r>
          </w:p>
        </w:tc>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 requires a yield-bearing USD1 variant — which requires a lending protocol listing first.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Arbitrum native deployment (Pillar 1 / 1.4)</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GMX v2 listing (3.2)</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GMX is concentrated on Arbitrum. Listing USD1 on GMX before the Arbitrum native deployment would require bridged USD1, which introduces unnecessary trust assumptions in a high-risk protocol.</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conditional approval (May 2026)</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 Prime, Kraken, and institutional MOU close dates</w:t>
            </w:r>
          </w:p>
        </w:tc>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These counterparties may require or strongly prefer the OCC credential before final sign-off. Structure conversations to close after May where possible.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 pool seeded with $10M+ (3.1)</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Price reference validity for protocol governance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and Compound governance require a verifiable price oracle feed. Thin Uniswap pools produce manipulable price signals. Protocol risk committees will flag this.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9.2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Risk</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Severity</w:t>
            </w:r>
          </w:p>
        </w:tc>
        <w:tc>
          <w:tcPr>
            <w:tcW w:type="dxa" w:w="51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Mitigation</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DeFi liquidity gap persists — capital allocation insufficient to reach depth targets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C2626"/>
                <w:sz w:val="18"/>
                <w:szCs w:val="18"/>
              </w:rPr>
              <w:t xml:space="preserve">CRITICAL</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This risk is called out explicitly in the strategic roadmap. Allocating material capital to liquidity incentives is not optional. The team should present a specific capital allocation request to leadership if current budget is insufficient to achieve the 90-day depth targets.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Governance delays — Aave or Compound proposal takes 90+ days instead of 60</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HIGH</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Mitigate by engaging Gauntlet before submission and securing a well-known delegate as co-sponsor. Parallel-track all four Tier 1 protocol proposals — do not wait for one to complete before submitting the next.</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Market maker negotiations stall — no agreement before listing day</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HIGH</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This is the most operationally critical risk. Start Wintermute and Cumberland conversations this week. If primary MMs cannot be closed in 30 days, engage Auros or Kairon Labs as interim MMs to ensure listing day spread quality.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listing delayed — most impactful single listing failure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HIGH</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listing delays are common. Parallel-track OKX and Bybit to ensure there is deep exchange liquidity regardless of Binance timing. Do not build the 90-day plan around Binance as a dependency.</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 gauge competition — unable to secure meaningful CRV emissions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MEDIUM</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Bribe costs and gauge competition are real. If veCRV acquisition path is not viable, focus on a crvUSD-paired pool (Curve has direct incentive to support this) or allocate the Curve budget to Uniswap instead.</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10 — Master Delivery Tracker</w:t>
      </w:r>
    </w:p>
    <w:p>
      <w:pPr>
        <w:spacing w:before="60" w:after="100"/>
      </w:pPr>
      <w:r>
        <w:rPr>
          <w:rFonts w:ascii="Arial" w:cs="Arial" w:eastAsia="Arial" w:hAnsi="Arial"/>
          <w:b w:val="false"/>
          <w:bCs w:val="false"/>
          <w:i w:val="false"/>
          <w:iCs w:val="false"/>
          <w:color w:val="0A0F1E"/>
          <w:sz w:val="20"/>
          <w:szCs w:val="20"/>
        </w:rPr>
        <w:t xml:space="preserve">All Pillar 3 deliverables. Owners and dates to be confirmed by the DeFi and exchange BD team during review.</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Now — 0 to 14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560"/>
        <w:gridCol w:w="1400"/>
        <w:gridCol w:w="1400"/>
      </w:tblGrid>
      <w:tr>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Wintermute relationship meeting scheduled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Cumberland relationship meeting scheduled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PoR API submitted to Gauntlet + Chaos Labs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3.5</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PoR API DefiLlama integration requested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3.5</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Current status of all CEX conversations documented (Section 3 table updated)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Immediate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Gauntlet pre-assessment contact initiated for Aave + Compound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Next — 14 to 60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560"/>
        <w:gridCol w:w="1400"/>
        <w:gridCol w:w="1400"/>
      </w:tblGrid>
      <w:tr>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 market maker agreements signed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Before listing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ARC submitted to governance forum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21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 USD1/USDC pool seeded — $10M minimum</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 pool deployed + gauge proposal submitted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Compound governance proposal submitted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 OKX listing terms agreed / timeline locked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 Advanced Trade submission made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Morpho curators engaged — 2+ committed to vault deployment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listing live — USD1 active as collateral</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 pool depth $50M+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Curve gauge weight secured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and OKX listings live with MM support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Later — 60 to 180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560"/>
        <w:gridCol w:w="1400"/>
        <w:gridCol w:w="1400"/>
      </w:tblGrid>
      <w:tr>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TVL $200M+</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Morpho USD1 vault live — $10M+ TVL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Pendle PT/YT market live for yield-bearing USD1</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 Advanced Trade listing live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Bybit + Kraken listings live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GMX v2 listing live (post-Arbitrum deployment)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90-120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Hyperliquid margin/spot support live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90-120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liquidity within 20% of USDC depth on all Tier 1 DeFi protocols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180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Uniswap pool depth $150M+</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180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Binance Earn + OKX Earn USD1 products live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PLANNED</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11 — Team Review Instructions</w:t>
      </w:r>
    </w:p>
    <w:p>
      <w:pPr>
        <w:pBdr>
          <w:left w:val="single" w:color="2563EB" w:sz="16" w:space="14"/>
        </w:pBdr>
        <w:shd w:fill="EEF2FF" w:val="clear"/>
        <w:spacing w:before="140" w:after="140"/>
        <w:ind w:left="240"/>
      </w:pPr>
      <w:r>
        <w:rPr>
          <w:rFonts w:ascii="Arial" w:cs="Arial" w:eastAsia="Arial" w:hAnsi="Arial"/>
          <w:b w:val="false"/>
          <w:bCs w:val="false"/>
          <w:i/>
          <w:iCs/>
          <w:color w:val="0A0F1E"/>
          <w:sz w:val="20"/>
          <w:szCs w:val="20"/>
        </w:rPr>
        <w:t xml:space="preserve">This document is ready for your review. You are closest to the actual state of each protocol governance process, exchange listing conversation, and market maker relationship. The questions below represent the items that materially change prioritization or timelines depending on your answers. Please come to the group review meeting with specific answers to each.</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Questions Requiring Team Input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t>
            </w:r>
          </w:p>
        </w:tc>
        <w:tc>
          <w:tcPr>
            <w:tcW w:type="dxa" w:w="4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Question</w:t>
            </w:r>
          </w:p>
        </w:tc>
        <w:tc>
          <w:tcPr>
            <w:tcW w:type="dxa" w:w="4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Section</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current actual status of each CEX listing conversation — Binance, Coinbase, OKX, Bybit, Kraken? Which are live, advanced, early, or not started?</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6 / Tracker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market maker relationships does WLFI currently have? Are there existing agreements or conversations with Wintermute, Cumberland, Galaxy, or any others?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7</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Is USD1 currently on Fireblocks? If not, who owns the Fireblocks relationship and what is the process to get listed?</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7</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Does WLFI currently hold any CRV, veCRV, or CVX? And what is the budget available for Curve gauge bribes?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4.3</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USD1 redemption mechanism? Specifically: is redemption available to any holder or only to institutional counterparties? This affects the Coinbase and Kraken listing submissions directly.</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6.1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Is there any existing Aave, Compound, or Uniswap governance participation from WLFI? Are there any existing delegate relationships that could co-sponsor a governance proposal?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7</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total capital budget available for liquidity incentives — seeding Uniswap pools, Aave TVL seeding, Curve gauge bribes, and market maker inventory provision combined?</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workstreams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8</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Has any prior conversation with Gauntlet or Chaos Labs taken place regarding USD1 risk parameters? If so, what was the response?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Sections 4, 8</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current depth of any existing USD1 liquidity on Uniswap or any other DEX? Starting depth determines whether the 30-day target requires seeding or deepening.</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10</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Are there any items in the 0-14 day tracker that you believe are not achievable given current team capacity or relationship status?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10</w:t>
            </w:r>
          </w:p>
        </w:tc>
      </w:tr>
    </w:tbl>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How to Submit Your Review</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Update Section 3 (the current status column in the liquidity landscape table) with actual current status for every venue before the group review meeting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Fill in all [ASSIGN] and [DATE] fields in Section 10 with real names and dates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Flag any capital budget constraints that affect the achievability of depth targets — this is the most common point of failure for DeFi liquidity programs and leadership needs to know early</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Once review is complete and all open items are resolved, this document will be versioned as v1.0 and used as the binding execution roadmap for Pillar 3.</w:t>
      </w:r>
    </w:p>
    <w:p>
      <w:pPr>
        <w:spacing w:before="240" w:after="0"/>
      </w:pPr>
      <w:r>
        <w:t xml:space="preserve"/>
      </w:r>
    </w:p>
    <w:p>
      <w:pPr>
        <w:pBdr>
          <w:top w:val="single" w:color="2563EB" w:sz="4" w:space="12"/>
        </w:pBdr>
        <w:spacing w:before="200" w:after="0"/>
        <w:jc w:val="center"/>
      </w:pPr>
      <w:r>
        <w:rPr>
          <w:rFonts w:ascii="Arial" w:cs="Arial" w:eastAsia="Arial" w:hAnsi="Arial"/>
          <w:b w:val="false"/>
          <w:bCs w:val="false"/>
          <w:i/>
          <w:iCs/>
          <w:color w:val="64748B"/>
          <w:sz w:val="17"/>
          <w:szCs w:val="17"/>
        </w:rPr>
        <w:t xml:space="preserve">USD1 — Pillar 3 DeFi &amp; Exchange Execution Roadmap — DRAFT — For DeFi BD Team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F1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A3C8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2026-03-10T01:41:05.218Z</dcterms:created>
  <dcterms:modified xsi:type="dcterms:W3CDTF">2026-03-10T01:41:05.219Z</dcterms:modified>
</cp:coreProperties>
</file>

<file path=docProps/custom.xml><?xml version="1.0" encoding="utf-8"?>
<Properties xmlns="http://schemas.openxmlformats.org/officeDocument/2006/custom-properties" xmlns:vt="http://schemas.openxmlformats.org/officeDocument/2006/docPropsVTypes"/>
</file>