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r>
        <w:t xml:space="preserve"/>
      </w:r>
    </w:p>
    <w:p>
      <w:pPr>
        <w:spacing w:before="0" w:after="60"/>
        <w:jc w:val="center"/>
      </w:pPr>
      <w:r>
        <w:rPr>
          <w:rFonts w:ascii="Arial" w:cs="Arial" w:eastAsia="Arial" w:hAnsi="Arial"/>
          <w:b/>
          <w:bCs/>
          <w:i w:val="false"/>
          <w:iCs w:val="false"/>
          <w:color w:val="0A0F1E"/>
          <w:sz w:val="64"/>
          <w:szCs w:val="64"/>
        </w:rPr>
        <w:t xml:space="preserve">USD1</w:t>
      </w:r>
    </w:p>
    <w:p>
      <w:pPr>
        <w:pBdr>
          <w:bottom w:val="single" w:color="2563EB" w:sz="6" w:space="10"/>
        </w:pBdr>
        <w:spacing w:before="0" w:after="60"/>
        <w:jc w:val="center"/>
      </w:pPr>
      <w:r>
        <w:rPr>
          <w:rFonts w:ascii="Arial" w:cs="Arial" w:eastAsia="Arial" w:hAnsi="Arial"/>
          <w:b/>
          <w:bCs/>
          <w:i w:val="false"/>
          <w:iCs w:val="false"/>
          <w:color w:val="2563EB"/>
          <w:sz w:val="28"/>
          <w:szCs w:val="28"/>
        </w:rPr>
        <w:t xml:space="preserve">Pillar 4 — Regulatory Moat as Competitive Offense</w:t>
      </w:r>
    </w:p>
    <w:p>
      <w:pPr>
        <w:spacing w:before="200" w:after="0"/>
      </w:pPr>
      <w:r>
        <w:t xml:space="preserve"/>
      </w:r>
    </w:p>
    <w:p>
      <w:pPr>
        <w:spacing w:before="0" w:after="80"/>
        <w:jc w:val="center"/>
      </w:pPr>
      <w:r>
        <w:rPr>
          <w:rFonts w:ascii="Arial" w:cs="Arial" w:eastAsia="Arial" w:hAnsi="Arial"/>
          <w:b w:val="false"/>
          <w:bCs w:val="false"/>
          <w:i/>
          <w:iCs/>
          <w:color w:val="1A3C8F"/>
          <w:sz w:val="24"/>
          <w:szCs w:val="24"/>
        </w:rPr>
        <w:t xml:space="preserve">Legal &amp; Compliance Execution Roadmap</w:t>
      </w:r>
    </w:p>
    <w:p>
      <w:pPr>
        <w:spacing w:before="400" w:after="0"/>
      </w:pPr>
      <w:r>
        <w:t xml:space="preserve"/>
      </w:r>
    </w:p>
    <w:p>
      <w:pPr>
        <w:spacing w:before="0" w:after="60"/>
        <w:jc w:val="center"/>
      </w:pPr>
      <w:r>
        <w:rPr>
          <w:rFonts w:ascii="Arial" w:cs="Arial" w:eastAsia="Arial" w:hAnsi="Arial"/>
          <w:b w:val="false"/>
          <w:bCs w:val="false"/>
          <w:i w:val="false"/>
          <w:iCs w:val="false"/>
          <w:color w:val="0A0F1E"/>
          <w:sz w:val="20"/>
          <w:szCs w:val="20"/>
        </w:rPr>
        <w:t xml:space="preserve">World Liberty Financial — Legal &amp; Compliance Team</w:t>
      </w:r>
    </w:p>
    <w:p>
      <w:pPr>
        <w:jc w:val="center"/>
      </w:pPr>
      <w:r>
        <w:rPr>
          <w:rFonts w:ascii="Arial" w:cs="Arial" w:eastAsia="Arial" w:hAnsi="Arial"/>
          <w:b w:val="false"/>
          <w:bCs w:val="false"/>
          <w:i/>
          <w:iCs/>
          <w:color w:val="64748B"/>
          <w:sz w:val="18"/>
          <w:szCs w:val="18"/>
        </w:rPr>
        <w:t xml:space="preserve">Draft for Legal &amp; Compliance Review — March 2026</w:t>
      </w:r>
    </w:p>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How to Use This Document</w:t>
      </w:r>
    </w:p>
    <w:p>
      <w:pPr>
        <w:spacing w:before="60" w:after="100"/>
      </w:pPr>
      <w:r>
        <w:rPr>
          <w:rFonts w:ascii="Arial" w:cs="Arial" w:eastAsia="Arial" w:hAnsi="Arial"/>
          <w:b w:val="false"/>
          <w:bCs w:val="false"/>
          <w:i w:val="false"/>
          <w:iCs w:val="false"/>
          <w:color w:val="0A0F1E"/>
          <w:sz w:val="20"/>
          <w:szCs w:val="20"/>
        </w:rPr>
        <w:t xml:space="preserve">This document is the legal and compliance execution layer for Pillar 4 of the USD1 Strategic Dominance Roadmap, which has been reviewed and aligned by WLFI leadership. It is addressed specifically to the legal and compliance team because Pillar 4 is not a regulatory checkbox exercise — it is one of USD1's primary competitive strategies, and executing it well requires legal and compliance to act as an offensive function, not a defensive one.</w:t>
      </w:r>
    </w:p>
    <w:p>
      <w:pPr>
        <w:spacing w:before="80" w:after="0"/>
      </w:pPr>
      <w:r>
        <w:t xml:space="preserve"/>
      </w:r>
    </w:p>
    <w:p>
      <w:pPr>
        <w:pBdr>
          <w:left w:val="single" w:color="D97706" w:sz="16" w:space="14"/>
        </w:pBdr>
        <w:shd w:fill="EEF2FF" w:val="clear"/>
        <w:spacing w:before="140" w:after="140"/>
        <w:ind w:left="240"/>
      </w:pPr>
      <w:r>
        <w:rPr>
          <w:rFonts w:ascii="Arial" w:cs="Arial" w:eastAsia="Arial" w:hAnsi="Arial"/>
          <w:b w:val="false"/>
          <w:bCs w:val="false"/>
          <w:i/>
          <w:iCs/>
          <w:color w:val="0A0F1E"/>
          <w:sz w:val="20"/>
          <w:szCs w:val="20"/>
        </w:rPr>
        <w:t xml:space="preserve">This is a draft for your review. The legal team has the most precise view of what is actually in motion on the OCC application, MiCA process, and CLARITY Act engagement. Before this becomes the binding execution plan, your input is needed to correct the status of each workstream and flag anything that conflicts with current legal strategy or pending regulatory proceedings.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Section</w:t>
            </w:r>
          </w:p>
        </w:tc>
        <w:tc>
          <w:tcPr>
            <w:tcW w:type="dxa" w:w="73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Content</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2</w:t>
            </w:r>
          </w:p>
        </w:tc>
        <w:tc>
          <w:tcPr>
            <w:tcW w:type="dxa" w:w="7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Strategic framing — why regulatory compliance is offense, not defense, for USD1</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3</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4.1  OCC Limited Trust Charter — current status, what conditional approval unlocks, and how to use it before May</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4</w:t>
            </w:r>
          </w:p>
        </w:tc>
        <w:tc>
          <w:tcPr>
            <w:tcW w:type="dxa" w:w="7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4.2  International licensing strategy — MiCA, ADGM, MAS, FCA — sequencing and prioritization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5</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4.3  GENIUS Act compliance positioning — turning U.S. compliance into a global distribution mechanism</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6</w:t>
            </w:r>
          </w:p>
        </w:tc>
        <w:tc>
          <w:tcPr>
            <w:tcW w:type="dxa" w:w="7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4.4  Institutional trust infrastructure — Big Four attestations, compliance white paper, advisory board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7</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4.5  Legislative engagement — CLARITY Act, agentic payment framework, regulatory shaping</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8</w:t>
            </w:r>
          </w:p>
        </w:tc>
        <w:tc>
          <w:tcPr>
            <w:tcW w:type="dxa" w:w="7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4.6  Regulatory toolkit for institutional partners — removing legal friction from enterprise adoption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9</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Dependency map and risk register</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10</w:t>
            </w:r>
          </w:p>
        </w:tc>
        <w:tc>
          <w:tcPr>
            <w:tcW w:type="dxa" w:w="7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Master delivery tracker — all workstreams, owners, timelines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11</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Review instructions — questions requiring legal team input</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2 — Strategic Framing: Compliance as Competitive Offense</w:t>
      </w:r>
    </w:p>
    <w:p>
      <w:pPr>
        <w:pStyle w:val="Heading2"/>
        <w:spacing w:before="320" w:after="120"/>
      </w:pPr>
      <w:r>
        <w:rPr>
          <w:rFonts w:ascii="Arial" w:cs="Arial" w:eastAsia="Arial" w:hAnsi="Arial"/>
          <w:b/>
          <w:bCs/>
          <w:i w:val="false"/>
          <w:iCs w:val="false"/>
          <w:color w:val="1A3C8F"/>
          <w:sz w:val="26"/>
          <w:szCs w:val="26"/>
        </w:rPr>
        <w:t xml:space="preserve">2.1  The Core Strategic Insight</w:t>
      </w:r>
    </w:p>
    <w:p>
      <w:pPr>
        <w:spacing w:before="60" w:after="100"/>
      </w:pPr>
      <w:r>
        <w:rPr>
          <w:rFonts w:ascii="Arial" w:cs="Arial" w:eastAsia="Arial" w:hAnsi="Arial"/>
          <w:b w:val="false"/>
          <w:bCs w:val="false"/>
          <w:i w:val="false"/>
          <w:iCs w:val="false"/>
          <w:color w:val="0A0F1E"/>
          <w:sz w:val="20"/>
          <w:szCs w:val="20"/>
        </w:rPr>
        <w:t xml:space="preserve">The GENIUS Act created a compliance framework that most observers interpreted as a burden. Circle's CEO interpreted it differently: it is a moat. GENIUS Act compliance excludes unregulated stablecoins from an increasing number of institutional and sovereign use cases. International regulators are using the GENIUS Act designation as a shortcut for evaluating which dollar stablecoins are 'safe' to permit in their jurisdictions. Every month that passes, the GENIUS Act becomes a higher barrier to entry for new competitors and a stronger distribution mechanism for early compliers.</w:t>
      </w:r>
    </w:p>
    <w:p>
      <w:pPr>
        <w:spacing w:before="80" w:after="0"/>
      </w:pPr>
      <w:r>
        <w:t xml:space="preserve"/>
      </w:r>
    </w:p>
    <w:p>
      <w:pPr>
        <w:pBdr>
          <w:left w:val="single" w:color="3730A3" w:sz="16" w:space="14"/>
        </w:pBdr>
        <w:shd w:fill="EEF2FF" w:val="clear"/>
        <w:spacing w:before="140" w:after="140"/>
        <w:ind w:left="240"/>
      </w:pPr>
      <w:r>
        <w:rPr>
          <w:rFonts w:ascii="Arial" w:cs="Arial" w:eastAsia="Arial" w:hAnsi="Arial"/>
          <w:b w:val="false"/>
          <w:bCs w:val="false"/>
          <w:i/>
          <w:iCs/>
          <w:color w:val="0A0F1E"/>
          <w:sz w:val="20"/>
          <w:szCs w:val="20"/>
        </w:rPr>
        <w:t xml:space="preserve">The legal and compliance team's mandate for Pillar 4 is not to keep USD1 out of regulatory trouble. It is to build a regulatory credential stack that is so comprehensive that no institutional or sovereign counterparty can find a legal reason to reject USD1. The goal is to make 'we can't use USD1 for compliance reasons' an impossible sentence for any properly advised institution to say.</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2.2  The Institutional Procurement Dynamic</w:t>
      </w:r>
    </w:p>
    <w:p>
      <w:pPr>
        <w:spacing w:before="60" w:after="100"/>
      </w:pPr>
      <w:r>
        <w:rPr>
          <w:rFonts w:ascii="Arial" w:cs="Arial" w:eastAsia="Arial" w:hAnsi="Arial"/>
          <w:b w:val="false"/>
          <w:bCs w:val="false"/>
          <w:i w:val="false"/>
          <w:iCs w:val="false"/>
          <w:color w:val="0A0F1E"/>
          <w:sz w:val="20"/>
          <w:szCs w:val="20"/>
        </w:rPr>
        <w:t xml:space="preserve">The strategic roadmap contains a sentence that captures the entire institutional adoption challenge: 'Nobody got fired for choosing USDC.' This is not a marketing problem. It is a legal and compliance problem. When a bank, asset manager, or corporate treasury evaluates stablecoins for operational use, the decision-maker is not choosing the best product — they are choosing the option that minimizes their personal career risk. USDC minimizes career risk because it has a federal banking charter (Circle National Trust Bank, conditional), GENIUS Act compliance, Deloitte attestations, and years of institutional track record.</w:t>
      </w:r>
    </w:p>
    <w:p>
      <w:pPr>
        <w:spacing w:before="80" w:after="0"/>
      </w:pPr>
      <w:r>
        <w:t xml:space="preserve"/>
      </w:r>
    </w:p>
    <w:p>
      <w:pPr>
        <w:spacing w:before="60" w:after="100"/>
      </w:pPr>
      <w:r>
        <w:rPr>
          <w:rFonts w:ascii="Arial" w:cs="Arial" w:eastAsia="Arial" w:hAnsi="Arial"/>
          <w:b w:val="false"/>
          <w:bCs w:val="false"/>
          <w:i w:val="false"/>
          <w:iCs w:val="false"/>
          <w:color w:val="0A0F1E"/>
          <w:sz w:val="20"/>
          <w:szCs w:val="20"/>
        </w:rPr>
        <w:t xml:space="preserve">USD1 needs to build an equivalent or superior credential stack — not eventually, but within 90 days, because institutional procurement processes that are evaluating stablecoins right now will close with USDC if USD1 cannot present comparable credentials on demand.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Credential</w:t>
            </w:r>
          </w:p>
        </w:tc>
        <w:tc>
          <w:tcPr>
            <w:tcW w:type="dxa" w:w="30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USDC / Circle</w:t>
            </w:r>
          </w:p>
        </w:tc>
        <w:tc>
          <w:tcPr>
            <w:tcW w:type="dxa" w:w="33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USD1 / WLFI</w:t>
            </w:r>
          </w:p>
        </w:tc>
      </w:tr>
      <w:tr>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Federal bank charter</w:t>
            </w:r>
          </w:p>
        </w:tc>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Conditional OCC approval (Circle National Trust Bank)</w:t>
            </w:r>
          </w:p>
        </w:tc>
        <w:tc>
          <w:tcPr>
            <w:tcW w:type="dxa" w:w="3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OCC Limited Trust Charter filed — conditional approval expected May 2026</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GENIUS Act compliance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Yes — Circle was an early participant in shaping the Act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Yes — GENIUS Act compliant. Public compliance framework to be published.</w:t>
            </w:r>
          </w:p>
        </w:tc>
      </w:tr>
      <w:tr>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Reserve attestation</w:t>
            </w:r>
          </w:p>
        </w:tc>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Monthly Deloitte attestation (PDF)</w:t>
            </w:r>
          </w:p>
        </w:tc>
        <w:tc>
          <w:tcPr>
            <w:tcW w:type="dxa" w:w="3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Real-time on-chain PoR API (live) + Big Four engagement in progress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International licensing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EU MiCA (in process), multiple jurisdictions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EU MiCA in process. ADGM, MAS, FCA: to be initiated.</w:t>
            </w:r>
          </w:p>
        </w:tc>
      </w:tr>
      <w:tr>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AML/KYC framework</w:t>
            </w:r>
          </w:p>
        </w:tc>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Established — multi-year track record</w:t>
            </w:r>
          </w:p>
        </w:tc>
        <w:tc>
          <w:tcPr>
            <w:tcW w:type="dxa" w:w="3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[NEEDS LEGAL REVIEW — confirm current AML/KYC framework status]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Institutional advisory board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Board includes former regulators and TradFi executives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To be established — see Section 6</w:t>
            </w:r>
          </w:p>
        </w:tc>
      </w:tr>
      <w:tr>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FinCEN/BSA registration</w:t>
            </w:r>
          </w:p>
        </w:tc>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Registered Money Services Business</w:t>
            </w:r>
          </w:p>
        </w:tc>
        <w:tc>
          <w:tcPr>
            <w:tcW w:type="dxa" w:w="3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[NEEDS LEGAL REVIEW — confirm current FinCEN registration status]</w:t>
            </w:r>
          </w:p>
        </w:tc>
      </w:tr>
    </w:tbl>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2.3  What Winning Looks Like for Pillar 4</w:t>
      </w:r>
    </w:p>
    <w:p>
      <w:pPr>
        <w:spacing w:before="60" w:after="100"/>
      </w:pPr>
      <w:r>
        <w:rPr>
          <w:rFonts w:ascii="Arial" w:cs="Arial" w:eastAsia="Arial" w:hAnsi="Arial"/>
          <w:b w:val="false"/>
          <w:bCs w:val="false"/>
          <w:i w:val="false"/>
          <w:iCs w:val="false"/>
          <w:color w:val="0A0F1E"/>
          <w:sz w:val="20"/>
          <w:szCs w:val="20"/>
        </w:rPr>
        <w:t xml:space="preserve">Success in Pillar 4 is measured by one outcome: any institution or sovereign entity that evaluates USD1 should be able to find a complete, organized, legally precise answer to every compliance question their legal team will ask — without having to contact WLFI for clarification. The compliance credential stack and the regulatory toolkit (Section 8) are the mechanisms for achieving this.</w:t>
      </w:r>
    </w:p>
    <w:p>
      <w:pPr>
        <w:spacing w:before="80" w:after="0"/>
      </w:pPr>
      <w:r>
        <w:t xml:space="preserve"/>
      </w:r>
    </w:p>
    <w:p>
      <w:pPr>
        <w:spacing w:before="60" w:after="100"/>
      </w:pPr>
      <w:r>
        <w:rPr>
          <w:rFonts w:ascii="Arial" w:cs="Arial" w:eastAsia="Arial" w:hAnsi="Arial"/>
          <w:b w:val="false"/>
          <w:bCs w:val="false"/>
          <w:i w:val="false"/>
          <w:iCs w:val="false"/>
          <w:color w:val="0A0F1E"/>
          <w:sz w:val="20"/>
          <w:szCs w:val="20"/>
        </w:rPr>
        <w:t xml:space="preserve">The secondary measure is offensive: USD1's regulatory credentials should be cited by international regulators, institutional research teams, and legislative staff as the benchmark for what a well-regulated stablecoin looks like. That outcome is only achievable if the legal team treats public compliance documentation as a commercial asset, not a legal housekeeping task.</w:t>
      </w:r>
    </w:p>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3 — Workstream 4.1: OCC Limited Trust Charter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Current Status</w:t>
            </w:r>
          </w:p>
        </w:tc>
        <w:tc>
          <w:tcPr>
            <w:tcW w:type="dxa" w:w="6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16A34A"/>
                <w:sz w:val="18"/>
                <w:szCs w:val="18"/>
              </w:rPr>
              <w:t xml:space="preserve">IN FLIGHT — application filed, conditional approval expected May 2026</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Strategic Significance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Single most important regulatory credential. Converts USD1 from a politically-associated stablecoin into a federally-regulated financial institution.</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Interim Use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Application status + expected approval date is a usable trust signal NOW — not just after approval. Every institutional conversation should reference it.</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3.1  What the OCC Charter Actually Unlocks</w:t>
      </w:r>
    </w:p>
    <w:p>
      <w:pPr>
        <w:spacing w:before="60" w:after="100"/>
      </w:pPr>
      <w:r>
        <w:rPr>
          <w:rFonts w:ascii="Arial" w:cs="Arial" w:eastAsia="Arial" w:hAnsi="Arial"/>
          <w:b w:val="false"/>
          <w:bCs w:val="false"/>
          <w:i w:val="false"/>
          <w:iCs w:val="false"/>
          <w:color w:val="0A0F1E"/>
          <w:sz w:val="20"/>
          <w:szCs w:val="20"/>
        </w:rPr>
        <w:t xml:space="preserve">The OCC Limited Trust Charter is not primarily a compliance milestone. It is a distribution mechanism. Understanding what it unlocks — and in which sequence — allows the legal team to prioritize the application process correctly and to position the credential accurately in every external conversation.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What It Unlocks</w:t>
            </w:r>
          </w:p>
        </w:tc>
        <w:tc>
          <w:tcPr>
            <w:tcW w:type="dxa" w:w="63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Specifics</w:t>
            </w:r>
          </w:p>
        </w:tc>
      </w:tr>
      <w:tr>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Institutional adoption at banks and asset managers</w:t>
            </w:r>
          </w:p>
        </w:tc>
        <w:tc>
          <w:tcPr>
            <w:tcW w:type="dxa" w:w="6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Banks and registered investment advisers face internal compliance policies that restrict use of non-federally-regulated financial instruments. OCC conditional approval directly satisfies most of these policies. Institutional BD conversations currently stalled on compliance grounds will reopen.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Coinbase Prime and Kraken institutional listing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Both exchanges run compliance reviews that weigh federal regulatory status heavily for stablecoin listings. The OCC credential is the single clearest signal that USD1 has passed a federal-level scrutiny bar.</w:t>
            </w:r>
          </w:p>
        </w:tc>
      </w:tr>
      <w:tr>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Sovereign entity MOU discussions</w:t>
            </w:r>
          </w:p>
        </w:tc>
        <w:tc>
          <w:tcPr>
            <w:tcW w:type="dxa" w:w="6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Sovereign AI funds and government technology ministries cannot enter formal MOUs with unregulated entities in most jurisdictions. The OCC trust charter provides the legal basis for sovereign-level partnerships.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International regulatory recognition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International regulators designating permissible stablecoins use U.S. federal banking regulation as a primary filter. OCC conditional approval accelerates recognition in UAE ADGM, Singapore MAS, and other jurisdictions where GENIUS Act compliance alone is not sufficient.</w:t>
            </w:r>
          </w:p>
        </w:tc>
      </w:tr>
      <w:tr>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Aave, Compound governance acceleration</w:t>
            </w:r>
          </w:p>
        </w:tc>
        <w:tc>
          <w:tcPr>
            <w:tcW w:type="dxa" w:w="6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DeFi protocol governance delegates cite regulatory status in risk discussions. OCC approval shifts USD1 from 'new stablecoin with political backing' to 'federally regulated stablecoin' in governance contexts.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Insurance and custody eligibility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Trust charter status makes USD1 eligible for certain custody and insurance products that are currently restricted to federally chartered entities. This opens institutional custody relationships that are currently closed.</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3.2  Application Process Management</w:t>
      </w:r>
    </w:p>
    <w:p>
      <w:pPr>
        <w:pStyle w:val="Heading3"/>
        <w:spacing w:before="240" w:after="80"/>
      </w:pPr>
      <w:r>
        <w:rPr>
          <w:rFonts w:ascii="Arial" w:cs="Arial" w:eastAsia="Arial" w:hAnsi="Arial"/>
          <w:b/>
          <w:bCs/>
          <w:i w:val="false"/>
          <w:iCs w:val="false"/>
          <w:color w:val="2563EB"/>
          <w:sz w:val="22"/>
          <w:szCs w:val="22"/>
        </w:rPr>
        <w:t xml:space="preserve">3.2.1  Current Status and Active Requirements</w:t>
      </w:r>
    </w:p>
    <w:p>
      <w:pPr>
        <w:spacing w:before="60" w:after="100"/>
      </w:pPr>
      <w:r>
        <w:rPr>
          <w:rFonts w:ascii="Arial" w:cs="Arial" w:eastAsia="Arial" w:hAnsi="Arial"/>
          <w:b w:val="false"/>
          <w:bCs w:val="false"/>
          <w:i w:val="false"/>
          <w:iCs w:val="false"/>
          <w:color w:val="0A0F1E"/>
          <w:sz w:val="20"/>
          <w:szCs w:val="20"/>
        </w:rPr>
        <w:t xml:space="preserve">The application has been filed. The critical path from filing to conditional approval involves the OCC conducting a thorough examination of WLFI's business plan, financial condition, capital adequacy, risk management framework, and compliance infrastructure. The items most likely to be the focus of OCC examination at this stage:</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Capital adequacy: the OCC will assess whether WLFI's capital base is sufficient relative to the scale of USD1 issuance. If there are any open items on capital requirements, these should be addressed proactively rather than waiting for an OCC information request.</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Reserve management: the OCC will examine the reserve investment policy, custodian agreements, and redemption mechanisms. The real-time PoR API is an asset in this examination — submit it proactively as evidence of reserve transparency.</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AML/BSA compliance: the OCC examination will scrutinize the AML/KYC framework in detail. Any gaps in the BSA compliance program, suspicious activity reporting, or customer due diligence procedures need to be remediated before the examination stage.</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Cybersecurity and operational risk: the OCC's technology examination will assess the smart contract audit history, key management practices, and incident response procedures. EIP-3009 audit reports (from Pillar 1) should be submitted as part of the operational risk documentation.</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Management and governance: the OCC will evaluate WLFI's board composition, executive team qualifications, and governance structure. The institutional advisory board (Section 6) strengthens this component.</w:t>
      </w:r>
    </w:p>
    <w:p>
      <w:pPr>
        <w:spacing w:before="80" w:after="0"/>
      </w:pPr>
      <w:r>
        <w:t xml:space="preserve"/>
      </w:r>
    </w:p>
    <w:p>
      <w:pPr>
        <w:pBdr>
          <w:left w:val="single" w:color="D97706" w:sz="16" w:space="14"/>
        </w:pBdr>
        <w:shd w:fill="EEF2FF" w:val="clear"/>
        <w:spacing w:before="140" w:after="140"/>
        <w:ind w:left="240"/>
      </w:pPr>
      <w:r>
        <w:rPr>
          <w:rFonts w:ascii="Arial" w:cs="Arial" w:eastAsia="Arial" w:hAnsi="Arial"/>
          <w:b w:val="false"/>
          <w:bCs w:val="false"/>
          <w:i/>
          <w:iCs/>
          <w:color w:val="0A0F1E"/>
          <w:sz w:val="20"/>
          <w:szCs w:val="20"/>
        </w:rPr>
        <w:t xml:space="preserve">[NEEDS LEGAL REVIEW] The legal team should prepare a status memo on the OCC application identifying: (1) any open information requests from the OCC, (2) any conditions the OCC has indicated will be part of the conditional approval, and (3) any areas where the application may need supplemental submission before May.</w:t>
      </w:r>
    </w:p>
    <w:p>
      <w:pPr>
        <w:spacing w:before="120" w:after="0"/>
      </w:pPr>
      <w:r>
        <w:t xml:space="preserve"/>
      </w:r>
    </w:p>
    <w:p>
      <w:pPr>
        <w:pStyle w:val="Heading3"/>
        <w:spacing w:before="240" w:after="80"/>
      </w:pPr>
      <w:r>
        <w:rPr>
          <w:rFonts w:ascii="Arial" w:cs="Arial" w:eastAsia="Arial" w:hAnsi="Arial"/>
          <w:b/>
          <w:bCs/>
          <w:i w:val="false"/>
          <w:iCs w:val="false"/>
          <w:color w:val="2563EB"/>
          <w:sz w:val="22"/>
          <w:szCs w:val="22"/>
        </w:rPr>
        <w:t xml:space="preserve">3.2.2  Using the Application Status Commercially — Before May</w:t>
      </w:r>
    </w:p>
    <w:p>
      <w:pPr>
        <w:spacing w:before="60" w:after="100"/>
      </w:pPr>
      <w:r>
        <w:rPr>
          <w:rFonts w:ascii="Arial" w:cs="Arial" w:eastAsia="Arial" w:hAnsi="Arial"/>
          <w:b w:val="false"/>
          <w:bCs w:val="false"/>
          <w:i w:val="false"/>
          <w:iCs w:val="false"/>
          <w:color w:val="0A0F1E"/>
          <w:sz w:val="20"/>
          <w:szCs w:val="20"/>
        </w:rPr>
        <w:t xml:space="preserve">Conditional approval in May is a significant event. But the period between now and May is not a waiting period — it is a conversion window. Every institutional counterparty that is currently evaluating USD1 should be told that a federal banking charter is imminent. The framing:</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Do not say 'we have applied for an OCC charter' — this sounds aspirational. Say 'our OCC Limited Trust Charter application is under review with conditional approval expected in May 2026' — this is factual and positions the credential as imminent.</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For institutional partners with longer procurement cycles, the May approval date is actually an advantage — it gives them a reason to begin the internal approval process now so they are ready to onboard when the credential lands.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For institutional partners who cite the absence of the charter as a blocking condition, structure the commercial agreement as conditional on OCC approval — this keeps the deal in motion without requiring either party to make a commitment before the credential exists.</w:t>
      </w:r>
    </w:p>
    <w:p>
      <w:pPr>
        <w:spacing w:before="80" w:after="0"/>
      </w:pPr>
      <w:r>
        <w:t xml:space="preserve"/>
      </w:r>
    </w:p>
    <w:p>
      <w:pPr>
        <w:pBdr>
          <w:left w:val="single" w:color="D97706" w:sz="16" w:space="14"/>
        </w:pBdr>
        <w:shd w:fill="EEF2FF" w:val="clear"/>
        <w:spacing w:before="140" w:after="140"/>
        <w:ind w:left="240"/>
      </w:pPr>
      <w:r>
        <w:rPr>
          <w:rFonts w:ascii="Arial" w:cs="Arial" w:eastAsia="Arial" w:hAnsi="Arial"/>
          <w:b w:val="false"/>
          <w:bCs w:val="false"/>
          <w:i/>
          <w:iCs/>
          <w:color w:val="0A0F1E"/>
          <w:sz w:val="20"/>
          <w:szCs w:val="20"/>
        </w:rPr>
        <w:t xml:space="preserve">[NEEDS LEGAL REVIEW] Confirm the precise language that can be used publicly to describe the OCC application status. Specifically: can WLFI state that conditional approval is 'expected in May 2026' or does this characterization require qualification? The BD and external communications teams need approved language.</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3.3  Post-Approval Activation Plan</w:t>
      </w:r>
    </w:p>
    <w:p>
      <w:pPr>
        <w:spacing w:before="60" w:after="100"/>
      </w:pPr>
      <w:r>
        <w:rPr>
          <w:rFonts w:ascii="Arial" w:cs="Arial" w:eastAsia="Arial" w:hAnsi="Arial"/>
          <w:b w:val="false"/>
          <w:bCs w:val="false"/>
          <w:i w:val="false"/>
          <w:iCs w:val="false"/>
          <w:color w:val="0A0F1E"/>
          <w:sz w:val="20"/>
          <w:szCs w:val="20"/>
        </w:rPr>
        <w:t xml:space="preserve">The conditional approval announcement is a major communication event that requires preparation before it happens. The legal team should coordinate with leadership and communications on the following:</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Pre-approved press release template — draft now, finalize immediately upon approval notification from OCC</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Institutional partner notification sequence — which institutional partners and pipeline contacts should be notified first, and in what order, to maximize the commercial impact of the announcement</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Regulatory update to all active BD conversations — a standardized one-page credential update that BD teams can send to every active pipeline contact on the day of approval</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International regulatory notification — notify ADGM, MAS, and FCA of the OCC approval as part of the licensing applications in each jurisdiction. OCC approval accelerates international recognition.</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Exchange listing acceleration — notify Coinbase and Kraken compliance teams immediately, as the OCC credential is the primary blocker in both listing processes</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3.4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Acceptance Criterion</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Timeline</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OCC application status memo prepared — open items, conditions, supplemental needs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14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Approved public language for application status confirmed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14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Any open OCC information requests responded to</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16A34A"/>
                <w:sz w:val="18"/>
                <w:szCs w:val="18"/>
              </w:rPr>
              <w:t xml:space="preserve">IN FLIGHT</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Post-approval press release template drafted and approved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Post-approval BD notification plan prepared</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OCC conditional approval received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May 2026</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16A34A"/>
                <w:sz w:val="18"/>
                <w:szCs w:val="18"/>
              </w:rPr>
              <w:t xml:space="preserve">IN FLIGHT</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International regulatory notifications sent following OCC approval</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Day of approval</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4 — Workstream 4.2: International Licensing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EU MiCA</w:t>
            </w:r>
          </w:p>
        </w:tc>
        <w:tc>
          <w:tcPr>
            <w:tcW w:type="dxa" w:w="6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16A34A"/>
                <w:sz w:val="18"/>
                <w:szCs w:val="18"/>
              </w:rPr>
              <w:t xml:space="preserve">IN PROGRESS — licensing process active</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UAE ADGM</w:t>
            </w:r>
          </w:p>
        </w:tc>
        <w:tc>
          <w:tcPr>
            <w:tcW w:type="dxa" w:w="6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TO BE INITIATED — highest priority after MiCA</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Singapore MAS</w:t>
            </w:r>
          </w:p>
        </w:tc>
        <w:tc>
          <w:tcPr>
            <w:tcW w:type="dxa" w:w="6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TO BE INITIATED — parallel with ADGM</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UK FCA</w:t>
            </w:r>
          </w:p>
        </w:tc>
        <w:tc>
          <w:tcPr>
            <w:tcW w:type="dxa" w:w="6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TO BE INITIATED — third priority</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4.1  Sequencing Logic</w:t>
      </w:r>
    </w:p>
    <w:p>
      <w:pPr>
        <w:spacing w:before="60" w:after="100"/>
      </w:pPr>
      <w:r>
        <w:rPr>
          <w:rFonts w:ascii="Arial" w:cs="Arial" w:eastAsia="Arial" w:hAnsi="Arial"/>
          <w:b w:val="false"/>
          <w:bCs w:val="false"/>
          <w:i w:val="false"/>
          <w:iCs w:val="false"/>
          <w:color w:val="0A0F1E"/>
          <w:sz w:val="20"/>
          <w:szCs w:val="20"/>
        </w:rPr>
        <w:t xml:space="preserve">International licensing is not a simultaneous process. Each jurisdiction requires significant legal resource, local regulatory relationships, and operational infrastructure. The sequencing below reflects three factors: strategic importance to USD1's distribution priorities (aligned with Pillar 2 G42 corridors), the regulatory timeline from application to approval, and the resource intensity of each process.</w:t>
      </w:r>
    </w:p>
    <w:p>
      <w:pPr>
        <w:spacing w:before="80" w:after="0"/>
      </w:pPr>
      <w:r>
        <w:t xml:space="preserve"/>
      </w:r>
    </w:p>
    <w:p>
      <w:pPr>
        <w:pBdr>
          <w:left w:val="single" w:color="0F766E" w:sz="16" w:space="14"/>
        </w:pBdr>
        <w:shd w:fill="F0FDFA" w:val="clear"/>
        <w:spacing w:before="140" w:after="140"/>
        <w:ind w:left="240"/>
      </w:pPr>
      <w:r>
        <w:rPr>
          <w:rFonts w:ascii="Arial" w:cs="Arial" w:eastAsia="Arial" w:hAnsi="Arial"/>
          <w:b w:val="false"/>
          <w:bCs w:val="false"/>
          <w:i/>
          <w:iCs/>
          <w:color w:val="0A0F1E"/>
          <w:sz w:val="20"/>
          <w:szCs w:val="20"/>
        </w:rPr>
        <w:t xml:space="preserve">The international licensing sequence is not just a compliance calendar — it is a market access strategy. Each license grants access to a specific set of institutional counterparties, sovereign entities, and corridor fintech partners that cannot be accessed without it. The legal team should treat each license as a commercial deliverable with a downstream revenue impact, not just a regulatory filing.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560"/>
        <w:gridCol w:w="3400"/>
      </w:tblGrid>
      <w:tr>
        <w:tc>
          <w:tcPr>
            <w:tcW w:type="dxa" w:w="16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Jurisdiction</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License Type</w:t>
            </w:r>
          </w:p>
        </w:tc>
        <w:tc>
          <w:tcPr>
            <w:tcW w:type="dxa" w:w="25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Strategic Rationale</w:t>
            </w:r>
          </w:p>
        </w:tc>
        <w:tc>
          <w:tcPr>
            <w:tcW w:type="dxa" w:w="3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What It Unlocks</w:t>
            </w:r>
          </w:p>
        </w:tc>
      </w:tr>
      <w:tr>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EU (MiCA)</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E-Money Institution or Asset-Referenced Token issuer</w:t>
            </w:r>
          </w:p>
        </w:tc>
        <w:tc>
          <w:tcPr>
            <w:tcW w:type="dxa" w:w="2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Opens entire European institutional market. MiCA license is recognized by financial regulators in all 27 EU member states simultaneously.</w:t>
            </w:r>
          </w:p>
        </w:tc>
        <w:tc>
          <w:tcPr>
            <w:tcW w:type="dxa" w:w="3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European bank and asset manager partnerships. Recognition signal for G42 corridor regulators who use EU standards as a reference point.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UAE ADGM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FSRA Digital Asset Framework authorization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UAE is G42's home jurisdiction and the anchor of the UAE-Pakistan corridor. ADGM is where the most sophisticated sovereign wealth fund and institutional conversations happen.</w:t>
            </w:r>
          </w:p>
        </w:tc>
        <w:tc>
          <w:tcPr>
            <w:tcW w:type="dxa" w:w="3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G42 sovereign deployment partnerships. UAE sovereign wealth fund access. UAE-Pakistan corridor activation. Serves as the MENA licensing anchor.</w:t>
            </w:r>
          </w:p>
        </w:tc>
      </w:tr>
      <w:tr>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Singapore MAS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MAS Stablecoin Framework (MSF) recognition</w:t>
            </w:r>
          </w:p>
        </w:tc>
        <w:tc>
          <w:tcPr>
            <w:tcW w:type="dxa" w:w="2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Singapore is the financial gateway to Southeast Asia. MAS licensing is the standard that Malaysian, Indonesian, and regional regulators reference when evaluating permissible stablecoins.</w:t>
            </w:r>
          </w:p>
        </w:tc>
        <w:tc>
          <w:tcPr>
            <w:tcW w:type="dxa" w:w="3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Malaysia-Indonesia corridor activation. SE Asia institutional partnerships. ASEAN regulatory recognition chain effect.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UK FCA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Electronic Money Institution or Cryptoasset registration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UK remains the primary European financial center post-Brexit. FCA registration unlocks the UK institutional market and signals global regulatory credibility to non-EU European institutions.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UK bank and fintech partnerships. European institutional credibility outside the EU. Cumberland DRW and other UK-domiciled market makers.</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4.2  EU MiCA — Active Process</w:t>
      </w:r>
    </w:p>
    <w:p>
      <w:pPr>
        <w:pStyle w:val="Heading3"/>
        <w:spacing w:before="240" w:after="80"/>
      </w:pPr>
      <w:r>
        <w:rPr>
          <w:rFonts w:ascii="Arial" w:cs="Arial" w:eastAsia="Arial" w:hAnsi="Arial"/>
          <w:b/>
          <w:bCs/>
          <w:i w:val="false"/>
          <w:iCs w:val="false"/>
          <w:color w:val="2563EB"/>
          <w:sz w:val="22"/>
          <w:szCs w:val="22"/>
        </w:rPr>
        <w:t xml:space="preserve">4.2.1  MiCA Classification and Requirements</w:t>
      </w:r>
    </w:p>
    <w:p>
      <w:pPr>
        <w:spacing w:before="60" w:after="100"/>
      </w:pPr>
      <w:r>
        <w:rPr>
          <w:rFonts w:ascii="Arial" w:cs="Arial" w:eastAsia="Arial" w:hAnsi="Arial"/>
          <w:b w:val="false"/>
          <w:bCs w:val="false"/>
          <w:i w:val="false"/>
          <w:iCs w:val="false"/>
          <w:color w:val="0A0F1E"/>
          <w:sz w:val="20"/>
          <w:szCs w:val="20"/>
        </w:rPr>
        <w:t xml:space="preserve">USD1, as a dollar-denominated stablecoin backed by fiat reserves, is classified under MiCA as an E-Money Token (EMT) — not an Asset-Referenced Token (ART). This classification matters: EMT issuers face a more streamlined authorization process than ART issuers and are regulated similarly to existing electronic money institutions under EU law.</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EMT issuers must be authorized as an Electronic Money Institution (EMI) in at least one EU member state — the authorization is then passported across all 27 member states. The optimal jurisdiction for WLFI's EMI authorization depends on speed of approval, cost of ongoing compliance, and local regulatory relationships.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Key member states for EMI authorization: Lithuania (fastest processing, favorable to fintech), Luxembourg (preferred by institutional financial services), Ireland (English-language, strong fintech infrastructure), and Malta (crypto-friendly, established framework). The choice of jurisdiction should be informed by local counsel engaged for this purpose.</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MiCA requires: minimum capital of €350,000 for EMTs; reserve asset requirements (USD-denominated reserves qualify); governance and risk management requirements; and a detailed white paper disclosure document filed with the national competent authority.</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The USD1 real-time PoR API satisfies MiCA's reserve transparency requirements more comprehensively than the regulation requires — this should be highlighted in the authorization application as evidence of best-in-class reserve management.</w:t>
      </w:r>
    </w:p>
    <w:p>
      <w:pPr>
        <w:spacing w:before="80" w:after="0"/>
      </w:pPr>
      <w:r>
        <w:t xml:space="preserve"/>
      </w:r>
    </w:p>
    <w:p>
      <w:pPr>
        <w:pBdr>
          <w:left w:val="single" w:color="D97706" w:sz="16" w:space="14"/>
        </w:pBdr>
        <w:shd w:fill="EEF2FF" w:val="clear"/>
        <w:spacing w:before="140" w:after="140"/>
        <w:ind w:left="240"/>
      </w:pPr>
      <w:r>
        <w:rPr>
          <w:rFonts w:ascii="Arial" w:cs="Arial" w:eastAsia="Arial" w:hAnsi="Arial"/>
          <w:b w:val="false"/>
          <w:bCs w:val="false"/>
          <w:i/>
          <w:iCs/>
          <w:color w:val="0A0F1E"/>
          <w:sz w:val="20"/>
          <w:szCs w:val="20"/>
        </w:rPr>
        <w:t xml:space="preserve">[NEEDS LEGAL REVIEW] Confirm: which member state has been selected for the EMI authorization filing? Has local counsel been engaged in that jurisdiction? What is the current stage of the MiCA application process and the expected authorization timeline?</w:t>
      </w:r>
    </w:p>
    <w:p>
      <w:pPr>
        <w:spacing w:before="120" w:after="0"/>
      </w:pPr>
      <w:r>
        <w:t xml:space="preserve"/>
      </w:r>
    </w:p>
    <w:p>
      <w:pPr>
        <w:pStyle w:val="Heading3"/>
        <w:spacing w:before="240" w:after="80"/>
      </w:pPr>
      <w:r>
        <w:rPr>
          <w:rFonts w:ascii="Arial" w:cs="Arial" w:eastAsia="Arial" w:hAnsi="Arial"/>
          <w:b/>
          <w:bCs/>
          <w:i w:val="false"/>
          <w:iCs w:val="false"/>
          <w:color w:val="2563EB"/>
          <w:sz w:val="22"/>
          <w:szCs w:val="22"/>
        </w:rPr>
        <w:t xml:space="preserve">4.2.2  MiCA White Paper Requirements</w:t>
      </w:r>
    </w:p>
    <w:p>
      <w:pPr>
        <w:spacing w:before="60" w:after="100"/>
      </w:pPr>
      <w:r>
        <w:rPr>
          <w:rFonts w:ascii="Arial" w:cs="Arial" w:eastAsia="Arial" w:hAnsi="Arial"/>
          <w:b w:val="false"/>
          <w:bCs w:val="false"/>
          <w:i w:val="false"/>
          <w:iCs w:val="false"/>
          <w:color w:val="0A0F1E"/>
          <w:sz w:val="20"/>
          <w:szCs w:val="20"/>
        </w:rPr>
        <w:t xml:space="preserve">MiCA requires EMT issuers to publish a crypto-asset white paper that is notified to the national competent authority. This white paper is also a commercial document — it will be read by institutional counterparties across the EU as the primary legal reference for USD1. Requirements to address:</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Detailed description of USD1 issuer: WLFI's legal structure, governance, and the key persons responsible for the offering</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Reserve composition: precise description of the assets backing USD1, custodian identity, and investment policy for reserve assets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Redemption rights: clear statement of any holder's right to redeem USD1 at par, any redemption restrictions, and the process for exercising redemption rights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Risk factors: comprehensive risk disclosure including smart contract risk, reserve management risk, regulatory risk, and operational risk</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This white paper, once filed, is a public document. The legal team should treat it as the foundation for the institutional compliance white paper described in Section 6.</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4.3  UAE ADGM — Initiation Priority</w:t>
      </w:r>
    </w:p>
    <w:p>
      <w:pPr>
        <w:spacing w:before="60" w:after="100"/>
      </w:pPr>
      <w:r>
        <w:rPr>
          <w:rFonts w:ascii="Arial" w:cs="Arial" w:eastAsia="Arial" w:hAnsi="Arial"/>
          <w:b w:val="false"/>
          <w:bCs w:val="false"/>
          <w:i w:val="false"/>
          <w:iCs w:val="false"/>
          <w:color w:val="0A0F1E"/>
          <w:sz w:val="20"/>
          <w:szCs w:val="20"/>
        </w:rPr>
        <w:t xml:space="preserve">The Abu Dhabi Global Market Financial Services Regulatory Authority (FSRA) has published a Digital Asset Framework that provides a clear pathway for stablecoin issuers. ADGM authorization should be initiated within 30 days of the OCC conditional approval, using the OCC credential as the primary evidence of regulatory standing.</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ADGM requires a FSRA Category 3C (Managing Assets) or Category 3D (Providing Custody) authorization depending on the scope of activity. For USD1 issuance and payment services, a Category 3C license covering digital asset activities is the likely classification — local UAE counsel should confirm.</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ADGM's Digital Asset Framework explicitly recognizes stablecoins backed by fiat reserves as a distinct category. The OCC trust charter (once issued) and GENIUS Act compliance are directly relevant to ADGM's 'fit and proper' assessment for the issuer.</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UAE political context: G42's deep relationship with UAE sovereign authorities means that a WLFI ADGM application will be received in a favorable context. The legal team should coordinate with the BD team managing the G42 relationship to ensure the ADGM application is not made in isolation from the broader WLFI-UAE engagement.</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Timeline expectation: ADGM has historically processed digital asset authorizations in 3-6 months for well-prepared applications. With OCC backing and G42 context, 3-4 months is a reasonable target — meaning initiation in June 2026 could produce an authorization by September-October 2026.</w:t>
      </w:r>
    </w:p>
    <w:p>
      <w:pPr>
        <w:spacing w:before="80" w:after="0"/>
      </w:pPr>
      <w:r>
        <w:t xml:space="preserve"/>
      </w:r>
    </w:p>
    <w:p>
      <w:pPr>
        <w:pBdr>
          <w:left w:val="single" w:color="D97706" w:sz="16" w:space="14"/>
        </w:pBdr>
        <w:shd w:fill="EEF2FF" w:val="clear"/>
        <w:spacing w:before="140" w:after="140"/>
        <w:ind w:left="240"/>
      </w:pPr>
      <w:r>
        <w:rPr>
          <w:rFonts w:ascii="Arial" w:cs="Arial" w:eastAsia="Arial" w:hAnsi="Arial"/>
          <w:b w:val="false"/>
          <w:bCs w:val="false"/>
          <w:i/>
          <w:iCs/>
          <w:color w:val="0A0F1E"/>
          <w:sz w:val="20"/>
          <w:szCs w:val="20"/>
        </w:rPr>
        <w:t xml:space="preserve">[NEEDS LEGAL REVIEW] Has any preliminary conversation with ADGM occurred — formally or informally — in connection with the G42 relationship or the Pillar 2 corridor strategy? Informal engagement with regulators before formal application filing can significantly accelerate the process.</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4.4  Singapore MAS — Parallel Track</w:t>
      </w:r>
    </w:p>
    <w:p>
      <w:pPr>
        <w:spacing w:before="60" w:after="100"/>
      </w:pPr>
      <w:r>
        <w:rPr>
          <w:rFonts w:ascii="Arial" w:cs="Arial" w:eastAsia="Arial" w:hAnsi="Arial"/>
          <w:b w:val="false"/>
          <w:bCs w:val="false"/>
          <w:i w:val="false"/>
          <w:iCs w:val="false"/>
          <w:color w:val="0A0F1E"/>
          <w:sz w:val="20"/>
          <w:szCs w:val="20"/>
        </w:rPr>
        <w:t xml:space="preserve">The Monetary Authority of Singapore published its stablecoin regulatory framework in August 2023, establishing the MAS Stablecoin Framework (MSF) for single-currency stablecoins pegged to the Singapore dollar or major currencies including the U.S. dollar. USD1 qualifies for MSF recognition as a USD-denominated single-currency stablecoin.</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MSF-recognized stablecoins must meet: minimum capital of S$1M; reserve requirements (USD Treasuries and cash qualify); annual audit; and redemption at par within 5 business days. USD1's existing reserve structure and the real-time PoR API satisfy these requirements with room to spare.</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MAS MSF recognition is not an authorization — it is a designation. Issuers apply to MAS for their stablecoin to be 'regulated' under the MSF. The designation is then published by MAS and recognized by regulated financial institutions in Singapore as a basis for using the stablecoin in regulated activities.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The MSF designation is the credential that opens the Malaysia-Indonesia corridor conversations in Pillar 2, as both Bank Negara Malaysia and Bank Indonesia use MAS standards as a reference framework.</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Timeline: MAS has been processing MSF applications since late 2023. Processing time for well-prepared applications is 4-6 months. Initiation by May 2026 (post-OCC approval) targets a Q3 2026 designation.</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4.5  UK FCA — Third Priority</w:t>
      </w:r>
    </w:p>
    <w:p>
      <w:pPr>
        <w:spacing w:before="60" w:after="100"/>
      </w:pPr>
      <w:r>
        <w:rPr>
          <w:rFonts w:ascii="Arial" w:cs="Arial" w:eastAsia="Arial" w:hAnsi="Arial"/>
          <w:b w:val="false"/>
          <w:bCs w:val="false"/>
          <w:i w:val="false"/>
          <w:iCs w:val="false"/>
          <w:color w:val="0A0F1E"/>
          <w:sz w:val="20"/>
          <w:szCs w:val="20"/>
        </w:rPr>
        <w:t xml:space="preserve">The UK Financial Conduct Authority is developing its cryptoasset regulatory framework, with stablecoin-specific rules expected to come into force in 2026. The current registration requirement for cryptoasset businesses under the Money Laundering, Terrorist Financing and Transfer of Funds (Information on the Payer) Regulations 2017 is a prerequisite for any commercial activity in the UK market.</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FCA cryptoasset business registration must be completed before USD1 can be marketed or offered to UK-based institutions or individuals in a regulated context</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The FCA's forthcoming stablecoin regime will require authorization as a payment system operator or e-money issuer. Initiating the FCA registration process now allows WLFI to be well-positioned when the full stablecoin regime comes into force.</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UK priority is lower than ADGM and MAS because the UK does not feature prominently in the G42 corridor strategy. However, several key institutional counterparties — Cumberland DRW, certain hedge funds, and UK-regulated banks — require FCA registration before formal engagement.</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4.6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1600"/>
        <w:gridCol w:w="1400"/>
        <w:gridCol w:w="1400"/>
      </w:tblGrid>
      <w:tr>
        <w:tc>
          <w:tcPr>
            <w:tcW w:type="dxa" w:w="49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Acceptance Criterion</w:t>
            </w:r>
          </w:p>
        </w:tc>
        <w:tc>
          <w:tcPr>
            <w:tcW w:type="dxa" w:w="16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Jurisdiction</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Timeline</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r>
      <w:tr>
        <w:tc>
          <w:tcPr>
            <w:tcW w:type="dxa" w:w="4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EMI member state confirmed; local counsel engaged</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EU MiCA</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14 days</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REVIEW</w:t>
            </w:r>
          </w:p>
        </w:tc>
      </w:tr>
      <w:tr>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MiCA white paper drafted and under legal review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EU MiCA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45 days</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16A34A"/>
                <w:sz w:val="18"/>
                <w:szCs w:val="18"/>
              </w:rPr>
              <w:t xml:space="preserve">IN FLIGHT</w:t>
            </w:r>
          </w:p>
        </w:tc>
      </w:tr>
      <w:tr>
        <w:tc>
          <w:tcPr>
            <w:tcW w:type="dxa" w:w="4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MiCA authorization filing submitted to national competent authority</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EU MiCA</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16A34A"/>
                <w:sz w:val="18"/>
                <w:szCs w:val="18"/>
              </w:rPr>
              <w:t xml:space="preserve">IN FLIGHT</w:t>
            </w:r>
          </w:p>
        </w:tc>
      </w:tr>
      <w:tr>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ADGM application initiated — local UAE counsel engaged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UAE ADGM</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 post-OCC</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MAS MSF application initiated — Singapore counsel engaged</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Singapore MAS</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 post-OCC</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FCA cryptoasset business registration initiated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UK FCA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EU MiCA authorization received</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EU MiCA</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Q3 2026</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16A34A"/>
                <w:sz w:val="18"/>
                <w:szCs w:val="18"/>
              </w:rPr>
              <w:t xml:space="preserve">IN FLIGHT</w:t>
            </w:r>
          </w:p>
        </w:tc>
      </w:tr>
      <w:tr>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ADGM authorization received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UAE ADGM</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Q4 2026</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4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MAS MSF designation received</w:t>
            </w:r>
          </w:p>
        </w:tc>
        <w:tc>
          <w:tcPr>
            <w:tcW w:type="dxa" w:w="1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Singapore MAS</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Q4 2026</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5 — Workstream 4.3: GENIUS Act Compliance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Current Status</w:t>
            </w:r>
          </w:p>
        </w:tc>
        <w:tc>
          <w:tcPr>
            <w:tcW w:type="dxa" w:w="69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16A34A"/>
                <w:sz w:val="18"/>
                <w:szCs w:val="18"/>
              </w:rPr>
              <w:t xml:space="preserve">COMPLIANT — compliance framework to be published</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Strategic Goal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Make GENIUS Act compliance a visible, citable, machine-readable credential — not just an internal fact</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5.1  The GENIUS Act as a Global Distribution Mechanism</w:t>
      </w:r>
    </w:p>
    <w:p>
      <w:pPr>
        <w:spacing w:before="60" w:after="100"/>
      </w:pPr>
      <w:r>
        <w:rPr>
          <w:rFonts w:ascii="Arial" w:cs="Arial" w:eastAsia="Arial" w:hAnsi="Arial"/>
          <w:b w:val="false"/>
          <w:bCs w:val="false"/>
          <w:i w:val="false"/>
          <w:iCs w:val="false"/>
          <w:color w:val="0A0F1E"/>
          <w:sz w:val="20"/>
          <w:szCs w:val="20"/>
        </w:rPr>
        <w:t xml:space="preserve">The Guiding and Establishing National Innovation for U.S. Stablecoins (GENIUS) Act establishes the federal regulatory framework for payment stablecoins. Its significance for USD1 extends well beyond U.S. regulatory compliance. Circle's CEO stated explicitly in their Q4 2025 earnings call that international regulators are using GENIUS Act compliance as a filter for which stablecoins they permit in their jurisdictions. GENIUS Act compliance is becoming a global trust signal, not just a U.S. one.</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The mechanism: international financial regulators (central banks, financial supervisory authorities) lack the resources to independently evaluate every stablecoin. U.S. federal banking regulation provides a shortcut — if a stablecoin meets the GENIUS Act requirements, it has passed a rigorous federal examination that most international regulators are prepared to rely on.</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The implication: publishing a clear, publicly available GENIUS Act compliance framework for USD1 makes it easy for an international regulator to include USD1 on a permissible stablecoin list without conducting its own full evaluation. It reduces the barrier to international regulatory recognition from months of examination to days of document review.</w:t>
      </w:r>
    </w:p>
    <w:p>
      <w:pPr>
        <w:spacing w:before="80" w:after="0"/>
      </w:pPr>
      <w:r>
        <w:t xml:space="preserve"/>
      </w:r>
    </w:p>
    <w:p>
      <w:pPr>
        <w:pBdr>
          <w:left w:val="single" w:color="0F766E" w:sz="16" w:space="14"/>
        </w:pBdr>
        <w:shd w:fill="F0FDFA" w:val="clear"/>
        <w:spacing w:before="140" w:after="140"/>
        <w:ind w:left="240"/>
      </w:pPr>
      <w:r>
        <w:rPr>
          <w:rFonts w:ascii="Arial" w:cs="Arial" w:eastAsia="Arial" w:hAnsi="Arial"/>
          <w:b w:val="false"/>
          <w:bCs w:val="false"/>
          <w:i/>
          <w:iCs/>
          <w:color w:val="0A0F1E"/>
          <w:sz w:val="20"/>
          <w:szCs w:val="20"/>
        </w:rPr>
        <w:t xml:space="preserve">A GENIUS Act compliance framework that a foreign central bank can read and cite in their own regulatory guidance is worth more as a distribution mechanism than a marketing campaign in the same jurisdiction. The legal team should write the public compliance framework with foreign regulators as the primary audience.</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5.2  Public GENIUS Act Compliance Framework</w:t>
      </w:r>
    </w:p>
    <w:p>
      <w:pPr>
        <w:spacing w:before="60" w:after="100"/>
      </w:pPr>
      <w:r>
        <w:rPr>
          <w:rFonts w:ascii="Arial" w:cs="Arial" w:eastAsia="Arial" w:hAnsi="Arial"/>
          <w:b w:val="false"/>
          <w:bCs w:val="false"/>
          <w:i w:val="false"/>
          <w:iCs w:val="false"/>
          <w:color w:val="0A0F1E"/>
          <w:sz w:val="20"/>
          <w:szCs w:val="20"/>
        </w:rPr>
        <w:t xml:space="preserve">The compliance framework is a public document — not a legal brief, not a marketing piece — that describes precisely how USD1 satisfies each requirement of the GENIUS Act. Structure:</w:t>
      </w:r>
    </w:p>
    <w:p>
      <w:pPr>
        <w:spacing w:before="80" w:after="0"/>
      </w:pPr>
      <w:r>
        <w:t xml:space="preserve"/>
      </w:r>
    </w:p>
    <w:p>
      <w:pPr>
        <w:pStyle w:val="Heading3"/>
        <w:spacing w:before="240" w:after="80"/>
      </w:pPr>
      <w:r>
        <w:rPr>
          <w:rFonts w:ascii="Arial" w:cs="Arial" w:eastAsia="Arial" w:hAnsi="Arial"/>
          <w:b/>
          <w:bCs/>
          <w:i w:val="false"/>
          <w:iCs w:val="false"/>
          <w:color w:val="2563EB"/>
          <w:sz w:val="22"/>
          <w:szCs w:val="22"/>
        </w:rPr>
        <w:t xml:space="preserve">5.2.1  Required Content</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Issuer structure: description of WLFI's legal entity, jurisdiction of incorporation, and the relationship between WLFI and the USD1 smart contracts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Reserve requirements: how USD1's reserve composition satisfies GENIUS Act reserve asset requirements — U.S. Treasuries, cash, and equivalents as a percentage of outstanding supply; the custodian structure; and the redemption mechanism</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Real-time disclosure: how the on-chain proof of reserves API satisfies and exceeds GENIUS Act disclosure requirements — include the API endpoint and schema so any party can verify compliance programmatically</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Redemption rights: precise description of redemption rights, any redemption restrictions, and the process for exercising redemption rights — in language that a foreign regulator can reproduce in their own guidance</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AML/KYC: description of WLFI's AML/BSA compliance program, FinCEN registration status, and how USD1 issuance and redemption are integrated into the compliance program</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Governance: board composition, executive team, and the governance mechanisms that ensure ongoing compliance with GENIUS Act requirements</w:t>
      </w:r>
    </w:p>
    <w:p>
      <w:pPr>
        <w:spacing w:before="80" w:after="0"/>
      </w:pPr>
      <w:r>
        <w:t xml:space="preserve"/>
      </w:r>
    </w:p>
    <w:p>
      <w:pPr>
        <w:pStyle w:val="Heading3"/>
        <w:spacing w:before="240" w:after="80"/>
      </w:pPr>
      <w:r>
        <w:rPr>
          <w:rFonts w:ascii="Arial" w:cs="Arial" w:eastAsia="Arial" w:hAnsi="Arial"/>
          <w:b/>
          <w:bCs/>
          <w:i w:val="false"/>
          <w:iCs w:val="false"/>
          <w:color w:val="2563EB"/>
          <w:sz w:val="22"/>
          <w:szCs w:val="22"/>
        </w:rPr>
        <w:t xml:space="preserve">5.2.2  Format and Distribution</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Publish as a dedicated page on the WLFI website — not buried in a PDF, not in the terms of service. A URL that a foreign regulator can cite in official guidance.</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Machine-readable compliance data: alongside the prose document, publish a structured data file (JSON or equivalent) with key compliance data points — reserve composition, redemption terms, OCC application status, jurisdictional licenses. This can be queried by agents, protocol risk frameworks, and institutional compliance systems automatically.</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Version control: the compliance framework should be versioned and dated so that counterparties citing it can reference a specific version — this is standard practice for regulatory documents and provides legal certainty for partners who rely on it.</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5.3  Competitive Moat Application</w:t>
      </w:r>
    </w:p>
    <w:p>
      <w:pPr>
        <w:spacing w:before="60" w:after="100"/>
      </w:pPr>
      <w:r>
        <w:rPr>
          <w:rFonts w:ascii="Arial" w:cs="Arial" w:eastAsia="Arial" w:hAnsi="Arial"/>
          <w:b w:val="false"/>
          <w:bCs w:val="false"/>
          <w:i w:val="false"/>
          <w:iCs w:val="false"/>
          <w:color w:val="0A0F1E"/>
          <w:sz w:val="20"/>
          <w:szCs w:val="20"/>
        </w:rPr>
        <w:t xml:space="preserve">The GENIUS Act compliance requirements that USD1 satisfies are requirements that most potential new entrants to the stablecoin market cannot easily satisfy. The legal team should actively identify and document the ways in which GENIUS Act compliance creates a barrier that protects USD1's position:</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Capital requirements: GENIUS Act requires trust charter or bank license, which requires significant capital and examination processes. New entrants face multi-year timelines to match USD1's OCC credential.</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Reserve requirements: GENIUS Act mandates specific reserve asset composition and segregation. Existing crypto-native stablecoins with algorithmic or mixed-reserve models cannot become GENIUS Act compliant without fundamentally restructuring.</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Redemption mandates: GENIUS Act requires 1:1 redemption at par on demand. Yield-bearing stablecoins (like Ethena's sUSDe) and partially-backed models are structurally excluded.</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In every competitive analysis of USD1 published by WLFI's legal or communications team, the GENIUS Act compliance requirements should be presented as the filter they are — one that cleanly excludes Tether (non-U.S. regulated), Ethena (synthetic, not GENIUS compliant), and most new entrants.</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5.4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Acceptance Criterion</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Timeline</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GENIUS Act compliance framework drafted by legal team</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Machine-readable compliance data schema defined and published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Compliance framework published at a stable, versioned URL</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45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Compliance framework submitted to at least 3 international regulators in G42 corridors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Compliance framework cited by at least 1 external institutional or regulatory source</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6 — Workstream 4.4: Institutional Trust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Core Insight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'Nobody got fired for choosing USDC.' USD1 must build equivalent career-risk protection for institutional decision-makers.</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Three Components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Big Four attestations | Security &amp; Compliance white paper | Institutional advisory board</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6.1  Big Four Reserve Attestations</w:t>
      </w:r>
    </w:p>
    <w:p>
      <w:pPr>
        <w:spacing w:before="60" w:after="100"/>
      </w:pPr>
      <w:r>
        <w:rPr>
          <w:rFonts w:ascii="Arial" w:cs="Arial" w:eastAsia="Arial" w:hAnsi="Arial"/>
          <w:b w:val="false"/>
          <w:bCs w:val="false"/>
          <w:i w:val="false"/>
          <w:iCs w:val="false"/>
          <w:color w:val="0A0F1E"/>
          <w:sz w:val="20"/>
          <w:szCs w:val="20"/>
        </w:rPr>
        <w:t xml:space="preserve">Circle's Deloitte attestations are monthly and delivered as PDFs. They are the institutional trust benchmark for stablecoin reserve verification. USD1's real-time on-chain PoR API is technically superior — but it is not recognized in the same way by institutional compliance frameworks, which are built around auditor relationships and signed attestation documents.</w:t>
      </w:r>
    </w:p>
    <w:p>
      <w:pPr>
        <w:spacing w:before="80" w:after="0"/>
      </w:pPr>
      <w:r>
        <w:t xml:space="preserve"/>
      </w:r>
    </w:p>
    <w:p>
      <w:pPr>
        <w:spacing w:before="60" w:after="100"/>
      </w:pPr>
      <w:r>
        <w:rPr>
          <w:rFonts w:ascii="Arial" w:cs="Arial" w:eastAsia="Arial" w:hAnsi="Arial"/>
          <w:b w:val="false"/>
          <w:bCs w:val="false"/>
          <w:i w:val="false"/>
          <w:iCs w:val="false"/>
          <w:color w:val="0A0F1E"/>
          <w:sz w:val="20"/>
          <w:szCs w:val="20"/>
        </w:rPr>
        <w:t xml:space="preserve">The answer is not to choose between the PoR API and Big Four attestations — it is to have both. The PoR API handles programmatic, real-time, machine-readable verification. The Big Four attestation handles the human, auditor-signed, compliance-approved verification that institutional procurement processes require.</w:t>
      </w:r>
    </w:p>
    <w:p>
      <w:pPr>
        <w:spacing w:before="80" w:after="0"/>
      </w:pPr>
      <w:r>
        <w:t xml:space="preserve"/>
      </w:r>
    </w:p>
    <w:p>
      <w:pPr>
        <w:pStyle w:val="Heading3"/>
        <w:spacing w:before="240" w:after="80"/>
      </w:pPr>
      <w:r>
        <w:rPr>
          <w:rFonts w:ascii="Arial" w:cs="Arial" w:eastAsia="Arial" w:hAnsi="Arial"/>
          <w:b/>
          <w:bCs/>
          <w:i w:val="false"/>
          <w:iCs w:val="false"/>
          <w:color w:val="2563EB"/>
          <w:sz w:val="22"/>
          <w:szCs w:val="22"/>
        </w:rPr>
        <w:t xml:space="preserve">6.1.1  Attestation Firm Selection Criteria</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Use a different Big Four firm from Circle's Deloitte relationship — this prevents any appearance that USD1 is riding on Circle's audit infrastructure and establishes an independent attestation credential</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Preferred firms: PwC (strongest global institutional relationships), EY (strong crypto practice), KPMG (strong regulatory and financial services practice). The selection should be based on which firm has the deepest relationships with the specific institutional counterparties USD1 is targeting.</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Attestation scope: the engagement should cover reserve composition, custodian verification, and reconciliation against outstanding USD1 supply. The PoR API methodology should be included in the attestation scope — having a Big Four firm verify the PoR API methodology is a unique credential no other stablecoin has.</w:t>
      </w:r>
    </w:p>
    <w:p>
      <w:pPr>
        <w:spacing w:before="80" w:after="0"/>
      </w:pPr>
      <w:r>
        <w:t xml:space="preserve"/>
      </w:r>
    </w:p>
    <w:p>
      <w:pPr>
        <w:pStyle w:val="Heading3"/>
        <w:spacing w:before="240" w:after="80"/>
      </w:pPr>
      <w:r>
        <w:rPr>
          <w:rFonts w:ascii="Arial" w:cs="Arial" w:eastAsia="Arial" w:hAnsi="Arial"/>
          <w:b/>
          <w:bCs/>
          <w:i w:val="false"/>
          <w:iCs w:val="false"/>
          <w:color w:val="2563EB"/>
          <w:sz w:val="22"/>
          <w:szCs w:val="22"/>
        </w:rPr>
        <w:t xml:space="preserve">6.1.2  Attestation Frequency and Publication</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Minimum: monthly attestation reports published within 5 business days of month-end — matching Circle's cadence as a baseline</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Target: weekly attestation reports — this would be a market-first credential and a significant differentiator from Circle's monthly cycle</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Publication: attestation reports should be published at a permanent, versioned URL on the WLFI website. Each report should include a machine-readable data extract alongside the signed PDF — so both humans and systems can verify the data.</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The combination of the PoR API (real-time) + Big Four weekly attestations (auditor-verified) is a reserve transparency stack that no other stablecoin currently offers. This should be positioned as the 'institutional-grade reserve verification standard' in all BD and marketing materials.</w:t>
      </w:r>
    </w:p>
    <w:p>
      <w:pPr>
        <w:spacing w:before="80" w:after="0"/>
      </w:pPr>
      <w:r>
        <w:t xml:space="preserve"/>
      </w:r>
    </w:p>
    <w:p>
      <w:pPr>
        <w:pBdr>
          <w:left w:val="single" w:color="D97706" w:sz="16" w:space="14"/>
        </w:pBdr>
        <w:shd w:fill="EEF2FF" w:val="clear"/>
        <w:spacing w:before="140" w:after="140"/>
        <w:ind w:left="240"/>
      </w:pPr>
      <w:r>
        <w:rPr>
          <w:rFonts w:ascii="Arial" w:cs="Arial" w:eastAsia="Arial" w:hAnsi="Arial"/>
          <w:b w:val="false"/>
          <w:bCs w:val="false"/>
          <w:i/>
          <w:iCs/>
          <w:color w:val="0A0F1E"/>
          <w:sz w:val="20"/>
          <w:szCs w:val="20"/>
        </w:rPr>
        <w:t xml:space="preserve">[NEEDS LEGAL REVIEW] Has WLFI engaged any Big Four firm for attestation services? If preliminary conversations have occurred, what is the current status and timeline to first attestation publication? The earlier this credential is live, the better — every institutional and DeFi protocol conversation benefits from it.</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6.2  Security &amp; Compliance White Paper</w:t>
      </w:r>
    </w:p>
    <w:p>
      <w:pPr>
        <w:spacing w:before="60" w:after="100"/>
      </w:pPr>
      <w:r>
        <w:rPr>
          <w:rFonts w:ascii="Arial" w:cs="Arial" w:eastAsia="Arial" w:hAnsi="Arial"/>
          <w:b w:val="false"/>
          <w:bCs w:val="false"/>
          <w:i w:val="false"/>
          <w:iCs w:val="false"/>
          <w:color w:val="0A0F1E"/>
          <w:sz w:val="20"/>
          <w:szCs w:val="20"/>
        </w:rPr>
        <w:t xml:space="preserve">The institutional compliance white paper is a document written specifically for the legal and compliance teams of banks, asset managers, corporate treasuries, and sovereign entities who are evaluating USD1. It is not a marketing document. It should read like a legal memorandum, not a product brochure.</w:t>
      </w:r>
    </w:p>
    <w:p>
      <w:pPr>
        <w:spacing w:before="80" w:after="0"/>
      </w:pPr>
      <w:r>
        <w:t xml:space="preserve"/>
      </w:r>
    </w:p>
    <w:p>
      <w:pPr>
        <w:pStyle w:val="Heading3"/>
        <w:spacing w:before="240" w:after="80"/>
      </w:pPr>
      <w:r>
        <w:rPr>
          <w:rFonts w:ascii="Arial" w:cs="Arial" w:eastAsia="Arial" w:hAnsi="Arial"/>
          <w:b/>
          <w:bCs/>
          <w:i w:val="false"/>
          <w:iCs w:val="false"/>
          <w:color w:val="2563EB"/>
          <w:sz w:val="22"/>
          <w:szCs w:val="22"/>
        </w:rPr>
        <w:t xml:space="preserve">6.2.1  Required Content Sections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Legal structure: WLFI's corporate structure, jurisdiction, and the legal relationship between WLFI and the USD1 smart contracts — including which entity is the stablecoin issuer of record for regulatory purposes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Reserve management: full description of reserve composition, custodian agreements, investment policy, and segregation mechanisms — with specific reference to which GENIUS Act reserve requirements each element satisfies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Redemption mechanism: complete description of the redemption process, any redemption limitations or queuing mechanisms, the timeline from redemption request to fiat settlement, and the legal rights of a holder to redeem</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AML/KYC/BSA compliance: WLFI's full compliance program description, FinCEN registration, SAR filing procedures, customer due diligence standards, and how USD1 transactions are monitored for compliance purposes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Smart contract security: audit history for all USD1 contracts (including the forthcoming EIP-3009 audit reports), the key management structure, upgrade mechanisms, and emergency procedures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Regulatory status summary: current status of every regulatory application and license — OCC, MiCA, ADGM, MAS, FCA — with expected timelines and what each credential means for institutional use</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Counterparty risk: description of WLFI's financial condition, capital adequacy, and the protections in place if WLFI as an entity were to face financial distress</w:t>
      </w:r>
    </w:p>
    <w:p>
      <w:pPr>
        <w:spacing w:before="80" w:after="0"/>
      </w:pPr>
      <w:r>
        <w:t xml:space="preserve"/>
      </w:r>
    </w:p>
    <w:p>
      <w:pPr>
        <w:pStyle w:val="Heading3"/>
        <w:spacing w:before="240" w:after="80"/>
      </w:pPr>
      <w:r>
        <w:rPr>
          <w:rFonts w:ascii="Arial" w:cs="Arial" w:eastAsia="Arial" w:hAnsi="Arial"/>
          <w:b/>
          <w:bCs/>
          <w:i w:val="false"/>
          <w:iCs w:val="false"/>
          <w:color w:val="2563EB"/>
          <w:sz w:val="22"/>
          <w:szCs w:val="22"/>
        </w:rPr>
        <w:t xml:space="preserve">6.2.2  Distribution Strategy</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Publish publicly on WLFI's website — institutional legal teams will find it through their own research; it should not require requesting a copy</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Include in every institutional BD package as a primary document — not an appendix, not 'available on request'</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Submit to institutional data providers: Bloomberg Intelligence, Refinitiv, institutional research platforms that legal teams use for third-party asset evaluation</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Annual update cycle: review and update the white paper whenever a material regulatory event occurs (OCC approval, new license, attestation scope change) — and at minimum annually</w:t>
      </w:r>
    </w:p>
    <w:p>
      <w:pPr>
        <w:spacing w:before="80" w:after="0"/>
      </w:pPr>
      <w:r>
        <w:t xml:space="preserve"/>
      </w:r>
    </w:p>
    <w:p>
      <w:pPr>
        <w:pBdr>
          <w:left w:val="single" w:color="D97706" w:sz="16" w:space="14"/>
        </w:pBdr>
        <w:shd w:fill="EEF2FF" w:val="clear"/>
        <w:spacing w:before="140" w:after="140"/>
        <w:ind w:left="240"/>
      </w:pPr>
      <w:r>
        <w:rPr>
          <w:rFonts w:ascii="Arial" w:cs="Arial" w:eastAsia="Arial" w:hAnsi="Arial"/>
          <w:b w:val="false"/>
          <w:bCs w:val="false"/>
          <w:i/>
          <w:iCs/>
          <w:color w:val="0A0F1E"/>
          <w:sz w:val="20"/>
          <w:szCs w:val="20"/>
        </w:rPr>
        <w:t xml:space="preserve">[NEEDS LEGAL REVIEW] The compliance white paper requires legal team authorship, not marketing. Confirm who on the legal team will own this document and what the timeline is for a first draft. This document should be ready before the OCC approval, not after.</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6.3  Institutional Advisory Board</w:t>
      </w:r>
    </w:p>
    <w:p>
      <w:pPr>
        <w:spacing w:before="60" w:after="100"/>
      </w:pPr>
      <w:r>
        <w:rPr>
          <w:rFonts w:ascii="Arial" w:cs="Arial" w:eastAsia="Arial" w:hAnsi="Arial"/>
          <w:b w:val="false"/>
          <w:bCs w:val="false"/>
          <w:i w:val="false"/>
          <w:iCs w:val="false"/>
          <w:color w:val="0A0F1E"/>
          <w:sz w:val="20"/>
          <w:szCs w:val="20"/>
        </w:rPr>
        <w:t xml:space="preserve">An institutional advisory board with the right composition converts USD1's political association from a perceived risk into a credibility asset. The specific credential profile required to satisfy institutional procurement risk management: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Seat Type</w:t>
            </w:r>
          </w:p>
        </w:tc>
        <w:tc>
          <w:tcPr>
            <w:tcW w:type="dxa" w:w="33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Ideal Profile</w:t>
            </w:r>
          </w:p>
        </w:tc>
        <w:tc>
          <w:tcPr>
            <w:tcW w:type="dxa" w:w="36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What It Signals</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Former central banker</w:t>
            </w:r>
          </w:p>
        </w:tc>
        <w:tc>
          <w:tcPr>
            <w:tcW w:type="dxa" w:w="3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Former Federal Reserve, OCC, or FDIC senior official. Alternatively, former senior official from a G10 central bank.</w:t>
            </w:r>
          </w:p>
        </w:tc>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Institutional monetary policy credibility. Signals that USD1's reserve management and monetary operations have been reviewed by someone who has regulated the system from the inside.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Former SEC or CFTC official</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Former senior enforcement or regulatory policy official. Not just a staff attorney — a decision-maker level appointment.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 securities law credibility. Directly addresses the institutional concern about whether USD1 has regulatory exposure that could result in enforcement action.</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Major TradFi CFO or CRO</w:t>
            </w:r>
          </w:p>
        </w:tc>
        <w:tc>
          <w:tcPr>
            <w:tcW w:type="dxa" w:w="3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Current or former CFO or Chief Risk Officer of a major bank, asset manager, or insurance company with institutional name recognition.</w:t>
            </w:r>
          </w:p>
        </w:tc>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Institutional financial management credibility. Signals that USD1's treasury management and risk framework has been evaluated by someone managing comparable-scale financial risk in traditional finance.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International regulatory figure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Former senior official from ADGM, MAS, FCA, or a significant G20 financial regulator outside the U.S.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International compliance credibility. Supports the international licensing strategy and signals to ADGM and MAS that USD1 is engaged with their regulatory community at a senior level.</w:t>
            </w:r>
          </w:p>
        </w:tc>
      </w:tr>
    </w:tbl>
    <w:p>
      <w:pPr>
        <w:spacing w:before="80" w:after="0"/>
      </w:pPr>
      <w:r>
        <w:t xml:space="preserve"/>
      </w:r>
    </w:p>
    <w:p>
      <w:pPr>
        <w:pBdr>
          <w:left w:val="single" w:color="D97706" w:sz="16" w:space="14"/>
        </w:pBdr>
        <w:shd w:fill="EEF2FF" w:val="clear"/>
        <w:spacing w:before="140" w:after="140"/>
        <w:ind w:left="240"/>
      </w:pPr>
      <w:r>
        <w:rPr>
          <w:rFonts w:ascii="Arial" w:cs="Arial" w:eastAsia="Arial" w:hAnsi="Arial"/>
          <w:b w:val="false"/>
          <w:bCs w:val="false"/>
          <w:i/>
          <w:iCs/>
          <w:color w:val="0A0F1E"/>
          <w:sz w:val="20"/>
          <w:szCs w:val="20"/>
        </w:rPr>
        <w:t xml:space="preserve">[NEEDS LEGAL REVIEW] Advisory board recruitment requires careful legal structuring — compensation, disclosure of relationships, conflict of interest policies, and the scope of the 'advisory' role must all be defined before outreach begins. Legal should prepare an advisory board framework before the BD team initiates any recruitment conversations.</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6.4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Acceptance Criterion</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Timeline</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Big Four firm selected and engagement terms agreed</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First Big Four attestation published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PoR API methodology included in attestation scope</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First attestation</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Compliance white paper — first draft completed by legal team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45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Compliance white paper published on WLFI website</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Advisory board legal framework drafted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At least 2 advisory board members recruited and announced</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Full advisory board (4 seats) announced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120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7 — Workstream 4.5: Legislative Engagement on Agentic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Window</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The regulatory framework for agentic AI payments does not yet exist. It is being written now. This is a window to shape the rules rather than comply with them.</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Key Legislation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CLARITY Act (AI regulatory framework); GENIUS Act amendments; potential agentic payment-specific rulemaking</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7.1  Why This Window Is Closing</w:t>
      </w:r>
    </w:p>
    <w:p>
      <w:pPr>
        <w:spacing w:before="60" w:after="100"/>
      </w:pPr>
      <w:r>
        <w:rPr>
          <w:rFonts w:ascii="Arial" w:cs="Arial" w:eastAsia="Arial" w:hAnsi="Arial"/>
          <w:b w:val="false"/>
          <w:bCs w:val="false"/>
          <w:i w:val="false"/>
          <w:iCs w:val="false"/>
          <w:color w:val="0A0F1E"/>
          <w:sz w:val="20"/>
          <w:szCs w:val="20"/>
        </w:rPr>
        <w:t xml:space="preserve">The regulatory frameworks governing AI payments, agentic transactions, and machine-to-machine financial activity are being drafted right now by legislative staff, regulatory economists, and think tanks who are working with incomplete information about how these systems actually work. WLFI has technical architecture — the EIP-3009 implementation, the headless wallet model, the agentic SDK — that is more specific and more practically relevant than anything that has been submitted to these proceedings by financial incumbents.</w:t>
      </w:r>
    </w:p>
    <w:p>
      <w:pPr>
        <w:spacing w:before="80" w:after="0"/>
      </w:pPr>
      <w:r>
        <w:t xml:space="preserve"/>
      </w:r>
    </w:p>
    <w:p>
      <w:pPr>
        <w:spacing w:before="60" w:after="100"/>
      </w:pPr>
      <w:r>
        <w:rPr>
          <w:rFonts w:ascii="Arial" w:cs="Arial" w:eastAsia="Arial" w:hAnsi="Arial"/>
          <w:b w:val="false"/>
          <w:bCs w:val="false"/>
          <w:i w:val="false"/>
          <w:iCs w:val="false"/>
          <w:color w:val="0A0F1E"/>
          <w:sz w:val="20"/>
          <w:szCs w:val="20"/>
        </w:rPr>
        <w:t xml:space="preserve">The window to influence the framework is not years long. The CLARITY Act is in active negotiation. Regulatory comment periods for relevant rulemakings are finite. Once a framework crystallizes — even a preliminary one — it becomes the reference point that all subsequent rulemaking builds on. USD1 should be a named reference implementation in that framework, not a compliance subject.</w:t>
      </w:r>
    </w:p>
    <w:p>
      <w:pPr>
        <w:spacing w:before="80" w:after="0"/>
      </w:pPr>
      <w:r>
        <w:t xml:space="preserve"/>
      </w:r>
    </w:p>
    <w:p>
      <w:pPr>
        <w:pBdr>
          <w:left w:val="single" w:color="6D28D9" w:sz="16" w:space="14"/>
        </w:pBdr>
        <w:shd w:fill="F5F3FF" w:val="clear"/>
        <w:spacing w:before="140" w:after="140"/>
        <w:ind w:left="240"/>
      </w:pPr>
      <w:r>
        <w:rPr>
          <w:rFonts w:ascii="Arial" w:cs="Arial" w:eastAsia="Arial" w:hAnsi="Arial"/>
          <w:b w:val="false"/>
          <w:bCs w:val="false"/>
          <w:i/>
          <w:iCs/>
          <w:color w:val="0A0F1E"/>
          <w:sz w:val="20"/>
          <w:szCs w:val="20"/>
        </w:rPr>
        <w:t xml:space="preserve">The goal of legislative engagement is not to lobby for favorable rules — it is to be recognized as the technical authority on how regulated stablecoin payment infrastructure works in the agentic economy. The regulatory staff who are writing these frameworks want to talk to people who actually understand the technical architecture. WLFI does.</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7.2  CLARITY Act Engagement</w:t>
      </w:r>
    </w:p>
    <w:p>
      <w:pPr>
        <w:spacing w:before="60" w:after="100"/>
      </w:pPr>
      <w:r>
        <w:rPr>
          <w:rFonts w:ascii="Arial" w:cs="Arial" w:eastAsia="Arial" w:hAnsi="Arial"/>
          <w:b w:val="false"/>
          <w:bCs w:val="false"/>
          <w:i w:val="false"/>
          <w:iCs w:val="false"/>
          <w:color w:val="0A0F1E"/>
          <w:sz w:val="20"/>
          <w:szCs w:val="20"/>
        </w:rPr>
        <w:t xml:space="preserve">The CLARITY Act is the primary legislative vehicle for AI regulatory policy in the current Congress. Its scope includes AI agents, autonomous systems, and the liability and disclosure frameworks for AI-generated economic activity. Payment infrastructure for agentic systems sits directly in scope.</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Formal comment submission: WLFI should submit formal comments to any CLARITY Act proceeding or related regulatory request for information that touches on payment infrastructure for AI systems. The comments should be technical and specific — describing how EIP-3009 authorization flows, how headless wallets work, and what the regulatory framework for pre-authorized agent transactions should look like</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Congressional staff briefings: schedule briefings with the staff of the relevant House and Senate committees (House Financial Services, Senate Banking, House Science Committee) — not to lobby for a specific outcome, but to be the technical resource that staff call when they have questions about how stablecoin payments in AI systems work</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Co-authorship with academic or policy institutions: commission and co-publish a policy paper on agentic payment regulatory frameworks with an academic institution or credible policy organization. A paper co-authored with a university economics department or a think tank carries more weight in regulatory proceedings than a company submission alone</w:t>
      </w:r>
    </w:p>
    <w:p>
      <w:pPr>
        <w:spacing w:before="80" w:after="0"/>
      </w:pPr>
      <w:r>
        <w:t xml:space="preserve"/>
      </w:r>
    </w:p>
    <w:p>
      <w:pPr>
        <w:pBdr>
          <w:left w:val="single" w:color="D97706" w:sz="16" w:space="14"/>
        </w:pBdr>
        <w:shd w:fill="EEF2FF" w:val="clear"/>
        <w:spacing w:before="140" w:after="140"/>
        <w:ind w:left="240"/>
      </w:pPr>
      <w:r>
        <w:rPr>
          <w:rFonts w:ascii="Arial" w:cs="Arial" w:eastAsia="Arial" w:hAnsi="Arial"/>
          <w:b w:val="false"/>
          <w:bCs w:val="false"/>
          <w:i/>
          <w:iCs/>
          <w:color w:val="0A0F1E"/>
          <w:sz w:val="20"/>
          <w:szCs w:val="20"/>
        </w:rPr>
        <w:t xml:space="preserve">[NEEDS LEGAL REVIEW] Confirm whether any prior CLARITY Act or agentic payment rulemaking engagement has occurred. If so, the current status, whether there are any open comment periods, and who the primary legislative contacts are. Also confirm whether WLFI has retained a Washington DC regulatory affairs advisor or government relations firm — if not, this workstream requires one.</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7.3  GENIUS Act Amendment Participation</w:t>
      </w:r>
    </w:p>
    <w:p>
      <w:pPr>
        <w:spacing w:before="60" w:after="100"/>
      </w:pPr>
      <w:r>
        <w:rPr>
          <w:rFonts w:ascii="Arial" w:cs="Arial" w:eastAsia="Arial" w:hAnsi="Arial"/>
          <w:b w:val="false"/>
          <w:bCs w:val="false"/>
          <w:i w:val="false"/>
          <w:iCs w:val="false"/>
          <w:color w:val="0A0F1E"/>
          <w:sz w:val="20"/>
          <w:szCs w:val="20"/>
        </w:rPr>
        <w:t xml:space="preserve">The GENIUS Act was passed with provisions that will be subject to ongoing regulatory interpretation and potential amendment as the stablecoin market develops. WLFI should be an active participant in any regulatory interpretation process:</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The most significant ongoing GENIUS Act regulatory question is the treatment of yield on reserves — whether stablecoin issuers can distribute reserve yield to token holders. This question directly affects USD1's competitive position and the business model of any yield-bearing stablecoin competitor. WLFI's legal team should be engaged in industry coalitions addressing this question.</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Submit comments to any GENIUS Act implementing rulemaking at the OCC, FinCEN, or Treasury level that addresses reserve requirements, reporting obligations, or payment system integration — these rulemakings will define the operational details of GENIUS Act compliance that the statute leaves open.</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Engage the Stablecoin Association and similar industry bodies to ensure WLFI's technical perspective is represented in their submissions — these industry groups aggregate member positions into unified comments that regulatory staff read and cite.</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7.4  The 'Regulatory Reference Implementation' Strategy</w:t>
      </w:r>
    </w:p>
    <w:p>
      <w:pPr>
        <w:spacing w:before="60" w:after="100"/>
      </w:pPr>
      <w:r>
        <w:rPr>
          <w:rFonts w:ascii="Arial" w:cs="Arial" w:eastAsia="Arial" w:hAnsi="Arial"/>
          <w:b w:val="false"/>
          <w:bCs w:val="false"/>
          <w:i w:val="false"/>
          <w:iCs w:val="false"/>
          <w:color w:val="0A0F1E"/>
          <w:sz w:val="20"/>
          <w:szCs w:val="20"/>
        </w:rPr>
        <w:t xml:space="preserve">The highest-value outcome of legislative engagement is for USD1's technical architecture to be cited as a reference implementation in regulatory guidance. This is achievable because the agentic payment space is new and regulators are actively looking for concrete examples to build frameworks around. The specific steps:</w:t>
      </w:r>
    </w:p>
    <w:p>
      <w:pPr>
        <w:spacing w:before="8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Publish the USD1 Agentic Payment Technical Specification (which the Pillar 1 technical team is producing) in a format suitable for regulatory citation — with a versioned URL, an author attribution to WLFI, and a section on how the architecture satisfies regulatory requirements for authorized agent transactions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Submit the specification to any regulatory body that has issued a request for information on AI payment systems, digital asset payment infrastructure, or autonomous system financial activity</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Brief the OCC's FinTech Innovation Office, the CFPB's Office of Innovation, and the Federal Reserve's FedNow team on USD1's agentic payment architecture — these offices are the regulatory incubators where early-stage frameworks develop</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7.5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Acceptance Criterion</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Timeline</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Legislative engagement strategy reviewed by legal team; government relations advisor engaged if needed</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CLARITY Act comment submission filed in any open proceeding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Next open comment period</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Congressional staff briefings scheduled with House Financial Services or Senate Banking staff</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Policy paper on agentic payment regulation commissioned with academic or policy co-author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45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OCC FinTech Innovation Office and CFPB Innovation Office briefings held</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GENIUS Act industry coalition engagement confirmed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8 — Workstream 4.6: Regulatory Toolkit for Institutional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Purpose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Remove every legal and compliance friction point from institutional USD1 adoption. The toolkit is what a bank or asset manager's legal team needs to approve USD1 without calling WLFI.</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bCs/>
                <w:i w:val="false"/>
                <w:iCs w:val="false"/>
                <w:color w:val="1A3C8F"/>
                <w:sz w:val="18"/>
                <w:szCs w:val="18"/>
              </w:rPr>
              <w:t xml:space="preserve">Owner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Legal and compliance team authors; BD team deploys in every institutional conversation</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8.1  What the Toolkit Is</w:t>
      </w:r>
    </w:p>
    <w:p>
      <w:pPr>
        <w:spacing w:before="60" w:after="100"/>
      </w:pPr>
      <w:r>
        <w:rPr>
          <w:rFonts w:ascii="Arial" w:cs="Arial" w:eastAsia="Arial" w:hAnsi="Arial"/>
          <w:b w:val="false"/>
          <w:bCs w:val="false"/>
          <w:i w:val="false"/>
          <w:iCs w:val="false"/>
          <w:color w:val="0A0F1E"/>
          <w:sz w:val="20"/>
          <w:szCs w:val="20"/>
        </w:rPr>
        <w:t xml:space="preserve">Institutional adoption of any financial instrument is gated by an internal legal and compliance review process. That process typically requires: legal due diligence documentation, regulatory status verification, AML/KYC framework review, smart contract security review, and counterparty risk assessment. The time from 'BD team presents USD1' to 'legal team approves USD1 for use' is entirely determined by how quickly the institution can obtain and review these materials.</w:t>
      </w:r>
    </w:p>
    <w:p>
      <w:pPr>
        <w:spacing w:before="80" w:after="0"/>
      </w:pPr>
      <w:r>
        <w:t xml:space="preserve"/>
      </w:r>
    </w:p>
    <w:p>
      <w:pPr>
        <w:spacing w:before="60" w:after="100"/>
      </w:pPr>
      <w:r>
        <w:rPr>
          <w:rFonts w:ascii="Arial" w:cs="Arial" w:eastAsia="Arial" w:hAnsi="Arial"/>
          <w:b w:val="false"/>
          <w:bCs w:val="false"/>
          <w:i w:val="false"/>
          <w:iCs w:val="false"/>
          <w:color w:val="0A0F1E"/>
          <w:sz w:val="20"/>
          <w:szCs w:val="20"/>
        </w:rPr>
        <w:t xml:space="preserve">The regulatory toolkit eliminates this delay by providing every document an institution's legal team needs — pre-organized, clearly labeled, and legally precise — as a single package. The goal is to reduce institutional procurement timeline from months to weeks.</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8.2  Toolkit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Document</w:t>
            </w:r>
          </w:p>
        </w:tc>
        <w:tc>
          <w:tcPr>
            <w:tcW w:type="dxa" w:w="65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Content Description</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Legal Overview</w:t>
            </w:r>
          </w:p>
        </w:tc>
        <w:tc>
          <w:tcPr>
            <w:tcW w:type="dxa" w:w="6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 5-10 page legal summary covering issuer structure, governing law, GENIUS Act compliance status, redemption rights, and the legal nature of USD1 as a payment stablecoin. Written for institutional legal counsel, not for marketing audiences.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GENIUS Act Compliance Framework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The public compliance framework from Section 5.2 — with a cover note explaining how to use it in the institution's own internal approval process.</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Reserve Attestation (current)</w:t>
            </w:r>
          </w:p>
        </w:tc>
        <w:tc>
          <w:tcPr>
            <w:tcW w:type="dxa" w:w="6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The most recent Big Four attestation report, plus a link to the PoR API so the institution's systems can verify reserves in real time going forward.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Smart Contract Audit Reports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All published smart contract audit reports for USD1 contracts, including the forthcoming EIP-3009 audit. With a summary of findings and remediations for each.</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AML/KYC Program Summary</w:t>
            </w:r>
          </w:p>
        </w:tc>
        <w:tc>
          <w:tcPr>
            <w:tcW w:type="dxa" w:w="6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Description of WLFI's AML/BSA compliance program, FinCEN registration, SAR filing procedures, and how the institution should handle AML obligations for their USD1 activities. Include a clear statement on WLFI's KYC obligations vs. the institution's own obligations.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Regulatory Status Summary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One-page summary of all current and pending regulatory credentials: OCC application status, MiCA filing status, GENIUS Act compliance, FinCEN registration, and any other relevant regulatory filings — updated at every material change.</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Counterparty Risk Memo</w:t>
            </w:r>
          </w:p>
        </w:tc>
        <w:tc>
          <w:tcPr>
            <w:tcW w:type="dxa" w:w="6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Brief description of WLFI's financial condition, capital adequacy, and the structural protections for USD1 holders if WLFI faces financial distress. Should address the 'what happens to my USD1 if WLFI goes bankrupt' question that every institutional legal team will ask.</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Institutional FAQ</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 compiled Q&amp;A of the 20 most common questions institutional legal and compliance teams ask about USD1, with legally precise answers. This document should be updated after every institutional due diligence process to add questions that were raised and not in the FAQ.</w:t>
            </w:r>
          </w:p>
        </w:tc>
      </w:tr>
    </w:tbl>
    <w:p>
      <w:pPr>
        <w:spacing w:before="120" w:after="0"/>
      </w:pPr>
      <w:r>
        <w:t xml:space="preserve"/>
      </w:r>
    </w:p>
    <w:p>
      <w:pPr>
        <w:pBdr>
          <w:left w:val="single" w:color="92400E" w:sz="16" w:space="14"/>
        </w:pBdr>
        <w:shd w:fill="FFFBEB" w:val="clear"/>
        <w:spacing w:before="140" w:after="140"/>
        <w:ind w:left="240"/>
      </w:pPr>
      <w:r>
        <w:rPr>
          <w:rFonts w:ascii="Arial" w:cs="Arial" w:eastAsia="Arial" w:hAnsi="Arial"/>
          <w:b w:val="false"/>
          <w:bCs w:val="false"/>
          <w:i/>
          <w:iCs/>
          <w:color w:val="0A0F1E"/>
          <w:sz w:val="20"/>
          <w:szCs w:val="20"/>
        </w:rPr>
        <w:t xml:space="preserve">The regulatory toolkit is a living document set, not a one-time production. After every institutional due diligence process — successful or not — the legal team should debrief the BD team on what questions were raised and update the toolkit accordingly. The toolkit becomes more complete and more effective with every use.</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8.3  Jurisdiction-Specific Toolkit Variants</w:t>
      </w:r>
    </w:p>
    <w:p>
      <w:pPr>
        <w:spacing w:before="60" w:after="100"/>
      </w:pPr>
      <w:r>
        <w:rPr>
          <w:rFonts w:ascii="Arial" w:cs="Arial" w:eastAsia="Arial" w:hAnsi="Arial"/>
          <w:b w:val="false"/>
          <w:bCs w:val="false"/>
          <w:i w:val="false"/>
          <w:iCs w:val="false"/>
          <w:color w:val="0A0F1E"/>
          <w:sz w:val="20"/>
          <w:szCs w:val="20"/>
        </w:rPr>
        <w:t xml:space="preserve">For each jurisdiction where WLFI is pursuing a license, a jurisdiction-specific addendum should be prepared — in the local language where required — that describes how USD1's compliance framework maps onto that jurisdiction's specific regulatory requirements. Institutions in those jurisdictions will use the jurisdiction-specific addendum as their primary legal reference.</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EU addendum: MiCA compliance summary, including the EMT classification, authorization status, and specific MiCA article references for reserve and redemption requirements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UAE addendum: ADGM framework compliance summary — how USD1 satisfies FSRA Digital Asset Framework requirements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Singapore addendum: MAS MSF compliance summary — how USD1 satisfies the Stablecoin Framework criteria</w:t>
      </w:r>
    </w:p>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8.4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Acceptance Criterion</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Timeline</w:t>
            </w:r>
          </w:p>
        </w:tc>
        <w:tc>
          <w:tcPr>
            <w:tcW w:type="dxa" w:w="1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Toolkit document list confirmed and ownership assigned per document</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14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USD1 Legal Overview drafted and reviewed by legal team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AML/KYC Program Summary drafted and approved</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Counterparty Risk Memo drafted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Full v1.0 toolkit assembled and deployed to BD team</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Institutional FAQ at 20+ questions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Post-OCC approval: regulatory status summary updated same day</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Day of approval</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EU-specific addendum published (post-MiCA authorization)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Post-MiCA auth</w:t>
            </w:r>
          </w:p>
        </w:tc>
        <w:tc>
          <w:tcPr>
            <w:tcW w:type="dxa" w:w="1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9 — Dependency Map &amp; Risk Register</w:t>
      </w:r>
    </w:p>
    <w:p>
      <w:pPr>
        <w:pStyle w:val="Heading2"/>
        <w:spacing w:before="320" w:after="120"/>
      </w:pPr>
      <w:r>
        <w:rPr>
          <w:rFonts w:ascii="Arial" w:cs="Arial" w:eastAsia="Arial" w:hAnsi="Arial"/>
          <w:b/>
          <w:bCs/>
          <w:i w:val="false"/>
          <w:iCs w:val="false"/>
          <w:color w:val="1A3C8F"/>
          <w:sz w:val="26"/>
          <w:szCs w:val="26"/>
        </w:rPr>
        <w:t xml:space="preserve">9.1  What Blocks What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60"/>
        <w:gridCol w:w="3800"/>
      </w:tblGrid>
      <w:tr>
        <w:tc>
          <w:tcPr>
            <w:tcW w:type="dxa" w:w="30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Deliverable</w:t>
            </w:r>
          </w:p>
        </w:tc>
        <w:tc>
          <w:tcPr>
            <w:tcW w:type="dxa" w:w="25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Blocks</w:t>
            </w:r>
          </w:p>
        </w:tc>
        <w:tc>
          <w:tcPr>
            <w:tcW w:type="dxa" w:w="3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Notes</w:t>
            </w:r>
          </w:p>
        </w:tc>
      </w:tr>
      <w:tr>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OCC conditional approval (May 2026)</w:t>
            </w:r>
          </w:p>
        </w:tc>
        <w:tc>
          <w:tcPr>
            <w:tcW w:type="dxa" w:w="2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ADGM + MAS initiation; Coinbase/Kraken listing close; sovereign MOU discussions; institutional procurement approvals</w:t>
            </w:r>
          </w:p>
        </w:tc>
        <w:tc>
          <w:tcPr>
            <w:tcW w:type="dxa" w:w="3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The OCC approval is the single most important event in the 180-day window. Almost every other Pillar 4 workstream benefits from or depends on it. The application process must be the legal team's highest priority.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OCC approved public language (3.2.2)</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All BD use of application status in external conversations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The BD teams for Pillars 2 and 3 are already using the OCC application status in conversations. Legal must approve precise language before this goes further.</w:t>
            </w:r>
          </w:p>
        </w:tc>
      </w:tr>
      <w:tr>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Big Four attestation engagement (6.1)</w:t>
            </w:r>
          </w:p>
        </w:tc>
        <w:tc>
          <w:tcPr>
            <w:tcW w:type="dxa" w:w="2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First attestation publication; compliance white paper (requires current attestation reference)</w:t>
            </w:r>
          </w:p>
        </w:tc>
        <w:tc>
          <w:tcPr>
            <w:tcW w:type="dxa" w:w="3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The compliance white paper cannot be finalized without a current attestation to reference. Start the Big Four engagement immediately.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Compliance white paper (6.2)</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Regulatory toolkit v1.0; institutional BD conversations; international licensing applications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The compliance white paper is the backbone of the regulatory toolkit. Until it exists, the toolkit is incomplete and institutional BD conversations are running without full legal support documentation.</w:t>
            </w:r>
          </w:p>
        </w:tc>
      </w:tr>
      <w:tr>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Advisory board legal framework (6.3)</w:t>
            </w:r>
          </w:p>
        </w:tc>
        <w:tc>
          <w:tcPr>
            <w:tcW w:type="dxa" w:w="2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Advisory board recruitment</w:t>
            </w:r>
          </w:p>
        </w:tc>
        <w:tc>
          <w:tcPr>
            <w:tcW w:type="dxa" w:w="3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Outreach to potential board members cannot begin without a defined compensation structure, disclosure framework, and scope of engagement. Legal must lead this.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GENIUS Act compliance framework published (5.2)</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International regulator outreach; Pillar 2 sovereign conversations; Pillar 3 protocol governance submissions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Every external regulatory and institutional conversation benefits from having a citable public compliance document. This should be published before the OCC approval — not after.</w:t>
            </w:r>
          </w:p>
        </w:tc>
      </w:tr>
      <w:tr>
        <w:tc>
          <w:tcPr>
            <w:tcW w:type="dxa" w:w="30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EIP-3009 audit reports (Pillar 1)</w:t>
            </w:r>
          </w:p>
        </w:tc>
        <w:tc>
          <w:tcPr>
            <w:tcW w:type="dxa" w:w="2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Smart contract security section of compliance white paper; institutional toolkit</w:t>
            </w:r>
          </w:p>
        </w:tc>
        <w:tc>
          <w:tcPr>
            <w:tcW w:type="dxa" w:w="3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The compliance white paper and institutional toolkit both require current audit reports. Coordinate with the Pillar 1 technical team on audit report publication timing.</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9.2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Risk</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Severity</w:t>
            </w:r>
          </w:p>
        </w:tc>
        <w:tc>
          <w:tcPr>
            <w:tcW w:type="dxa" w:w="51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Mitigation</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OCC approval delayed beyond May 2026</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HIGH</w:t>
            </w:r>
          </w:p>
        </w:tc>
        <w:tc>
          <w:tcPr>
            <w:tcW w:type="dxa" w:w="51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Characterize all OCC-dependent timelines as 'subject to OCC approval' in BD materials. Structure commercial agreements as conditional on OCC approval. The application status itself remains a usable trust signal regardless of timing.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OCC imposes conditions on approval that limit USD1's operational scope</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MEDIUM</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Legal team should proactively identify any aspects of USD1's current operations that might not satisfy OCC examination standards and remediate before the examination stage — not reactively after conditions are imposed.</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CLARITY Act resolves in a way that restricts stablecoin reserve yield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MEDIUM</w:t>
            </w:r>
          </w:p>
        </w:tc>
        <w:tc>
          <w:tcPr>
            <w:tcW w:type="dxa" w:w="51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Engage in the CLARITY Act process to influence the outcome. Simultaneously, the Pillar 1 team is developing non-reserve revenue streams (SDK licensing, platform fees) as a parallel revenue base that does not depend on reserve yield.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MiCA classification as ART instead of EMT — significantly higher compliance burden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MEDIUM</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EMT classification is the correct reading of MiCA for a USD-denominated fiat-backed stablecoin. Confirm this with EU counsel before the application is filed. If there is any ambiguity in the classification, obtain a formal legal opinion.</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Political association risk — USD1's WLFI founding creates institutional hesitation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MEDIUM</w:t>
            </w:r>
          </w:p>
        </w:tc>
        <w:tc>
          <w:tcPr>
            <w:tcW w:type="dxa" w:w="51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The regulatory credential stack is the primary mitigation: OCC approval, GENIUS Act compliance, Big Four attestations, and an independent advisory board collectively reframe USD1's identity from 'political stablecoin' to 'federally-regulated stablecoin.' The institutional compliance white paper should address this directly.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AML/KYC gaps identified in OCC or GENIUS Act examination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2563EB"/>
                <w:sz w:val="18"/>
                <w:szCs w:val="18"/>
              </w:rPr>
              <w:t xml:space="preserve">LOW</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Legal team should conduct a self-assessment of the AML/BSA compliance program against OCC examination standards before the formal examination. Any gaps identified internally are far cheaper to remediate than gaps identified by the OCC.</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10 — Master Delivery Tracker</w:t>
      </w:r>
    </w:p>
    <w:p>
      <w:pPr>
        <w:spacing w:before="60" w:after="100"/>
      </w:pPr>
      <w:r>
        <w:rPr>
          <w:rFonts w:ascii="Arial" w:cs="Arial" w:eastAsia="Arial" w:hAnsi="Arial"/>
          <w:b w:val="false"/>
          <w:bCs w:val="false"/>
          <w:i w:val="false"/>
          <w:iCs w:val="false"/>
          <w:color w:val="0A0F1E"/>
          <w:sz w:val="20"/>
          <w:szCs w:val="20"/>
        </w:rPr>
        <w:t xml:space="preserve">All Pillar 4 deliverables. Owners and dates to be confirmed by the legal and compliance team during review.</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Now — 0 to 14 Days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560"/>
        <w:gridCol w:w="1400"/>
        <w:gridCol w:w="1400"/>
      </w:tblGrid>
      <w:tr>
        <w:tc>
          <w:tcPr>
            <w:tcW w:type="dxa" w:w="36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Deliverable</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WS</w:t>
            </w:r>
          </w:p>
        </w:tc>
        <w:tc>
          <w:tcPr>
            <w:tcW w:type="dxa" w:w="15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Owner</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Date</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OCC application status memo — open items, conditions, supplemental needs</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4.1</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[DATE]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Approved public language for OCC application status confirmed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4.1</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[DATE]</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Toolkit document list confirmed; ownership assigned per document</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4.6</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Immediate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Big Four firm outreach initiated — 3 firms approached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4.4</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[DATE]</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MiCA: EMI member state confirmed; local counsel engaged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4.2</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REVIEW</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[DATE]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AML/BSA self-assessment against OCC examination standards initiated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4.1</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[DATE]</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Next — 14 to 60 Days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560"/>
        <w:gridCol w:w="1400"/>
        <w:gridCol w:w="1400"/>
      </w:tblGrid>
      <w:tr>
        <w:tc>
          <w:tcPr>
            <w:tcW w:type="dxa" w:w="36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Deliverable</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WS</w:t>
            </w:r>
          </w:p>
        </w:tc>
        <w:tc>
          <w:tcPr>
            <w:tcW w:type="dxa" w:w="15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Owner</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Date</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Big Four attestation engagement terms agreed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4.4</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GENIUS Act compliance framework — first draft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4.3</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Advisory board legal framework drafted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4.4</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Compliance white paper — first draft by legal team</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4.4</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45 days</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GENIUS Act compliance framework published at versioned URL</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4.3</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45 days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Government relations advisor engaged for legislative engagement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4.5</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Post-OCC approval press release template drafted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4.1</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 days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First Big Four attestation published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4.4</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Compliance white paper published on WLFI website</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4.4</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Regulatory toolkit v1.0 assembled and deployed to BD teams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4.6</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r>
    </w:tbl>
    <w:p>
      <w:pPr>
        <w:spacing w:before="160" w:after="0"/>
      </w:pPr>
      <w:r>
        <w:t xml:space="preserve"/>
      </w:r>
    </w:p>
    <w:p>
      <w:pPr>
        <w:pStyle w:val="Heading2"/>
        <w:spacing w:before="320" w:after="120"/>
      </w:pPr>
      <w:r>
        <w:rPr>
          <w:rFonts w:ascii="Arial" w:cs="Arial" w:eastAsia="Arial" w:hAnsi="Arial"/>
          <w:b/>
          <w:bCs/>
          <w:i w:val="false"/>
          <w:iCs w:val="false"/>
          <w:color w:val="1A3C8F"/>
          <w:sz w:val="26"/>
          <w:szCs w:val="26"/>
        </w:rPr>
        <w:t xml:space="preserve">Later — 60 to 180 Days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560"/>
        <w:gridCol w:w="1400"/>
        <w:gridCol w:w="1400"/>
      </w:tblGrid>
      <w:tr>
        <w:tc>
          <w:tcPr>
            <w:tcW w:type="dxa" w:w="36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Deliverable</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WS</w:t>
            </w:r>
          </w:p>
        </w:tc>
        <w:tc>
          <w:tcPr>
            <w:tcW w:type="dxa" w:w="15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Status</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Owner</w:t>
            </w:r>
          </w:p>
        </w:tc>
        <w:tc>
          <w:tcPr>
            <w:tcW w:type="dxa" w:w="1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Date</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OCC conditional approval received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4.1</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16A34A"/>
                <w:sz w:val="18"/>
                <w:szCs w:val="18"/>
              </w:rPr>
              <w:t xml:space="preserve">IN FLIGHT</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May 2026</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Post-approval BD + international notifications executed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4.1</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Day of approval</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ADGM application initiated with UAE counsel</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4.2</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30d post-OCC</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MAS MSF application initiated with Singapore counsel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4.2</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30d post-OCC</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FCA cryptoasset registration initiated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4.2</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At least 2 advisory board members recruited and announced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4.4</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 days</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Congressional staff briefings completed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4.5</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60 days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Policy paper on agentic payment regulation co-published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4.5</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 days</w:t>
            </w:r>
          </w:p>
        </w:tc>
      </w:tr>
      <w:tr>
        <w:tc>
          <w:tcPr>
            <w:tcW w:type="dxa" w:w="3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Full advisory board (4 seats) announced</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4.4</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D97706"/>
                <w:sz w:val="18"/>
                <w:szCs w:val="18"/>
              </w:rPr>
              <w:t xml:space="preserve">[ASSIGN]</w:t>
            </w:r>
          </w:p>
        </w:tc>
        <w:tc>
          <w:tcPr>
            <w:tcW w:type="dxa" w:w="1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120 days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GENIUS Act compliance framework cited by at least 1 external source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4.3</w:t>
            </w:r>
          </w:p>
        </w:tc>
        <w:tc>
          <w:tcPr>
            <w:tcW w:type="dxa" w:w="15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pPr>
              <w:jc w:val="center"/>
            </w:pPr>
            <w:r>
              <w:rPr>
                <w:rFonts w:ascii="Arial" w:cs="Arial" w:eastAsia="Arial" w:hAnsi="Arial"/>
                <w:b/>
                <w:bCs/>
                <w:i w:val="false"/>
                <w:iCs w:val="false"/>
                <w:color w:val="D97706"/>
                <w:sz w:val="18"/>
                <w:szCs w:val="18"/>
              </w:rPr>
              <w:t xml:space="preserve">OPEN</w:t>
            </w:r>
          </w:p>
        </w:tc>
        <w:tc>
          <w:tcPr>
            <w:tcW w:type="dxa" w:w="1400"/>
            <w:tcBorders>
              <w:top w:val="single" w:color="CBD5E1" w:sz="1"/>
              <w:left w:val="single" w:color="CBD5E1" w:sz="1"/>
              <w:bottom w:val="single" w:color="CBD5E1" w:sz="1"/>
              <w:right w:val="single" w:color="CBD5E1" w:sz="1"/>
            </w:tcBorders>
            <w:shd w:fill="D97706"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[ASSIGN]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90 days</w:t>
            </w:r>
          </w:p>
        </w:tc>
      </w:tr>
    </w:tbl>
    <w:p>
      <w:r>
        <w:br w:type="page"/>
      </w:r>
    </w:p>
    <w:p>
      <w:pPr>
        <w:pStyle w:val="Heading1"/>
        <w:pBdr>
          <w:bottom w:val="single" w:color="2563EB" w:sz="6" w:space="6"/>
        </w:pBdr>
        <w:spacing w:before="400" w:after="160"/>
      </w:pPr>
      <w:r>
        <w:rPr>
          <w:rFonts w:ascii="Arial" w:cs="Arial" w:eastAsia="Arial" w:hAnsi="Arial"/>
          <w:b/>
          <w:bCs/>
          <w:i w:val="false"/>
          <w:iCs w:val="false"/>
          <w:color w:val="0A0F1E"/>
          <w:sz w:val="34"/>
          <w:szCs w:val="34"/>
        </w:rPr>
        <w:t xml:space="preserve">Section 11 — Legal &amp; Compliance Team Review Instructions</w:t>
      </w:r>
    </w:p>
    <w:p>
      <w:pPr>
        <w:pBdr>
          <w:left w:val="single" w:color="2563EB" w:sz="16" w:space="14"/>
        </w:pBdr>
        <w:shd w:fill="EEF2FF" w:val="clear"/>
        <w:spacing w:before="140" w:after="140"/>
        <w:ind w:left="240"/>
      </w:pPr>
      <w:r>
        <w:rPr>
          <w:rFonts w:ascii="Arial" w:cs="Arial" w:eastAsia="Arial" w:hAnsi="Arial"/>
          <w:b w:val="false"/>
          <w:bCs w:val="false"/>
          <w:i/>
          <w:iCs/>
          <w:color w:val="0A0F1E"/>
          <w:sz w:val="20"/>
          <w:szCs w:val="20"/>
        </w:rPr>
        <w:t xml:space="preserve">This document is ready for your review. The legal team has the most precise view of what is actually in motion on the OCC application, MiCA process, AML/KYC framework, and any prior legislative engagement. Before this becomes the binding execution plan, your input is required on the items below. Please come to the group review meeting with specific answers to each.</w:t>
      </w:r>
    </w:p>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Questions Requiring Legal Team Input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w:t>
            </w:r>
          </w:p>
        </w:tc>
        <w:tc>
          <w:tcPr>
            <w:tcW w:type="dxa" w:w="440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Question</w:t>
            </w:r>
          </w:p>
        </w:tc>
        <w:tc>
          <w:tcPr>
            <w:tcW w:type="dxa" w:w="4360"/>
            <w:tcBorders>
              <w:top w:val="single" w:color="CBD5E1" w:sz="1"/>
              <w:left w:val="single" w:color="CBD5E1" w:sz="1"/>
              <w:bottom w:val="single" w:color="CBD5E1" w:sz="1"/>
              <w:right w:val="single" w:color="CBD5E1" w:sz="1"/>
            </w:tcBorders>
            <w:shd w:fill="0A0F1E" w:val="clear"/>
            <w:tcMar>
              <w:top w:type="dxa" w:w="100"/>
              <w:left w:type="dxa" w:w="160"/>
              <w:bottom w:type="dxa" w:w="100"/>
              <w:right w:type="dxa" w:w="160"/>
            </w:tcMar>
          </w:tcPr>
          <w:p>
            <w:r>
              <w:rPr>
                <w:rFonts w:ascii="Arial" w:cs="Arial" w:eastAsia="Arial" w:hAnsi="Arial"/>
                <w:b/>
                <w:bCs/>
                <w:i w:val="false"/>
                <w:iCs w:val="false"/>
                <w:color w:val="FFFFFF"/>
                <w:sz w:val="18"/>
                <w:szCs w:val="18"/>
              </w:rPr>
              <w:t xml:space="preserve">Section</w:t>
            </w:r>
          </w:p>
        </w:tc>
      </w:tr>
      <w:tr>
        <w:tc>
          <w:tcPr>
            <w:tcW w:type="dxa" w:w="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w:t>
            </w:r>
          </w:p>
        </w:tc>
        <w:tc>
          <w:tcPr>
            <w:tcW w:type="dxa" w:w="4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What is the current precise status of the OCC application — are there any open information requests from the OCC, and are there any conditions the OCC has informally indicated will be part of the conditional approval?</w:t>
            </w:r>
          </w:p>
        </w:tc>
        <w:tc>
          <w:tcPr>
            <w:tcW w:type="dxa" w:w="4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3</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2</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What is the approved language for describing the OCC application status externally? Can WLFI state 'conditional approval expected May 2026' or does this require qualification?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3.2.2</w:t>
            </w:r>
          </w:p>
        </w:tc>
      </w:tr>
      <w:tr>
        <w:tc>
          <w:tcPr>
            <w:tcW w:type="dxa" w:w="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3</w:t>
            </w:r>
          </w:p>
        </w:tc>
        <w:tc>
          <w:tcPr>
            <w:tcW w:type="dxa" w:w="4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What is the current status of the EU MiCA process — which member state has been selected for EMI authorization, has local counsel been engaged, and what is the current stage of the application?</w:t>
            </w:r>
          </w:p>
        </w:tc>
        <w:tc>
          <w:tcPr>
            <w:tcW w:type="dxa" w:w="4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4.2</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4</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What is the current status of WLFI's AML/BSA compliance program and FinCEN registration? Are there any known gaps relative to OCC examination standards or GENIUS Act requirements?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2.2 table</w:t>
            </w:r>
          </w:p>
        </w:tc>
      </w:tr>
      <w:tr>
        <w:tc>
          <w:tcPr>
            <w:tcW w:type="dxa" w:w="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5</w:t>
            </w:r>
          </w:p>
        </w:tc>
        <w:tc>
          <w:tcPr>
            <w:tcW w:type="dxa" w:w="4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Has Big Four attestation engagement begun? If preliminary conversations have occurred, which firms were approached and what is the status?</w:t>
            </w:r>
          </w:p>
        </w:tc>
        <w:tc>
          <w:tcPr>
            <w:tcW w:type="dxa" w:w="4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6.1</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6</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Has any CLARITY Act or agentic payment rulemaking engagement occurred? Are there any open comment periods the legal team is aware of? Has WLFI retained a government relations advisor?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7.2</w:t>
            </w:r>
          </w:p>
        </w:tc>
      </w:tr>
      <w:tr>
        <w:tc>
          <w:tcPr>
            <w:tcW w:type="dxa" w:w="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7</w:t>
            </w:r>
          </w:p>
        </w:tc>
        <w:tc>
          <w:tcPr>
            <w:tcW w:type="dxa" w:w="4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Has any informal or formal engagement with ADGM, MAS, or FCA occurred — either through the G42 relationship or independently? Pre-application regulatory dialogue can significantly accelerate approvals.</w:t>
            </w:r>
          </w:p>
        </w:tc>
        <w:tc>
          <w:tcPr>
            <w:tcW w:type="dxa" w:w="4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4.3, 4.4</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8</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Are there any legal constraints on the public description of WLFI's political association or on the use of the Trump/WLFI relationship in marketing materials — and how should the compliance white paper address this?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9.2 risk</w:t>
            </w:r>
          </w:p>
        </w:tc>
      </w:tr>
      <w:tr>
        <w:tc>
          <w:tcPr>
            <w:tcW w:type="dxa" w:w="6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9</w:t>
            </w:r>
          </w:p>
        </w:tc>
        <w:tc>
          <w:tcPr>
            <w:tcW w:type="dxa" w:w="440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What is the MiCA classification analysis — has EU counsel confirmed that USD1 is an EMT and not an ART? If there is any ambiguity, has a formal legal opinion been obtained?</w:t>
            </w:r>
          </w:p>
        </w:tc>
        <w:tc>
          <w:tcPr>
            <w:tcW w:type="dxa" w:w="4360"/>
            <w:tcBorders>
              <w:top w:val="single" w:color="CBD5E1" w:sz="1"/>
              <w:left w:val="single" w:color="CBD5E1" w:sz="1"/>
              <w:bottom w:val="single" w:color="CBD5E1" w:sz="1"/>
              <w:right w:val="single" w:color="CBD5E1" w:sz="1"/>
            </w:tcBorders>
            <w:shd w:fill="EEF2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4.2.1</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10</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Are there any items in the 0-14 day tracker that the legal team believes are not achievable given current team capacity or ongoing legal proceedings?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0A0F1E"/>
                <w:sz w:val="18"/>
                <w:szCs w:val="18"/>
              </w:rPr>
              <w:t xml:space="preserve">Section 10</w:t>
            </w:r>
          </w:p>
        </w:tc>
      </w:tr>
    </w:tbl>
    <w:p>
      <w:pPr>
        <w:spacing w:before="120" w:after="0"/>
      </w:pPr>
      <w:r>
        <w:t xml:space="preserve"/>
      </w:r>
    </w:p>
    <w:p>
      <w:pPr>
        <w:pStyle w:val="Heading2"/>
        <w:spacing w:before="320" w:after="120"/>
      </w:pPr>
      <w:r>
        <w:rPr>
          <w:rFonts w:ascii="Arial" w:cs="Arial" w:eastAsia="Arial" w:hAnsi="Arial"/>
          <w:b/>
          <w:bCs/>
          <w:i w:val="false"/>
          <w:iCs w:val="false"/>
          <w:color w:val="1A3C8F"/>
          <w:sz w:val="26"/>
          <w:szCs w:val="26"/>
        </w:rPr>
        <w:t xml:space="preserve">How to Submit Your Review</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Annotate directly in this document using tracked changes or comments for section-specific feedback</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Update the current status column in the credential comparison table (Section 2.2) with the actual current status of each credential — including the two rows marked [NEEDS LEGAL REVIEW]</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Fill in all [ASSIGN] and [DATE] fields in Section 10 with real names and dates</w:t>
      </w:r>
    </w:p>
    <w:p>
      <w:pPr>
        <w:pStyle w:val="ListParagraph"/>
        <w:numPr>
          <w:ilvl w:val="0"/>
          <w:numId w:val="2"/>
        </w:numPr>
        <w:spacing w:before="40" w:after="40"/>
      </w:pPr>
      <w:r>
        <w:rPr>
          <w:rFonts w:ascii="Arial" w:cs="Arial" w:eastAsia="Arial" w:hAnsi="Arial"/>
          <w:b w:val="false"/>
          <w:bCs w:val="false"/>
          <w:i w:val="false"/>
          <w:iCs w:val="false"/>
          <w:color w:val="0A0F1E"/>
          <w:sz w:val="19"/>
          <w:szCs w:val="19"/>
        </w:rPr>
        <w:t xml:space="preserve">For any question above where the answer changes the approach described in this document, bring a proposed amendment to the meeting rather than just identifying the problem</w:t>
      </w:r>
    </w:p>
    <w:p>
      <w:pPr>
        <w:spacing w:before="80" w:after="0"/>
      </w:pPr>
      <w:r>
        <w:t xml:space="preserve"/>
      </w:r>
    </w:p>
    <w:p>
      <w:pPr>
        <w:spacing w:before="60" w:after="100"/>
      </w:pPr>
      <w:r>
        <w:rPr>
          <w:rFonts w:ascii="Arial" w:cs="Arial" w:eastAsia="Arial" w:hAnsi="Arial"/>
          <w:b w:val="false"/>
          <w:bCs w:val="false"/>
          <w:i w:val="false"/>
          <w:iCs w:val="false"/>
          <w:color w:val="0A0F1E"/>
          <w:sz w:val="20"/>
          <w:szCs w:val="20"/>
        </w:rPr>
        <w:t xml:space="preserve">Once review is complete and all open items are resolved, this document will be versioned as v1.0 and used as the binding execution roadmap for Pillar 4.</w:t>
      </w:r>
    </w:p>
    <w:p>
      <w:pPr>
        <w:spacing w:before="240" w:after="0"/>
      </w:pPr>
      <w:r>
        <w:t xml:space="preserve"/>
      </w:r>
    </w:p>
    <w:p>
      <w:pPr>
        <w:pBdr>
          <w:top w:val="single" w:color="2563EB" w:sz="4" w:space="12"/>
        </w:pBdr>
        <w:spacing w:before="200" w:after="0"/>
        <w:jc w:val="center"/>
      </w:pPr>
      <w:r>
        <w:rPr>
          <w:rFonts w:ascii="Arial" w:cs="Arial" w:eastAsia="Arial" w:hAnsi="Arial"/>
          <w:b w:val="false"/>
          <w:bCs w:val="false"/>
          <w:i/>
          <w:iCs/>
          <w:color w:val="64748B"/>
          <w:sz w:val="17"/>
          <w:szCs w:val="17"/>
        </w:rPr>
        <w:t xml:space="preserve">USD1 — Pillar 4 Legal &amp; Compliance Execution Roadmap — DRAFT — For Legal &amp; Compliance Team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A0F1E"/>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1A3C8F"/>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2026-03-10T01:54:12.662Z</dcterms:created>
  <dcterms:modified xsi:type="dcterms:W3CDTF">2026-03-10T01:54:12.663Z</dcterms:modified>
</cp:coreProperties>
</file>

<file path=docProps/custom.xml><?xml version="1.0" encoding="utf-8"?>
<Properties xmlns="http://schemas.openxmlformats.org/officeDocument/2006/custom-properties" xmlns:vt="http://schemas.openxmlformats.org/officeDocument/2006/docPropsVTypes"/>
</file>