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40"/>
        <w:jc w:val="left"/>
      </w:pPr>
      <w:r>
        <w:rPr>
          <w:rFonts w:ascii="Arial" w:cs="Arial" w:eastAsia="Arial" w:hAnsi="Arial"/>
          <w:b/>
          <w:bCs/>
          <w:color w:val="1B2A4A"/>
          <w:sz w:val="72"/>
          <w:szCs w:val="72"/>
        </w:rPr>
        <w:t xml:space="preserve">USD1</w:t>
      </w:r>
    </w:p>
    <w:p>
      <w:pPr>
        <w:spacing w:before="0" w:after="60"/>
      </w:pPr>
      <w:r>
        <w:rPr>
          <w:rFonts w:ascii="Arial" w:cs="Arial" w:eastAsia="Arial" w:hAnsi="Arial"/>
          <w:b/>
          <w:bCs/>
          <w:color w:val="3A5A8C"/>
          <w:sz w:val="40"/>
          <w:szCs w:val="40"/>
        </w:rPr>
        <w:t xml:space="preserve">Pillar 5 Marketing Execution Playbook</w:t>
      </w:r>
    </w:p>
    <w:p>
      <w:pPr>
        <w:pBdr>
          <w:bottom w:val="single" w:color="B8972E" w:sz="16" w:space="1"/>
        </w:pBdr>
        <w:spacing w:before="0" w:after="80"/>
      </w:pPr>
      <w:r>
        <w:rPr>
          <w:rFonts w:ascii="Arial" w:cs="Arial" w:eastAsia="Arial" w:hAnsi="Arial"/>
          <w:color w:val="B8972E"/>
          <w:sz w:val="28"/>
          <w:szCs w:val="28"/>
        </w:rPr>
        <w:t xml:space="preserve">Narrative Control &amp; Developer Mindshare</w:t>
      </w:r>
    </w:p>
    <w:p>
      <w:pPr>
        <w:spacing w:before="200" w:after="0"/>
      </w:pPr>
      <w:r>
        <w:t xml:space="preserve"/>
      </w:r>
    </w:p>
    <w:p>
      <w:pPr>
        <w:spacing w:before="0" w:after="40"/>
      </w:pPr>
      <w:r>
        <w:rPr>
          <w:rFonts w:ascii="Arial" w:cs="Arial" w:eastAsia="Arial" w:hAnsi="Arial"/>
          <w:color w:val="444444"/>
          <w:sz w:val="22"/>
          <w:szCs w:val="22"/>
        </w:rPr>
        <w:t xml:space="preserve">Prepared for: Marketing Team</w:t>
      </w:r>
    </w:p>
    <w:p>
      <w:pPr>
        <w:spacing w:before="0" w:after="40"/>
      </w:pPr>
      <w:r>
        <w:rPr>
          <w:rFonts w:ascii="Arial" w:cs="Arial" w:eastAsia="Arial" w:hAnsi="Arial"/>
          <w:color w:val="444444"/>
          <w:sz w:val="22"/>
          <w:szCs w:val="22"/>
        </w:rPr>
        <w:t xml:space="preserve">Aligned with: USD1 Strategic Dominance Roadmap V2</w:t>
      </w:r>
    </w:p>
    <w:p>
      <w:pPr>
        <w:spacing w:before="0" w:after="40"/>
      </w:pPr>
      <w:r>
        <w:rPr>
          <w:rFonts w:ascii="Arial" w:cs="Arial" w:eastAsia="Arial" w:hAnsi="Arial"/>
          <w:color w:val="888888"/>
          <w:sz w:val="22"/>
          <w:szCs w:val="22"/>
        </w:rPr>
        <w:t xml:space="preserve">World Liberty Financial (WLFI)  |  Confidential  |  March 2026</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8C" w:sz="8"/>
              <w:left w:val="thick" w:color="3A5A8C" w:sz="18"/>
              <w:bottom w:val="single" w:color="3A5A8C" w:sz="8"/>
              <w:right w:val="single" w:color="3A5A8C" w:sz="2"/>
            </w:tcBorders>
            <w:shd w:fill="EAF0F8" w:val="clear"/>
            <w:tcMar>
              <w:top w:type="dxa" w:w="120"/>
              <w:left w:type="dxa" w:w="200"/>
              <w:bottom w:type="dxa" w:w="120"/>
              <w:right w:type="dxa" w:w="160"/>
            </w:tcMar>
          </w:tcPr>
          <w:p>
            <w:pPr>
              <w:spacing w:before="30" w:after="30"/>
            </w:pPr>
            <w:r>
              <w:rPr>
                <w:rFonts w:ascii="Arial" w:cs="Arial" w:eastAsia="Arial" w:hAnsi="Arial"/>
                <w:b/>
                <w:bCs/>
                <w:i w:val="false"/>
                <w:iCs w:val="false"/>
                <w:color w:val="1A1A2E"/>
                <w:sz w:val="19"/>
                <w:szCs w:val="19"/>
              </w:rPr>
              <w:t xml:space="preserve">How to use this document</w:t>
            </w:r>
          </w:p>
          <w:p>
            <w:pPr>
              <w:spacing w:before="30" w:after="30"/>
            </w:pPr>
            <w:r>
              <w:rPr>
                <w:rFonts w:ascii="Arial" w:cs="Arial" w:eastAsia="Arial" w:hAnsi="Arial"/>
                <w:b w:val="false"/>
                <w:bCs w:val="false"/>
                <w:i w:val="false"/>
                <w:iCs w:val="false"/>
                <w:color w:val="1A1A2E"/>
                <w:sz w:val="19"/>
                <w:szCs w:val="19"/>
              </w:rPr>
              <w:t xml:space="preserve">This playbook translates Pillar 5 of the Strategic Dominance Roadmap into a detailed execution guide for the Marketing team. It retains full alignment with the company-wide strategy while adding the specificity needed to plan, assign, and execute every initiative. Where tasks require input or build support from Engineering, the document clearly flags those dependencies so Marketing can coordinate appropriately in advance.</w:t>
            </w:r>
          </w:p>
        </w:tc>
      </w:tr>
    </w:tbl>
    <w:p>
      <w:pPr>
        <w:spacing w:before="80" w:after="0"/>
      </w:pPr>
      <w:r>
        <w:t xml:space="preserve"/>
      </w:r>
    </w:p>
    <w:p>
      <w:r>
        <w:br w:type="page"/>
      </w:r>
    </w:p>
    <w:p>
      <w:pPr>
        <w:pStyle w:val="Heading1"/>
        <w:spacing w:before="320" w:after="120"/>
      </w:pPr>
      <w:r>
        <w:rPr>
          <w:rFonts w:ascii="Arial" w:cs="Arial" w:eastAsia="Arial" w:hAnsi="Arial"/>
          <w:b/>
          <w:bCs/>
          <w:color w:val="1B2A4A"/>
          <w:sz w:val="34"/>
          <w:szCs w:val="34"/>
        </w:rPr>
        <w:t xml:space="preserve">1  Why Pillar 5 Is the Decisive Battleground</w:t>
      </w:r>
    </w:p>
    <w:p>
      <w:pPr>
        <w:pBdr>
          <w:bottom w:val="single" w:color="B8972E" w:sz="12" w:space="1"/>
        </w:pBdr>
        <w:spacing w:before="80" w:after="80"/>
      </w:pPr>
      <w:r>
        <w:t xml:space="preserve"/>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The stablecoin market is not decided by technology alone — it is decided by which stablecoin's story becomes the operating assumption that developers, institutions, and protocols reach for by default. Circle owns the 'regulated dollar stablecoin' story. Tether owns the 'everywhere liquidity' story. Ethena owns the 'yield' story.</w:t>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USD1 has a narrow, time-limited window to own the defining story of the next era: the agentic economy's financial primitive. That window exists because the category is not yet defined. Agentic payment infrastructure is being written right now — in GitHub repositories, agent skill marketplaces, and standards body working groups. The organizations that plant their flag in those spaces before Circle's Arc mainnet achieves critical developer adoption will own the category.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8"/>
              <w:left w:val="thick" w:color="1B2A4A" w:sz="18"/>
              <w:bottom w:val="single" w:color="1B2A4A" w:sz="8"/>
              <w:right w:val="single" w:color="1B2A4A" w:sz="2"/>
            </w:tcBorders>
            <w:shd w:fill="EAF0F8" w:val="clear"/>
            <w:tcMar>
              <w:top w:type="dxa" w:w="120"/>
              <w:left w:type="dxa" w:w="200"/>
              <w:bottom w:type="dxa" w:w="120"/>
              <w:right w:type="dxa" w:w="160"/>
            </w:tcMar>
          </w:tcPr>
          <w:p>
            <w:pPr>
              <w:spacing w:before="30" w:after="30"/>
            </w:pPr>
            <w:r>
              <w:rPr>
                <w:rFonts w:ascii="Arial" w:cs="Arial" w:eastAsia="Arial" w:hAnsi="Arial"/>
                <w:b/>
                <w:bCs/>
                <w:i w:val="false"/>
                <w:iCs w:val="false"/>
                <w:color w:val="1B2A4A"/>
                <w:sz w:val="19"/>
                <w:szCs w:val="19"/>
              </w:rPr>
              <w:t xml:space="preserve">The Core Strategic Insight</w:t>
            </w:r>
          </w:p>
          <w:p>
            <w:pPr>
              <w:spacing w:before="30" w:after="30"/>
            </w:pPr>
            <w:r>
              <w:rPr>
                <w:rFonts w:ascii="Arial" w:cs="Arial" w:eastAsia="Arial" w:hAnsi="Arial"/>
                <w:b w:val="false"/>
                <w:bCs w:val="false"/>
                <w:i w:val="false"/>
                <w:iCs w:val="false"/>
                <w:color w:val="1A1A2E"/>
                <w:sz w:val="19"/>
                <w:szCs w:val="19"/>
              </w:rPr>
              <w:t xml:space="preserve">Circle's CEO devoted 40% of his most recent earnings call to agentic payments — specifically naming X402, ERC-8004, and MCP server integrations as the emerging standard infrastructure. He is building toward this. USD1's advantage is not that Circle is asleep. It is that USD1 has something Circle cannot buy: a structural relationship with G42 — the world's most influential AI infrastructure investor — at the exact moment that infrastructure is being deployed. That advantage expires the moment Circle's Arc mainnet launches and reaches critical developer adoption.</w:t>
            </w:r>
          </w:p>
        </w:tc>
      </w:tr>
    </w:tbl>
    <w:p>
      <w:pPr>
        <w:spacing w:before="6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Pillar 5 is the mechanism by which every technical and infrastructure advantage across all other Pillars becomes legible to the market. Without Narrative Control and Developer Mindshare, USD1's real-time proof of reserves is just an API. Its EIP-3009 implementation is just a spec. Its G42 relationships are just unreported business development. Pillar 5 converts infrastructure into market position — and market position into default adoption.</w:t>
      </w:r>
    </w:p>
    <w:p>
      <w:r>
        <w:br w:type="page"/>
      </w:r>
    </w:p>
    <w:p>
      <w:pPr>
        <w:pStyle w:val="Heading1"/>
        <w:spacing w:before="320" w:after="120"/>
      </w:pPr>
      <w:r>
        <w:rPr>
          <w:rFonts w:ascii="Arial" w:cs="Arial" w:eastAsia="Arial" w:hAnsi="Arial"/>
          <w:b/>
          <w:bCs/>
          <w:color w:val="1B2A4A"/>
          <w:sz w:val="34"/>
          <w:szCs w:val="34"/>
        </w:rPr>
        <w:t xml:space="preserve">2  The Core Narrative Framework</w:t>
      </w:r>
    </w:p>
    <w:p>
      <w:pPr>
        <w:pBdr>
          <w:bottom w:val="single" w:color="B8972E" w:sz="12" w:space="1"/>
        </w:pBdr>
        <w:spacing w:before="80" w:after="80"/>
      </w:pPr>
      <w:r>
        <w:t xml:space="preserve"/>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Every piece of content, every announcement, every technical specification produced by the Marketing team should reinforce one idea and one idea only: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8"/>
              <w:left w:val="thick" w:color="1B2A4A" w:sz="18"/>
              <w:bottom w:val="single" w:color="1B2A4A" w:sz="8"/>
              <w:right w:val="single" w:color="1B2A4A" w:sz="2"/>
            </w:tcBorders>
            <w:shd w:fill="EBF3FF" w:val="clear"/>
            <w:tcMar>
              <w:top w:type="dxa" w:w="120"/>
              <w:left w:type="dxa" w:w="200"/>
              <w:bottom w:type="dxa" w:w="120"/>
              <w:right w:type="dxa" w:w="160"/>
            </w:tcMar>
          </w:tcPr>
          <w:p>
            <w:pPr>
              <w:spacing w:before="30" w:after="30"/>
            </w:pPr>
            <w:r>
              <w:rPr>
                <w:rFonts w:ascii="Arial" w:cs="Arial" w:eastAsia="Arial" w:hAnsi="Arial"/>
                <w:b/>
                <w:bCs/>
                <w:i w:val="false"/>
                <w:iCs w:val="false"/>
                <w:color w:val="1B2A4A"/>
                <w:sz w:val="19"/>
                <w:szCs w:val="19"/>
              </w:rPr>
              <w:t xml:space="preserve">USD1 is not a stablecoin.</w:t>
            </w:r>
          </w:p>
          <w:p>
            <w:pPr>
              <w:spacing w:before="30" w:after="30"/>
            </w:pPr>
            <w:r>
              <w:rPr>
                <w:rFonts w:ascii="Arial" w:cs="Arial" w:eastAsia="Arial" w:hAnsi="Arial"/>
                <w:b w:val="false"/>
                <w:bCs w:val="false"/>
                <w:i/>
                <w:iCs/>
                <w:color w:val="1B2A4A"/>
                <w:sz w:val="19"/>
                <w:szCs w:val="19"/>
              </w:rPr>
              <w:t xml:space="preserve">It is the economic operating layer for autonomous AI systems — the first dollar-denominated asset designed from the ground up for non-human transactors, distributed through the world's most influential AI infrastructure network.</w:t>
            </w:r>
          </w:p>
        </w:tc>
      </w:tr>
    </w:tbl>
    <w:p>
      <w:pPr>
        <w:spacing w:before="6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This is a deliberate repositioning, not a description. It reframes every competitive comparison before it can be made:</w:t>
      </w:r>
    </w:p>
    <w:p>
      <w:pPr>
        <w:spacing w:before="4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USDC is built for humans who want to move dollars digitally. USD1 is built for agents that need to settle economic transactions autonomously.</w:t>
      </w:r>
    </w:p>
    <w:p>
      <w:pPr>
        <w:pStyle w:val="ListParagraph"/>
        <w:numPr>
          <w:ilvl w:val="0"/>
          <w:numId w:val="2"/>
        </w:numPr>
        <w:spacing w:before="40" w:after="40"/>
      </w:pPr>
      <w:r>
        <w:rPr>
          <w:rFonts w:ascii="Arial" w:cs="Arial" w:eastAsia="Arial" w:hAnsi="Arial"/>
          <w:b w:val="false"/>
          <w:bCs w:val="false"/>
          <w:sz w:val="20"/>
          <w:szCs w:val="20"/>
        </w:rPr>
        <w:t xml:space="preserve">USDT is built for liquidity. USD1 is built for programmability.</w:t>
      </w:r>
    </w:p>
    <w:p>
      <w:pPr>
        <w:pStyle w:val="ListParagraph"/>
        <w:numPr>
          <w:ilvl w:val="0"/>
          <w:numId w:val="2"/>
        </w:numPr>
        <w:spacing w:before="40" w:after="40"/>
      </w:pPr>
      <w:r>
        <w:rPr>
          <w:rFonts w:ascii="Arial" w:cs="Arial" w:eastAsia="Arial" w:hAnsi="Arial"/>
          <w:b w:val="false"/>
          <w:bCs w:val="false"/>
          <w:sz w:val="20"/>
          <w:szCs w:val="20"/>
        </w:rPr>
        <w:t xml:space="preserve">Ethena is built for yield. USD1 is built for economic infrastructure.</w:t>
      </w:r>
    </w:p>
    <w:p>
      <w:pPr>
        <w:spacing w:before="60" w:after="0"/>
      </w:pPr>
      <w:r>
        <w:t xml:space="preserve"/>
      </w:r>
    </w:p>
    <w:p>
      <w:pPr>
        <w:pStyle w:val="Heading2"/>
        <w:spacing w:before="240" w:after="100"/>
      </w:pPr>
      <w:r>
        <w:rPr>
          <w:rFonts w:ascii="Arial" w:cs="Arial" w:eastAsia="Arial" w:hAnsi="Arial"/>
          <w:b/>
          <w:bCs/>
          <w:color w:val="3A5A8C"/>
          <w:sz w:val="26"/>
          <w:szCs w:val="26"/>
        </w:rPr>
        <w:t xml:space="preserve">2.1  Narrative Hierarchy</w:t>
      </w:r>
    </w:p>
    <w:p>
      <w:pPr>
        <w:spacing w:before="60" w:after="80"/>
        <w:jc w:val="left"/>
      </w:pPr>
      <w:r>
        <w:rPr>
          <w:rFonts w:ascii="Arial" w:cs="Arial" w:eastAsia="Arial" w:hAnsi="Arial"/>
          <w:b w:val="false"/>
          <w:bCs w:val="false"/>
          <w:i w:val="false"/>
          <w:iCs w:val="false"/>
          <w:color w:val="222222"/>
          <w:sz w:val="20"/>
          <w:szCs w:val="20"/>
        </w:rPr>
        <w:t xml:space="preserve">The following hierarchy defines how messaging should ladder from the highest strategic framing down to specific technical claims. Marketing should audit all content against this structure before publication.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Level</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Message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Primary (All audiences)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is the financial primitive of the agentic economy.</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Developer audience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is the only stablecoin designed for non-human transactors. Build once, deploy everywhere agents settle.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Institutional audience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is machine-readable money — real-time proof of reserves, EIP-3009 gasless settlement, purpose-built for agentic infrastructure.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Sovereign / Policy audience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The first GENIUS-compliant stablecoin purpose-built for AI economic activity. Endorsed by the world's largest AI infrastructure investor.</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General market</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The fastest-growing stablecoin in history, built for what money does next.</w:t>
            </w:r>
          </w:p>
        </w:tc>
      </w:tr>
    </w:tbl>
    <w:p>
      <w:pPr>
        <w:spacing w:before="60" w:after="0"/>
      </w:pPr>
      <w:r>
        <w:t xml:space="preserve"/>
      </w:r>
    </w:p>
    <w:p>
      <w:pPr>
        <w:pStyle w:val="Heading2"/>
        <w:spacing w:before="240" w:after="100"/>
      </w:pPr>
      <w:r>
        <w:rPr>
          <w:rFonts w:ascii="Arial" w:cs="Arial" w:eastAsia="Arial" w:hAnsi="Arial"/>
          <w:b/>
          <w:bCs/>
          <w:color w:val="3A5A8C"/>
          <w:sz w:val="26"/>
          <w:szCs w:val="26"/>
        </w:rPr>
        <w:t xml:space="preserve">2.2  Claims That Must Be Substantiated</w:t>
      </w:r>
    </w:p>
    <w:p>
      <w:pPr>
        <w:spacing w:before="60" w:after="80"/>
        <w:jc w:val="left"/>
      </w:pPr>
      <w:r>
        <w:rPr>
          <w:rFonts w:ascii="Arial" w:cs="Arial" w:eastAsia="Arial" w:hAnsi="Arial"/>
          <w:b w:val="false"/>
          <w:bCs w:val="false"/>
          <w:i w:val="false"/>
          <w:iCs w:val="false"/>
          <w:color w:val="222222"/>
          <w:sz w:val="20"/>
          <w:szCs w:val="20"/>
        </w:rPr>
        <w:t xml:space="preserve">The following factual claims are cleared for use in marketing materials. Each requires the indicated supporting proof point to be referenced in materials where the claim appears.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Claim</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Required Proof Point</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'First stablecoin whose reserves are machine-readable'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Real-time proof of reserves API — link to public endpoint in every instance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'Designed for non-human transactors'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EIP-3009 gasless meta-transactions, headless wallet creation, agent SDK</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'Fastest-growing stablecoin in history'</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$4.5B in under 12 months vs. Circle's 3.5 years to $2B — cite both figures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'Distributed through world's most influential AI infrastructure'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G42 investor relationship — deploy only after G42 communications are approved</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'GENIUS-compliant'</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OCC Limited Trust Charter filing — note conditional approval expected May 2026</w:t>
            </w:r>
          </w:p>
        </w:tc>
      </w:tr>
    </w:tbl>
    <w:p>
      <w:pPr>
        <w:spacing w:before="60" w:after="0"/>
      </w:pPr>
      <w:r>
        <w:t xml:space="preserve"/>
      </w:r>
    </w:p>
    <w:p>
      <w:pPr>
        <w:pStyle w:val="Heading2"/>
        <w:spacing w:before="240" w:after="100"/>
      </w:pPr>
      <w:r>
        <w:rPr>
          <w:rFonts w:ascii="Arial" w:cs="Arial" w:eastAsia="Arial" w:hAnsi="Arial"/>
          <w:b/>
          <w:bCs/>
          <w:color w:val="3A5A8C"/>
          <w:sz w:val="26"/>
          <w:szCs w:val="26"/>
        </w:rPr>
        <w:t xml:space="preserve">2.3  Language Standards</w:t>
      </w:r>
    </w:p>
    <w:p>
      <w:pPr>
        <w:spacing w:before="60" w:after="80"/>
        <w:jc w:val="left"/>
      </w:pPr>
      <w:r>
        <w:rPr>
          <w:rFonts w:ascii="Arial" w:cs="Arial" w:eastAsia="Arial" w:hAnsi="Arial"/>
          <w:b w:val="false"/>
          <w:bCs w:val="false"/>
          <w:i w:val="false"/>
          <w:iCs w:val="false"/>
          <w:color w:val="222222"/>
          <w:sz w:val="20"/>
          <w:szCs w:val="20"/>
        </w:rPr>
        <w:t xml:space="preserve">Consistency in language is a signal of strategic clarity. The following standards apply to all external-facing USD1 content.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Always Say</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Never Say</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Non-human transactors / autonomous agents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AI wallets / crypto bots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Financial primitive of the agentic economy</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AI-friendly stablecoin</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Machine-readable reserves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Real-time transparency</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Economic operating layer</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Payment solution</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Agentic payment infrastructure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Smart contract payments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is deployed on [chain]</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supports [chain]</w:t>
            </w:r>
          </w:p>
        </w:tc>
      </w:tr>
    </w:tbl>
    <w:p>
      <w:r>
        <w:br w:type="page"/>
      </w:r>
    </w:p>
    <w:p>
      <w:pPr>
        <w:pStyle w:val="Heading1"/>
        <w:spacing w:before="320" w:after="120"/>
      </w:pPr>
      <w:r>
        <w:rPr>
          <w:rFonts w:ascii="Arial" w:cs="Arial" w:eastAsia="Arial" w:hAnsi="Arial"/>
          <w:b/>
          <w:bCs/>
          <w:color w:val="1B2A4A"/>
          <w:sz w:val="34"/>
          <w:szCs w:val="34"/>
        </w:rPr>
        <w:t xml:space="preserve">3  Developer Content &amp; Education (5.2)</w:t>
      </w:r>
    </w:p>
    <w:p>
      <w:pPr>
        <w:pBdr>
          <w:bottom w:val="single" w:color="B8972E" w:sz="12" w:space="1"/>
        </w:pBdr>
        <w:spacing w:before="80" w:after="80"/>
      </w:pPr>
      <w:r>
        <w:t xml:space="preserve"/>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Developer content is the highest-leverage distribution channel available to USD1 at this moment. Circle's developer documentation is its primary competitive moat. It converted developer attention into protocol defaults before any regulator, institution, or enterprise made a decision. USD1 must execute the same playbook, faster, with a clearer positioning thesis.</w:t>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Each initiative below is classified by ownership, timeline, and whether Engineering team support is required. Tasks marked with an Engineering Dependency require Marketing to initiate a formal coordination request with Engineering before work begins — do not begin execution without engineering input where flagged.</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3.1  'Building Agentic Businesses with USD1' Developer Guide</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Create a comprehensive, code-heavy developer guide that directly competes with Circle's developer documentation — specifically framed around building agentic businesses, not just transacting.</w:t>
      </w:r>
    </w:p>
    <w:p>
      <w:pPr>
        <w:spacing w:before="40" w:after="0"/>
      </w:pPr>
      <w:r>
        <w:t xml:space="preserve"/>
      </w:r>
    </w:p>
    <w:p>
      <w:pPr>
        <w:spacing w:before="180" w:after="80"/>
      </w:pPr>
      <w:r>
        <w:rPr>
          <w:rFonts w:ascii="Arial" w:cs="Arial" w:eastAsia="Arial" w:hAnsi="Arial"/>
          <w:b/>
          <w:bCs/>
          <w:color w:val="1B2A4A"/>
          <w:sz w:val="22"/>
          <w:szCs w:val="22"/>
        </w:rPr>
        <w:t xml:space="preserve">What It Must Cover</w:t>
      </w:r>
    </w:p>
    <w:p>
      <w:pPr>
        <w:pStyle w:val="ListParagraph"/>
        <w:numPr>
          <w:ilvl w:val="0"/>
          <w:numId w:val="2"/>
        </w:numPr>
        <w:spacing w:before="40" w:after="40"/>
      </w:pPr>
      <w:r>
        <w:rPr>
          <w:rFonts w:ascii="Arial" w:cs="Arial" w:eastAsia="Arial" w:hAnsi="Arial"/>
          <w:b w:val="false"/>
          <w:bCs w:val="false"/>
          <w:sz w:val="20"/>
          <w:szCs w:val="20"/>
        </w:rPr>
        <w:t xml:space="preserve">Overview of USD1 as the agentic payment primitive — the framing, not just the features</w:t>
      </w:r>
    </w:p>
    <w:p>
      <w:pPr>
        <w:pStyle w:val="ListParagraph"/>
        <w:numPr>
          <w:ilvl w:val="0"/>
          <w:numId w:val="2"/>
        </w:numPr>
        <w:spacing w:before="40" w:after="40"/>
      </w:pPr>
      <w:r>
        <w:rPr>
          <w:rFonts w:ascii="Arial" w:cs="Arial" w:eastAsia="Arial" w:hAnsi="Arial"/>
          <w:b w:val="false"/>
          <w:bCs w:val="false"/>
          <w:sz w:val="20"/>
          <w:szCs w:val="20"/>
        </w:rPr>
        <w:t xml:space="preserve">Quickstart: spinning up a headless wallet and making the first agent payment in under 15 minutes</w:t>
      </w:r>
    </w:p>
    <w:p>
      <w:pPr>
        <w:pStyle w:val="ListParagraph"/>
        <w:numPr>
          <w:ilvl w:val="0"/>
          <w:numId w:val="2"/>
        </w:numPr>
        <w:spacing w:before="40" w:after="40"/>
      </w:pPr>
      <w:r>
        <w:rPr>
          <w:rFonts w:ascii="Arial" w:cs="Arial" w:eastAsia="Arial" w:hAnsi="Arial"/>
          <w:b w:val="false"/>
          <w:bCs w:val="false"/>
          <w:sz w:val="20"/>
          <w:szCs w:val="20"/>
        </w:rPr>
        <w:t xml:space="preserve">Full API reference formatted for LLM context windows, not just human developers</w:t>
      </w:r>
    </w:p>
    <w:p>
      <w:pPr>
        <w:pStyle w:val="ListParagraph"/>
        <w:numPr>
          <w:ilvl w:val="0"/>
          <w:numId w:val="2"/>
        </w:numPr>
        <w:spacing w:before="40" w:after="40"/>
      </w:pPr>
      <w:r>
        <w:rPr>
          <w:rFonts w:ascii="Arial" w:cs="Arial" w:eastAsia="Arial" w:hAnsi="Arial"/>
          <w:b w:val="false"/>
          <w:bCs w:val="false"/>
          <w:sz w:val="20"/>
          <w:szCs w:val="20"/>
        </w:rPr>
        <w:t xml:space="preserve">Integration guides for each major agentic coding environment: OpenClaw, Claude Code, Cursor, Codex, Windsurf</w:t>
      </w:r>
    </w:p>
    <w:p>
      <w:pPr>
        <w:pStyle w:val="ListParagraph"/>
        <w:numPr>
          <w:ilvl w:val="0"/>
          <w:numId w:val="2"/>
        </w:numPr>
        <w:spacing w:before="40" w:after="40"/>
      </w:pPr>
      <w:r>
        <w:rPr>
          <w:rFonts w:ascii="Arial" w:cs="Arial" w:eastAsia="Arial" w:hAnsi="Arial"/>
          <w:b w:val="false"/>
          <w:bCs w:val="false"/>
          <w:sz w:val="20"/>
          <w:szCs w:val="20"/>
        </w:rPr>
        <w:t xml:space="preserve">Three worked examples at increasing complexity: agent-to-agent payment, API fee settlement, autonomous payroll</w:t>
      </w:r>
    </w:p>
    <w:p>
      <w:pPr>
        <w:pStyle w:val="ListParagraph"/>
        <w:numPr>
          <w:ilvl w:val="0"/>
          <w:numId w:val="2"/>
        </w:numPr>
        <w:spacing w:before="40" w:after="40"/>
      </w:pPr>
      <w:r>
        <w:rPr>
          <w:rFonts w:ascii="Arial" w:cs="Arial" w:eastAsia="Arial" w:hAnsi="Arial"/>
          <w:b w:val="false"/>
          <w:bCs w:val="false"/>
          <w:sz w:val="20"/>
          <w:szCs w:val="20"/>
        </w:rPr>
        <w:t xml:space="preserve">Error handling, edge cases, and production deployment checklist</w:t>
      </w:r>
    </w:p>
    <w:p>
      <w:pPr>
        <w:pStyle w:val="ListParagraph"/>
        <w:numPr>
          <w:ilvl w:val="0"/>
          <w:numId w:val="2"/>
        </w:numPr>
        <w:spacing w:before="40" w:after="40"/>
      </w:pPr>
      <w:r>
        <w:rPr>
          <w:rFonts w:ascii="Arial" w:cs="Arial" w:eastAsia="Arial" w:hAnsi="Arial"/>
          <w:b w:val="false"/>
          <w:bCs w:val="false"/>
          <w:sz w:val="20"/>
          <w:szCs w:val="20"/>
        </w:rPr>
        <w:t xml:space="preserve">Comparison table: 'USD1 vs. USDC for agentic developers' — factual, not marketing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Marketing requires Engineering support to produce accurate, production-quality code examples. Do not publish code that has not been reviewed and validated by Engineering. The guide should be co-authored: Marketing owns structure, narrative, and framing; Engineering owns all code samples, API references, and technical accuracy.</w:t>
            </w:r>
          </w:p>
          <w:p>
            <w:pPr>
              <w:pStyle w:val="ListParagraph"/>
              <w:numPr>
                <w:ilvl w:val="0"/>
                <w:numId w:val="2"/>
              </w:numPr>
              <w:spacing w:before="30" w:after="25"/>
            </w:pPr>
            <w:r>
              <w:rPr>
                <w:rFonts w:ascii="Arial" w:cs="Arial" w:eastAsia="Arial" w:hAnsi="Arial"/>
                <w:color w:val="5A3000"/>
                <w:sz w:val="18"/>
                <w:szCs w:val="18"/>
              </w:rPr>
              <w:t xml:space="preserve">Provide reviewed, working code examples for all three agent workflow types (agent-to-agent, API fee settlement, autonomous payroll)</w:t>
            </w:r>
          </w:p>
          <w:p>
            <w:pPr>
              <w:pStyle w:val="ListParagraph"/>
              <w:numPr>
                <w:ilvl w:val="0"/>
                <w:numId w:val="2"/>
              </w:numPr>
              <w:spacing w:before="30" w:after="25"/>
            </w:pPr>
            <w:r>
              <w:rPr>
                <w:rFonts w:ascii="Arial" w:cs="Arial" w:eastAsia="Arial" w:hAnsi="Arial"/>
                <w:color w:val="5A3000"/>
                <w:sz w:val="18"/>
                <w:szCs w:val="18"/>
              </w:rPr>
              <w:t xml:space="preserve">Validate the headless wallet creation quickstart against the live SDK before publication</w:t>
            </w:r>
          </w:p>
          <w:p>
            <w:pPr>
              <w:pStyle w:val="ListParagraph"/>
              <w:numPr>
                <w:ilvl w:val="0"/>
                <w:numId w:val="2"/>
              </w:numPr>
              <w:spacing w:before="30" w:after="25"/>
            </w:pPr>
            <w:r>
              <w:rPr>
                <w:rFonts w:ascii="Arial" w:cs="Arial" w:eastAsia="Arial" w:hAnsi="Arial"/>
                <w:color w:val="5A3000"/>
                <w:sz w:val="18"/>
                <w:szCs w:val="18"/>
              </w:rPr>
              <w:t xml:space="preserve">Confirm which agentic coding environments are supported at launch — Marketing must not claim support for environments not yet integrated</w:t>
            </w:r>
          </w:p>
          <w:p>
            <w:pPr>
              <w:pStyle w:val="ListParagraph"/>
              <w:numPr>
                <w:ilvl w:val="0"/>
                <w:numId w:val="2"/>
              </w:numPr>
              <w:spacing w:before="30" w:after="25"/>
            </w:pPr>
            <w:r>
              <w:rPr>
                <w:rFonts w:ascii="Arial" w:cs="Arial" w:eastAsia="Arial" w:hAnsi="Arial"/>
                <w:color w:val="5A3000"/>
                <w:sz w:val="18"/>
                <w:szCs w:val="18"/>
              </w:rPr>
              <w:t xml:space="preserve">Provide the API reference in machine-readable format (OpenAPI spec or equivalent) for Marketing to format into the guide</w:t>
            </w:r>
          </w:p>
          <w:p>
            <w:pPr>
              <w:pStyle w:val="ListParagraph"/>
              <w:numPr>
                <w:ilvl w:val="0"/>
                <w:numId w:val="2"/>
              </w:numPr>
              <w:spacing w:before="30" w:after="25"/>
            </w:pPr>
            <w:r>
              <w:rPr>
                <w:rFonts w:ascii="Arial" w:cs="Arial" w:eastAsia="Arial" w:hAnsi="Arial"/>
                <w:color w:val="5A3000"/>
                <w:sz w:val="18"/>
                <w:szCs w:val="18"/>
              </w:rPr>
              <w:t xml:space="preserve">Review the USDC comparison table for technical accuracy before it is published externally</w:t>
            </w:r>
          </w:p>
        </w:tc>
      </w:tr>
    </w:tbl>
    <w:p>
      <w:pPr>
        <w:spacing w:before="60" w:after="0"/>
      </w:pPr>
      <w:r>
        <w:t xml:space="preserve"/>
      </w:r>
    </w:p>
    <w:p>
      <w:pPr>
        <w:spacing w:before="180" w:after="80"/>
      </w:pPr>
      <w:r>
        <w:rPr>
          <w:rFonts w:ascii="Arial" w:cs="Arial" w:eastAsia="Arial" w:hAnsi="Arial"/>
          <w:b/>
          <w:bCs/>
          <w:color w:val="1B2A4A"/>
          <w:sz w:val="22"/>
          <w:szCs w:val="22"/>
        </w:rPr>
        <w:t xml:space="preserve">Distribution</w:t>
      </w:r>
    </w:p>
    <w:p>
      <w:pPr>
        <w:pStyle w:val="ListParagraph"/>
        <w:numPr>
          <w:ilvl w:val="0"/>
          <w:numId w:val="2"/>
        </w:numPr>
        <w:spacing w:before="40" w:after="40"/>
      </w:pPr>
      <w:r>
        <w:rPr>
          <w:rFonts w:ascii="Arial" w:cs="Arial" w:eastAsia="Arial" w:hAnsi="Arial"/>
          <w:b w:val="false"/>
          <w:bCs w:val="false"/>
          <w:sz w:val="20"/>
          <w:szCs w:val="20"/>
        </w:rPr>
        <w:t xml:space="preserve">Primary: developer.wlfi.com (or equivalent dedicated developer portal)</w:t>
      </w:r>
    </w:p>
    <w:p>
      <w:pPr>
        <w:pStyle w:val="ListParagraph"/>
        <w:numPr>
          <w:ilvl w:val="0"/>
          <w:numId w:val="2"/>
        </w:numPr>
        <w:spacing w:before="40" w:after="40"/>
      </w:pPr>
      <w:r>
        <w:rPr>
          <w:rFonts w:ascii="Arial" w:cs="Arial" w:eastAsia="Arial" w:hAnsi="Arial"/>
          <w:b w:val="false"/>
          <w:bCs w:val="false"/>
          <w:sz w:val="20"/>
          <w:szCs w:val="20"/>
        </w:rPr>
        <w:t xml:space="preserve">Mirror: GitHub repository with the guide as the README</w:t>
      </w:r>
    </w:p>
    <w:p>
      <w:pPr>
        <w:pStyle w:val="ListParagraph"/>
        <w:numPr>
          <w:ilvl w:val="0"/>
          <w:numId w:val="2"/>
        </w:numPr>
        <w:spacing w:before="40" w:after="40"/>
      </w:pPr>
      <w:r>
        <w:rPr>
          <w:rFonts w:ascii="Arial" w:cs="Arial" w:eastAsia="Arial" w:hAnsi="Arial"/>
          <w:b w:val="false"/>
          <w:bCs w:val="false"/>
          <w:sz w:val="20"/>
          <w:szCs w:val="20"/>
        </w:rPr>
        <w:t xml:space="preserve">Announce via developer newsletters, X/Twitter developer accounts, and Farcaster</w:t>
      </w:r>
    </w:p>
    <w:p>
      <w:pPr>
        <w:pStyle w:val="ListParagraph"/>
        <w:numPr>
          <w:ilvl w:val="0"/>
          <w:numId w:val="2"/>
        </w:numPr>
        <w:spacing w:before="40" w:after="40"/>
      </w:pPr>
      <w:r>
        <w:rPr>
          <w:rFonts w:ascii="Arial" w:cs="Arial" w:eastAsia="Arial" w:hAnsi="Arial"/>
          <w:b w:val="false"/>
          <w:bCs w:val="false"/>
          <w:sz w:val="20"/>
          <w:szCs w:val="20"/>
        </w:rPr>
        <w:t xml:space="preserve">Submit to agent skill marketplaces as the canonical USD1 integration reference</w:t>
      </w:r>
    </w:p>
    <w:p>
      <w:pPr>
        <w:spacing w:before="40" w:after="0"/>
      </w:pPr>
      <w:r>
        <w:t xml:space="preserve"/>
      </w:r>
    </w:p>
    <w:p>
      <w:pPr>
        <w:spacing w:before="180" w:after="80"/>
      </w:pPr>
      <w:r>
        <w:rPr>
          <w:rFonts w:ascii="Arial" w:cs="Arial" w:eastAsia="Arial" w:hAnsi="Arial"/>
          <w:b/>
          <w:bCs/>
          <w:color w:val="1B2A4A"/>
          <w:sz w:val="22"/>
          <w:szCs w:val="22"/>
        </w:rPr>
        <w:t xml:space="preserve">Success Metrics</w:t>
      </w:r>
    </w:p>
    <w:p>
      <w:pPr>
        <w:pStyle w:val="ListParagraph"/>
        <w:numPr>
          <w:ilvl w:val="0"/>
          <w:numId w:val="2"/>
        </w:numPr>
        <w:spacing w:before="40" w:after="40"/>
      </w:pPr>
      <w:r>
        <w:rPr>
          <w:rFonts w:ascii="Arial" w:cs="Arial" w:eastAsia="Arial" w:hAnsi="Arial"/>
          <w:b w:val="false"/>
          <w:bCs w:val="false"/>
          <w:sz w:val="20"/>
          <w:szCs w:val="20"/>
        </w:rPr>
        <w:t xml:space="preserve">1,000 unique developer sessions within 30 days of launch</w:t>
      </w:r>
    </w:p>
    <w:p>
      <w:pPr>
        <w:pStyle w:val="ListParagraph"/>
        <w:numPr>
          <w:ilvl w:val="0"/>
          <w:numId w:val="2"/>
        </w:numPr>
        <w:spacing w:before="40" w:after="40"/>
      </w:pPr>
      <w:r>
        <w:rPr>
          <w:rFonts w:ascii="Arial" w:cs="Arial" w:eastAsia="Arial" w:hAnsi="Arial"/>
          <w:b w:val="false"/>
          <w:bCs w:val="false"/>
          <w:sz w:val="20"/>
          <w:szCs w:val="20"/>
        </w:rPr>
        <w:t xml:space="preserve">Guide cited in at least 5 external developer tutorials or integration posts within 60 days</w:t>
      </w:r>
    </w:p>
    <w:p>
      <w:pPr>
        <w:pStyle w:val="ListParagraph"/>
        <w:numPr>
          <w:ilvl w:val="0"/>
          <w:numId w:val="2"/>
        </w:numPr>
        <w:spacing w:before="40" w:after="40"/>
      </w:pPr>
      <w:r>
        <w:rPr>
          <w:rFonts w:ascii="Arial" w:cs="Arial" w:eastAsia="Arial" w:hAnsi="Arial"/>
          <w:b w:val="false"/>
          <w:bCs w:val="false"/>
          <w:sz w:val="20"/>
          <w:szCs w:val="20"/>
        </w:rPr>
        <w:t xml:space="preserve">Time-to-first-integration tracked via SDK analytics — target: under 20 minutes</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3.2  'Agent Paymaster' Tutorial</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Create a single, shareable tutorial that demonstrates — end to end — how to build an AI agent that autonomously earns, holds, and spends USD1. This is the hero developer content: designed to be the most-referenced USD1 developer resource.</w:t>
      </w:r>
    </w:p>
    <w:p>
      <w:pPr>
        <w:spacing w:before="40" w:after="0"/>
      </w:pPr>
      <w:r>
        <w:t xml:space="preserve"/>
      </w:r>
    </w:p>
    <w:p>
      <w:pPr>
        <w:spacing w:before="180" w:after="80"/>
      </w:pPr>
      <w:r>
        <w:rPr>
          <w:rFonts w:ascii="Arial" w:cs="Arial" w:eastAsia="Arial" w:hAnsi="Arial"/>
          <w:b/>
          <w:bCs/>
          <w:color w:val="1B2A4A"/>
          <w:sz w:val="22"/>
          <w:szCs w:val="22"/>
        </w:rPr>
        <w:t xml:space="preserve">Format</w:t>
      </w:r>
    </w:p>
    <w:p>
      <w:pPr>
        <w:pStyle w:val="ListParagraph"/>
        <w:numPr>
          <w:ilvl w:val="0"/>
          <w:numId w:val="2"/>
        </w:numPr>
        <w:spacing w:before="40" w:after="40"/>
      </w:pPr>
      <w:r>
        <w:rPr>
          <w:rFonts w:ascii="Arial" w:cs="Arial" w:eastAsia="Arial" w:hAnsi="Arial"/>
          <w:b w:val="false"/>
          <w:bCs w:val="false"/>
          <w:sz w:val="20"/>
          <w:szCs w:val="20"/>
        </w:rPr>
        <w:t xml:space="preserve">Written tutorial with embedded, copy-paste-ready code blocks</w:t>
      </w:r>
    </w:p>
    <w:p>
      <w:pPr>
        <w:pStyle w:val="ListParagraph"/>
        <w:numPr>
          <w:ilvl w:val="0"/>
          <w:numId w:val="2"/>
        </w:numPr>
        <w:spacing w:before="40" w:after="40"/>
      </w:pPr>
      <w:r>
        <w:rPr>
          <w:rFonts w:ascii="Arial" w:cs="Arial" w:eastAsia="Arial" w:hAnsi="Arial"/>
          <w:b w:val="false"/>
          <w:bCs w:val="false"/>
          <w:sz w:val="20"/>
          <w:szCs w:val="20"/>
        </w:rPr>
        <w:t xml:space="preserve">Companion video walkthrough — screen recorded, under 12 minutes</w:t>
      </w:r>
    </w:p>
    <w:p>
      <w:pPr>
        <w:pStyle w:val="ListParagraph"/>
        <w:numPr>
          <w:ilvl w:val="0"/>
          <w:numId w:val="2"/>
        </w:numPr>
        <w:spacing w:before="40" w:after="40"/>
      </w:pPr>
      <w:r>
        <w:rPr>
          <w:rFonts w:ascii="Arial" w:cs="Arial" w:eastAsia="Arial" w:hAnsi="Arial"/>
          <w:b w:val="false"/>
          <w:bCs w:val="false"/>
          <w:sz w:val="20"/>
          <w:szCs w:val="20"/>
        </w:rPr>
        <w:t xml:space="preserve">Live demo environment hosted at a stable URL for developers to fork</w:t>
      </w:r>
    </w:p>
    <w:p>
      <w:pPr>
        <w:spacing w:before="40" w:after="0"/>
      </w:pPr>
      <w:r>
        <w:t xml:space="preserve"/>
      </w:r>
    </w:p>
    <w:p>
      <w:pPr>
        <w:spacing w:before="180" w:after="80"/>
      </w:pPr>
      <w:r>
        <w:rPr>
          <w:rFonts w:ascii="Arial" w:cs="Arial" w:eastAsia="Arial" w:hAnsi="Arial"/>
          <w:b/>
          <w:bCs/>
          <w:color w:val="1B2A4A"/>
          <w:sz w:val="22"/>
          <w:szCs w:val="22"/>
        </w:rPr>
        <w:t xml:space="preserve">The Agent Paymaster Scenario</w:t>
      </w:r>
    </w:p>
    <w:p>
      <w:pPr>
        <w:spacing w:before="60" w:after="80"/>
        <w:jc w:val="left"/>
      </w:pPr>
      <w:r>
        <w:rPr>
          <w:rFonts w:ascii="Arial" w:cs="Arial" w:eastAsia="Arial" w:hAnsi="Arial"/>
          <w:b w:val="false"/>
          <w:bCs w:val="false"/>
          <w:i w:val="false"/>
          <w:iCs w:val="false"/>
          <w:color w:val="222222"/>
          <w:sz w:val="20"/>
          <w:szCs w:val="20"/>
        </w:rPr>
        <w:t xml:space="preserve">The tutorial should build a specific, complete example: an AI agent that provides a service (e.g., data summarization), invoices the requesting agent in USD1 via EIP-3009 pull authorization, collects payment without human confirmation, and allocates the USD1 balance according to a simple treasury policy. This scenario demonstrates every key USD1 feature in a realistic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This tutorial is not a marketing document — it is a technical build that Marketing packages and distributes. Engineering must own the actual code implementation and review all technical claims before publication.</w:t>
            </w:r>
          </w:p>
          <w:p>
            <w:pPr>
              <w:pStyle w:val="ListParagraph"/>
              <w:numPr>
                <w:ilvl w:val="0"/>
                <w:numId w:val="2"/>
              </w:numPr>
              <w:spacing w:before="30" w:after="25"/>
            </w:pPr>
            <w:r>
              <w:rPr>
                <w:rFonts w:ascii="Arial" w:cs="Arial" w:eastAsia="Arial" w:hAnsi="Arial"/>
                <w:color w:val="5A3000"/>
                <w:sz w:val="18"/>
                <w:szCs w:val="18"/>
              </w:rPr>
              <w:t xml:space="preserve">Build the Agent Paymaster reference implementation in the Engineering-approved stack before Marketing begins packaging</w:t>
            </w:r>
          </w:p>
          <w:p>
            <w:pPr>
              <w:pStyle w:val="ListParagraph"/>
              <w:numPr>
                <w:ilvl w:val="0"/>
                <w:numId w:val="2"/>
              </w:numPr>
              <w:spacing w:before="30" w:after="25"/>
            </w:pPr>
            <w:r>
              <w:rPr>
                <w:rFonts w:ascii="Arial" w:cs="Arial" w:eastAsia="Arial" w:hAnsi="Arial"/>
                <w:color w:val="5A3000"/>
                <w:sz w:val="18"/>
                <w:szCs w:val="18"/>
              </w:rPr>
              <w:t xml:space="preserve">Ensure the EIP-3009 pull authorization is demonstrated using the live, post-audit mainnet contract — not a testnet simulation</w:t>
            </w:r>
          </w:p>
          <w:p>
            <w:pPr>
              <w:pStyle w:val="ListParagraph"/>
              <w:numPr>
                <w:ilvl w:val="0"/>
                <w:numId w:val="2"/>
              </w:numPr>
              <w:spacing w:before="30" w:after="25"/>
            </w:pPr>
            <w:r>
              <w:rPr>
                <w:rFonts w:ascii="Arial" w:cs="Arial" w:eastAsia="Arial" w:hAnsi="Arial"/>
                <w:color w:val="5A3000"/>
                <w:sz w:val="18"/>
                <w:szCs w:val="18"/>
              </w:rPr>
              <w:t xml:space="preserve">Confirm the live demo environment URL and uptime SLA before Marketing publishes — the demo going down after launch is a credibility issue</w:t>
            </w:r>
          </w:p>
          <w:p>
            <w:pPr>
              <w:pStyle w:val="ListParagraph"/>
              <w:numPr>
                <w:ilvl w:val="0"/>
                <w:numId w:val="2"/>
              </w:numPr>
              <w:spacing w:before="30" w:after="25"/>
            </w:pPr>
            <w:r>
              <w:rPr>
                <w:rFonts w:ascii="Arial" w:cs="Arial" w:eastAsia="Arial" w:hAnsi="Arial"/>
                <w:color w:val="5A3000"/>
                <w:sz w:val="18"/>
                <w:szCs w:val="18"/>
              </w:rPr>
              <w:t xml:space="preserve">Engineering to provide a brief technical explainer (500 words) that Marketing can adapt into the tutorial's 'How This Works' section</w:t>
            </w:r>
          </w:p>
        </w:tc>
      </w:tr>
    </w:tbl>
    <w:p>
      <w:pPr>
        <w:spacing w:before="40" w:after="0"/>
      </w:pPr>
      <w:r>
        <w:t xml:space="preserve"/>
      </w:r>
    </w:p>
    <w:p>
      <w:pPr>
        <w:spacing w:before="180" w:after="80"/>
      </w:pPr>
      <w:r>
        <w:rPr>
          <w:rFonts w:ascii="Arial" w:cs="Arial" w:eastAsia="Arial" w:hAnsi="Arial"/>
          <w:b/>
          <w:bCs/>
          <w:color w:val="1B2A4A"/>
          <w:sz w:val="22"/>
          <w:szCs w:val="22"/>
        </w:rPr>
        <w:t xml:space="preserve">Distribution</w:t>
      </w:r>
    </w:p>
    <w:p>
      <w:pPr>
        <w:pStyle w:val="ListParagraph"/>
        <w:numPr>
          <w:ilvl w:val="0"/>
          <w:numId w:val="2"/>
        </w:numPr>
        <w:spacing w:before="40" w:after="40"/>
      </w:pPr>
      <w:r>
        <w:rPr>
          <w:rFonts w:ascii="Arial" w:cs="Arial" w:eastAsia="Arial" w:hAnsi="Arial"/>
          <w:b w:val="false"/>
          <w:bCs w:val="false"/>
          <w:sz w:val="20"/>
          <w:szCs w:val="20"/>
        </w:rPr>
        <w:t xml:space="preserve">Announced as part of the broader developer guide launch</w:t>
      </w:r>
    </w:p>
    <w:p>
      <w:pPr>
        <w:pStyle w:val="ListParagraph"/>
        <w:numPr>
          <w:ilvl w:val="0"/>
          <w:numId w:val="2"/>
        </w:numPr>
        <w:spacing w:before="40" w:after="40"/>
      </w:pPr>
      <w:r>
        <w:rPr>
          <w:rFonts w:ascii="Arial" w:cs="Arial" w:eastAsia="Arial" w:hAnsi="Arial"/>
          <w:b w:val="false"/>
          <w:bCs w:val="false"/>
          <w:sz w:val="20"/>
          <w:szCs w:val="20"/>
        </w:rPr>
        <w:t xml:space="preserve">Promoted to AI developer communities: Hugging Face forums, LangChain Discord, developer X/Twitter</w:t>
      </w:r>
    </w:p>
    <w:p>
      <w:pPr>
        <w:pStyle w:val="ListParagraph"/>
        <w:numPr>
          <w:ilvl w:val="0"/>
          <w:numId w:val="2"/>
        </w:numPr>
        <w:spacing w:before="40" w:after="40"/>
      </w:pPr>
      <w:r>
        <w:rPr>
          <w:rFonts w:ascii="Arial" w:cs="Arial" w:eastAsia="Arial" w:hAnsi="Arial"/>
          <w:b w:val="false"/>
          <w:bCs w:val="false"/>
          <w:sz w:val="20"/>
          <w:szCs w:val="20"/>
        </w:rPr>
        <w:t xml:space="preserve">Submitted to product hunt and relevant developer showcase platforms</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3.3  Agent-Only Hackathon</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Host a hackathon positioned as the first open agentic economy competition — USD1 as the only permitted currency for all agent transactions within the competition. This directly mirrors Circle's hackathon strategy while staking a category claim Circle has not yet made.</w:t>
      </w:r>
    </w:p>
    <w:p>
      <w:pPr>
        <w:spacing w:before="40" w:after="0"/>
      </w:pPr>
      <w:r>
        <w:t xml:space="preserve"/>
      </w:r>
    </w:p>
    <w:p>
      <w:pPr>
        <w:spacing w:before="180" w:after="80"/>
      </w:pPr>
      <w:r>
        <w:rPr>
          <w:rFonts w:ascii="Arial" w:cs="Arial" w:eastAsia="Arial" w:hAnsi="Arial"/>
          <w:b/>
          <w:bCs/>
          <w:color w:val="1B2A4A"/>
          <w:sz w:val="22"/>
          <w:szCs w:val="22"/>
        </w:rPr>
        <w:t xml:space="preserv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8C" w:sz="8"/>
              <w:left w:val="thick" w:color="3A5A8C" w:sz="18"/>
              <w:bottom w:val="single" w:color="3A5A8C" w:sz="8"/>
              <w:right w:val="single" w:color="3A5A8C" w:sz="2"/>
            </w:tcBorders>
            <w:shd w:fill="EAF0F8" w:val="clear"/>
            <w:tcMar>
              <w:top w:type="dxa" w:w="120"/>
              <w:left w:type="dxa" w:w="200"/>
              <w:bottom w:type="dxa" w:w="120"/>
              <w:right w:type="dxa" w:w="160"/>
            </w:tcMar>
          </w:tcPr>
          <w:p>
            <w:pPr>
              <w:spacing w:before="30" w:after="30"/>
            </w:pPr>
            <w:r>
              <w:rPr>
                <w:rFonts w:ascii="Arial" w:cs="Arial" w:eastAsia="Arial" w:hAnsi="Arial"/>
                <w:b w:val="false"/>
                <w:bCs w:val="false"/>
                <w:i w:val="false"/>
                <w:iCs w:val="false"/>
                <w:color w:val="1A1A2E"/>
                <w:sz w:val="19"/>
                <w:szCs w:val="19"/>
              </w:rPr>
              <w:t xml:space="preserve">Framing: 'Build the first business that runs without humans — and gets paid in USD1.' The hackathon is not a crypto hackathon. It is an AI hackathon where USD1 is the payment infrastructure. Judge entries on: (1) genuine economic activity between agents, (2) volume and frequency of USD1 transactions, (3) commercial viability of the agent business model.</w:t>
            </w:r>
          </w:p>
        </w:tc>
      </w:tr>
    </w:tbl>
    <w:p>
      <w:pPr>
        <w:spacing w:before="40" w:after="0"/>
      </w:pPr>
      <w:r>
        <w:t xml:space="preserve"/>
      </w:r>
    </w:p>
    <w:p>
      <w:pPr>
        <w:spacing w:before="180" w:after="80"/>
      </w:pPr>
      <w:r>
        <w:rPr>
          <w:rFonts w:ascii="Arial" w:cs="Arial" w:eastAsia="Arial" w:hAnsi="Arial"/>
          <w:b/>
          <w:bCs/>
          <w:color w:val="1B2A4A"/>
          <w:sz w:val="22"/>
          <w:szCs w:val="22"/>
        </w:rPr>
        <w:t xml:space="preserve">Logistics</w:t>
      </w:r>
    </w:p>
    <w:p>
      <w:pPr>
        <w:pStyle w:val="ListParagraph"/>
        <w:numPr>
          <w:ilvl w:val="0"/>
          <w:numId w:val="2"/>
        </w:numPr>
        <w:spacing w:before="40" w:after="40"/>
      </w:pPr>
      <w:r>
        <w:rPr>
          <w:rFonts w:ascii="Arial" w:cs="Arial" w:eastAsia="Arial" w:hAnsi="Arial"/>
          <w:b w:val="false"/>
          <w:bCs w:val="false"/>
          <w:sz w:val="20"/>
          <w:szCs w:val="20"/>
        </w:rPr>
        <w:t xml:space="preserve">Target launch announcement: 30 days from today</w:t>
      </w:r>
    </w:p>
    <w:p>
      <w:pPr>
        <w:pStyle w:val="ListParagraph"/>
        <w:numPr>
          <w:ilvl w:val="0"/>
          <w:numId w:val="2"/>
        </w:numPr>
        <w:spacing w:before="40" w:after="40"/>
      </w:pPr>
      <w:r>
        <w:rPr>
          <w:rFonts w:ascii="Arial" w:cs="Arial" w:eastAsia="Arial" w:hAnsi="Arial"/>
          <w:b w:val="false"/>
          <w:bCs w:val="false"/>
          <w:sz w:val="20"/>
          <w:szCs w:val="20"/>
        </w:rPr>
        <w:t xml:space="preserve">Target submission deadline: 45 days from today</w:t>
      </w:r>
    </w:p>
    <w:p>
      <w:pPr>
        <w:pStyle w:val="ListParagraph"/>
        <w:numPr>
          <w:ilvl w:val="0"/>
          <w:numId w:val="2"/>
        </w:numPr>
        <w:spacing w:before="40" w:after="40"/>
      </w:pPr>
      <w:r>
        <w:rPr>
          <w:rFonts w:ascii="Arial" w:cs="Arial" w:eastAsia="Arial" w:hAnsi="Arial"/>
          <w:b w:val="false"/>
          <w:bCs w:val="false"/>
          <w:sz w:val="20"/>
          <w:szCs w:val="20"/>
        </w:rPr>
        <w:t xml:space="preserve">Prize pool: USD1-denominated (signals the product's own conviction in the currency)</w:t>
      </w:r>
    </w:p>
    <w:p>
      <w:pPr>
        <w:pStyle w:val="ListParagraph"/>
        <w:numPr>
          <w:ilvl w:val="0"/>
          <w:numId w:val="2"/>
        </w:numPr>
        <w:spacing w:before="40" w:after="40"/>
      </w:pPr>
      <w:r>
        <w:rPr>
          <w:rFonts w:ascii="Arial" w:cs="Arial" w:eastAsia="Arial" w:hAnsi="Arial"/>
          <w:b w:val="false"/>
          <w:bCs w:val="false"/>
          <w:sz w:val="20"/>
          <w:szCs w:val="20"/>
        </w:rPr>
        <w:t xml:space="preserve">Partner with at least one major AI developer community for co-promotion</w:t>
      </w:r>
    </w:p>
    <w:p>
      <w:pPr>
        <w:pStyle w:val="ListParagraph"/>
        <w:numPr>
          <w:ilvl w:val="0"/>
          <w:numId w:val="2"/>
        </w:numPr>
        <w:spacing w:before="40" w:after="40"/>
      </w:pPr>
      <w:r>
        <w:rPr>
          <w:rFonts w:ascii="Arial" w:cs="Arial" w:eastAsia="Arial" w:hAnsi="Arial"/>
          <w:b w:val="false"/>
          <w:bCs w:val="false"/>
          <w:sz w:val="20"/>
          <w:szCs w:val="20"/>
        </w:rPr>
        <w:t xml:space="preserve">Live judging event streamed publicly — captures ongoing content and signals the event is real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The hackathon requires Engineering to provision a developer sandbox environment where participants can build against USD1 infrastructure without production risk. Marketing cannot run this event without the sandbox being operational before the announcement date.</w:t>
            </w:r>
          </w:p>
          <w:p>
            <w:pPr>
              <w:pStyle w:val="ListParagraph"/>
              <w:numPr>
                <w:ilvl w:val="0"/>
                <w:numId w:val="2"/>
              </w:numPr>
              <w:spacing w:before="30" w:after="25"/>
            </w:pPr>
            <w:r>
              <w:rPr>
                <w:rFonts w:ascii="Arial" w:cs="Arial" w:eastAsia="Arial" w:hAnsi="Arial"/>
                <w:color w:val="5A3000"/>
                <w:sz w:val="18"/>
                <w:szCs w:val="18"/>
              </w:rPr>
              <w:t xml:space="preserve">Build and deploy a USD1 developer sandbox environment with testnet USD1, faucet access, and documentation by the announcement date</w:t>
            </w:r>
          </w:p>
          <w:p>
            <w:pPr>
              <w:pStyle w:val="ListParagraph"/>
              <w:numPr>
                <w:ilvl w:val="0"/>
                <w:numId w:val="2"/>
              </w:numPr>
              <w:spacing w:before="30" w:after="25"/>
            </w:pPr>
            <w:r>
              <w:rPr>
                <w:rFonts w:ascii="Arial" w:cs="Arial" w:eastAsia="Arial" w:hAnsi="Arial"/>
                <w:color w:val="5A3000"/>
                <w:sz w:val="18"/>
                <w:szCs w:val="18"/>
              </w:rPr>
              <w:t xml:space="preserve">Create a hackathon SDK starter kit — pre-configured environment that removes the setup friction for participants</w:t>
            </w:r>
          </w:p>
          <w:p>
            <w:pPr>
              <w:pStyle w:val="ListParagraph"/>
              <w:numPr>
                <w:ilvl w:val="0"/>
                <w:numId w:val="2"/>
              </w:numPr>
              <w:spacing w:before="30" w:after="25"/>
            </w:pPr>
            <w:r>
              <w:rPr>
                <w:rFonts w:ascii="Arial" w:cs="Arial" w:eastAsia="Arial" w:hAnsi="Arial"/>
                <w:color w:val="5A3000"/>
                <w:sz w:val="18"/>
                <w:szCs w:val="18"/>
              </w:rPr>
              <w:t xml:space="preserve">Staff at least one Engineering team member as a technical resource in the hackathon's official Discord/Slack channel for the duration of the event</w:t>
            </w:r>
          </w:p>
          <w:p>
            <w:pPr>
              <w:pStyle w:val="ListParagraph"/>
              <w:numPr>
                <w:ilvl w:val="0"/>
                <w:numId w:val="2"/>
              </w:numPr>
              <w:spacing w:before="30" w:after="25"/>
            </w:pPr>
            <w:r>
              <w:rPr>
                <w:rFonts w:ascii="Arial" w:cs="Arial" w:eastAsia="Arial" w:hAnsi="Arial"/>
                <w:color w:val="5A3000"/>
                <w:sz w:val="18"/>
                <w:szCs w:val="18"/>
              </w:rPr>
              <w:t xml:space="preserve">Provide automated transaction monitoring so Marketing can surface real-time stats during the live judging stream</w:t>
            </w:r>
          </w:p>
        </w:tc>
      </w:tr>
    </w:tbl>
    <w:p>
      <w:pPr>
        <w:spacing w:before="40" w:after="0"/>
      </w:pPr>
      <w:r>
        <w:t xml:space="preserve"/>
      </w:r>
    </w:p>
    <w:p>
      <w:pPr>
        <w:spacing w:before="180" w:after="80"/>
      </w:pPr>
      <w:r>
        <w:rPr>
          <w:rFonts w:ascii="Arial" w:cs="Arial" w:eastAsia="Arial" w:hAnsi="Arial"/>
          <w:b/>
          <w:bCs/>
          <w:color w:val="1B2A4A"/>
          <w:sz w:val="22"/>
          <w:szCs w:val="22"/>
        </w:rPr>
        <w:t xml:space="preserve">Post-Hackathon Content</w:t>
      </w:r>
    </w:p>
    <w:p>
      <w:pPr>
        <w:pStyle w:val="ListParagraph"/>
        <w:numPr>
          <w:ilvl w:val="0"/>
          <w:numId w:val="2"/>
        </w:numPr>
        <w:spacing w:before="40" w:after="40"/>
      </w:pPr>
      <w:r>
        <w:rPr>
          <w:rFonts w:ascii="Arial" w:cs="Arial" w:eastAsia="Arial" w:hAnsi="Arial"/>
          <w:b w:val="false"/>
          <w:bCs w:val="false"/>
          <w:sz w:val="20"/>
          <w:szCs w:val="20"/>
        </w:rPr>
        <w:t xml:space="preserve">Publish winner case studies as the first entries in the 'Agentic Economy' content series</w:t>
      </w:r>
    </w:p>
    <w:p>
      <w:pPr>
        <w:pStyle w:val="ListParagraph"/>
        <w:numPr>
          <w:ilvl w:val="0"/>
          <w:numId w:val="2"/>
        </w:numPr>
        <w:spacing w:before="40" w:after="40"/>
      </w:pPr>
      <w:r>
        <w:rPr>
          <w:rFonts w:ascii="Arial" w:cs="Arial" w:eastAsia="Arial" w:hAnsi="Arial"/>
          <w:b w:val="false"/>
          <w:bCs w:val="false"/>
          <w:sz w:val="20"/>
          <w:szCs w:val="20"/>
        </w:rPr>
        <w:t xml:space="preserve">Convert the top 3 winning projects into developer tutorials with the teams' permission</w:t>
      </w:r>
    </w:p>
    <w:p>
      <w:pPr>
        <w:pStyle w:val="ListParagraph"/>
        <w:numPr>
          <w:ilvl w:val="0"/>
          <w:numId w:val="2"/>
        </w:numPr>
        <w:spacing w:before="40" w:after="40"/>
      </w:pPr>
      <w:r>
        <w:rPr>
          <w:rFonts w:ascii="Arial" w:cs="Arial" w:eastAsia="Arial" w:hAnsi="Arial"/>
          <w:b w:val="false"/>
          <w:bCs w:val="false"/>
          <w:sz w:val="20"/>
          <w:szCs w:val="20"/>
        </w:rPr>
        <w:t xml:space="preserve">Use hackathon transaction volume as proof point in institutional and press outreach</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3.4  Weekly 'Agentic Economy' Content Series</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Establish USD1 as the authoritative publisher of agentic economy content — real examples, real agent transactions, real USD1 as the case study in every piece.</w:t>
      </w:r>
    </w:p>
    <w:p>
      <w:pPr>
        <w:spacing w:before="40" w:after="0"/>
      </w:pPr>
      <w:r>
        <w:t xml:space="preserve"/>
      </w:r>
    </w:p>
    <w:p>
      <w:pPr>
        <w:spacing w:before="180" w:after="80"/>
      </w:pPr>
      <w:r>
        <w:rPr>
          <w:rFonts w:ascii="Arial" w:cs="Arial" w:eastAsia="Arial" w:hAnsi="Arial"/>
          <w:b/>
          <w:bCs/>
          <w:color w:val="1B2A4A"/>
          <w:sz w:val="22"/>
          <w:szCs w:val="22"/>
        </w:rPr>
        <w:t xml:space="preserve">Content Types (Rotate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Week Type</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Content Description</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'Agent in the Wild'</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Document a real-world or demonstrated AI agent completing an economic transaction in USD1. Show the transaction on-chain, narrate the business logic, explain what the agent did autonomously.</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'Build Log'</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Behind-the-scenes of a USD1 integration. Written with the partner or developer. Technical and specific — not a press release.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'Agentic Economy Data'</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on-chain metrics, transaction volumes, agent activity statistics. Positioned as the data source for agentic economy analysis.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'USD1 vs. The Alternative'</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Factual, technical comparison of how USD1 handles a specific agentic use case versus USDC. Never disparaging — always demonstrating technical specificity.</w:t>
            </w:r>
          </w:p>
        </w:tc>
      </w:tr>
    </w:tbl>
    <w:p>
      <w:pPr>
        <w:spacing w:before="60" w:after="0"/>
      </w:pPr>
      <w:r>
        <w:t xml:space="preserve"/>
      </w:r>
    </w:p>
    <w:p>
      <w:pPr>
        <w:spacing w:before="180" w:after="80"/>
      </w:pPr>
      <w:r>
        <w:rPr>
          <w:rFonts w:ascii="Arial" w:cs="Arial" w:eastAsia="Arial" w:hAnsi="Arial"/>
          <w:b/>
          <w:bCs/>
          <w:color w:val="1B2A4A"/>
          <w:sz w:val="22"/>
          <w:szCs w:val="22"/>
        </w:rPr>
        <w:t xml:space="preserve">Distribution Channels</w:t>
      </w:r>
    </w:p>
    <w:p>
      <w:pPr>
        <w:pStyle w:val="ListParagraph"/>
        <w:numPr>
          <w:ilvl w:val="0"/>
          <w:numId w:val="2"/>
        </w:numPr>
        <w:spacing w:before="40" w:after="40"/>
      </w:pPr>
      <w:r>
        <w:rPr>
          <w:rFonts w:ascii="Arial" w:cs="Arial" w:eastAsia="Arial" w:hAnsi="Arial"/>
          <w:b w:val="false"/>
          <w:bCs w:val="false"/>
          <w:sz w:val="20"/>
          <w:szCs w:val="20"/>
        </w:rPr>
        <w:t xml:space="preserve">Primary publication: WLFI blog / Medium</w:t>
      </w:r>
    </w:p>
    <w:p>
      <w:pPr>
        <w:pStyle w:val="ListParagraph"/>
        <w:numPr>
          <w:ilvl w:val="0"/>
          <w:numId w:val="2"/>
        </w:numPr>
        <w:spacing w:before="40" w:after="40"/>
      </w:pPr>
      <w:r>
        <w:rPr>
          <w:rFonts w:ascii="Arial" w:cs="Arial" w:eastAsia="Arial" w:hAnsi="Arial"/>
          <w:b w:val="false"/>
          <w:bCs w:val="false"/>
          <w:sz w:val="20"/>
          <w:szCs w:val="20"/>
        </w:rPr>
        <w:t xml:space="preserve">X/Twitter thread format for each piece — written natively for the platform</w:t>
      </w:r>
    </w:p>
    <w:p>
      <w:pPr>
        <w:pStyle w:val="ListParagraph"/>
        <w:numPr>
          <w:ilvl w:val="0"/>
          <w:numId w:val="2"/>
        </w:numPr>
        <w:spacing w:before="40" w:after="40"/>
      </w:pPr>
      <w:r>
        <w:rPr>
          <w:rFonts w:ascii="Arial" w:cs="Arial" w:eastAsia="Arial" w:hAnsi="Arial"/>
          <w:b w:val="false"/>
          <w:bCs w:val="false"/>
          <w:sz w:val="20"/>
          <w:szCs w:val="20"/>
        </w:rPr>
        <w:t xml:space="preserve">LinkedIn long-form version for institutional and professional audience</w:t>
      </w:r>
    </w:p>
    <w:p>
      <w:pPr>
        <w:pStyle w:val="ListParagraph"/>
        <w:numPr>
          <w:ilvl w:val="0"/>
          <w:numId w:val="2"/>
        </w:numPr>
        <w:spacing w:before="40" w:after="40"/>
      </w:pPr>
      <w:r>
        <w:rPr>
          <w:rFonts w:ascii="Arial" w:cs="Arial" w:eastAsia="Arial" w:hAnsi="Arial"/>
          <w:b w:val="false"/>
          <w:bCs w:val="false"/>
          <w:sz w:val="20"/>
          <w:szCs w:val="20"/>
        </w:rPr>
        <w:t xml:space="preserve">Farcaster for crypto-native developer audience</w:t>
      </w:r>
    </w:p>
    <w:p>
      <w:pPr>
        <w:pStyle w:val="ListParagraph"/>
        <w:numPr>
          <w:ilvl w:val="0"/>
          <w:numId w:val="2"/>
        </w:numPr>
        <w:spacing w:before="40" w:after="40"/>
      </w:pPr>
      <w:r>
        <w:rPr>
          <w:rFonts w:ascii="Arial" w:cs="Arial" w:eastAsia="Arial" w:hAnsi="Arial"/>
          <w:b w:val="false"/>
          <w:bCs w:val="false"/>
          <w:sz w:val="20"/>
          <w:szCs w:val="20"/>
        </w:rPr>
        <w:t xml:space="preserve">Developer newsletter digest — aggregate monthly into one email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The 'Agentic Economy Data' content type requires Engineering to provide a reliable data feed of USD1 on-chain metrics that Marketing can access without direct database queries.</w:t>
            </w:r>
          </w:p>
          <w:p>
            <w:pPr>
              <w:pStyle w:val="ListParagraph"/>
              <w:numPr>
                <w:ilvl w:val="0"/>
                <w:numId w:val="2"/>
              </w:numPr>
              <w:spacing w:before="30" w:after="25"/>
            </w:pPr>
            <w:r>
              <w:rPr>
                <w:rFonts w:ascii="Arial" w:cs="Arial" w:eastAsia="Arial" w:hAnsi="Arial"/>
                <w:color w:val="5A3000"/>
                <w:sz w:val="18"/>
                <w:szCs w:val="18"/>
              </w:rPr>
              <w:t xml:space="preserve">Build a marketing-accessible analytics dashboard or API endpoint that surfaces: daily/weekly transaction volume, number of unique agent wallets, chain-by-chain breakdown, average transaction size</w:t>
            </w:r>
          </w:p>
          <w:p>
            <w:pPr>
              <w:pStyle w:val="ListParagraph"/>
              <w:numPr>
                <w:ilvl w:val="0"/>
                <w:numId w:val="2"/>
              </w:numPr>
              <w:spacing w:before="30" w:after="25"/>
            </w:pPr>
            <w:r>
              <w:rPr>
                <w:rFonts w:ascii="Arial" w:cs="Arial" w:eastAsia="Arial" w:hAnsi="Arial"/>
                <w:color w:val="5A3000"/>
                <w:sz w:val="18"/>
                <w:szCs w:val="18"/>
              </w:rPr>
              <w:t xml:space="preserve">Confirm data is refreshed at least daily and accessible to Marketing without Engineering involvement for each pull</w:t>
            </w:r>
          </w:p>
          <w:p>
            <w:pPr>
              <w:pStyle w:val="ListParagraph"/>
              <w:numPr>
                <w:ilvl w:val="0"/>
                <w:numId w:val="2"/>
              </w:numPr>
              <w:spacing w:before="30" w:after="25"/>
            </w:pPr>
            <w:r>
              <w:rPr>
                <w:rFonts w:ascii="Arial" w:cs="Arial" w:eastAsia="Arial" w:hAnsi="Arial"/>
                <w:color w:val="5A3000"/>
                <w:sz w:val="18"/>
                <w:szCs w:val="18"/>
              </w:rPr>
              <w:t xml:space="preserve">Provide guidance on which on-chain metrics are meaningful and which could be misleading — Marketing will not characterize metrics Engineering has not approved</w:t>
            </w:r>
          </w:p>
        </w:tc>
      </w:tr>
    </w:tbl>
    <w:p>
      <w:pPr>
        <w:spacing w:before="80" w:after="0"/>
      </w:pPr>
      <w:r>
        <w:t xml:space="preserve"/>
      </w:r>
    </w:p>
    <w:p>
      <w:pPr>
        <w:pStyle w:val="Heading2"/>
        <w:spacing w:before="240" w:after="100"/>
      </w:pPr>
      <w:r>
        <w:rPr>
          <w:rFonts w:ascii="Arial" w:cs="Arial" w:eastAsia="Arial" w:hAnsi="Arial"/>
          <w:b/>
          <w:bCs/>
          <w:color w:val="3A5A8C"/>
          <w:sz w:val="26"/>
          <w:szCs w:val="26"/>
        </w:rPr>
        <w:t xml:space="preserve">3.5  'Agent Treasury' Open-Source Smart Contract</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Build and open-source a reference implementation smart contract showing how an AI agent holds and manages a USD1 balance — including spend policies, authorization controls, and treasury allocation logic.</w:t>
      </w:r>
    </w:p>
    <w:p>
      <w:pPr>
        <w:spacing w:before="40" w:after="0"/>
      </w:pPr>
      <w:r>
        <w:t xml:space="preserve"/>
      </w:r>
    </w:p>
    <w:p>
      <w:pPr>
        <w:spacing w:before="180" w:after="80"/>
      </w:pPr>
      <w:r>
        <w:rPr>
          <w:rFonts w:ascii="Arial" w:cs="Arial" w:eastAsia="Arial" w:hAnsi="Arial"/>
          <w:b/>
          <w:bCs/>
          <w:color w:val="1B2A4A"/>
          <w:sz w:val="22"/>
          <w:szCs w:val="22"/>
        </w:rPr>
        <w:t xml:space="preserve">Why This Matters for Marketing</w:t>
      </w:r>
    </w:p>
    <w:p>
      <w:pPr>
        <w:spacing w:before="60" w:after="80"/>
        <w:jc w:val="left"/>
      </w:pPr>
      <w:r>
        <w:rPr>
          <w:rFonts w:ascii="Arial" w:cs="Arial" w:eastAsia="Arial" w:hAnsi="Arial"/>
          <w:b w:val="false"/>
          <w:bCs w:val="false"/>
          <w:i w:val="false"/>
          <w:iCs w:val="false"/>
          <w:color w:val="222222"/>
          <w:sz w:val="20"/>
          <w:szCs w:val="20"/>
        </w:rPr>
        <w:t xml:space="preserve">Open-source reference implementations are the highest-credibility developer content that exists. They are cited, forked, and built upon. They live in GitHub repositories where developer decisions are made. The Agent Treasury contract is not a marketing artifact — it is an infrastructure artifact that Marketing packages, announces, and distributes. It demonstrates USD1's thesis with code, not words.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This initiative is Engineering-led. Marketing's role is packaging, announcement, and distribution — not code authorship. Marketing should not announce or promote this initiative until Engineering confirms the contract is audited and production-ready.</w:t>
            </w:r>
          </w:p>
          <w:p>
            <w:pPr>
              <w:pStyle w:val="ListParagraph"/>
              <w:numPr>
                <w:ilvl w:val="0"/>
                <w:numId w:val="2"/>
              </w:numPr>
              <w:spacing w:before="30" w:after="25"/>
            </w:pPr>
            <w:r>
              <w:rPr>
                <w:rFonts w:ascii="Arial" w:cs="Arial" w:eastAsia="Arial" w:hAnsi="Arial"/>
                <w:color w:val="5A3000"/>
                <w:sz w:val="18"/>
                <w:szCs w:val="18"/>
              </w:rPr>
              <w:t xml:space="preserve">Design and implement the Agent Treasury reference contract with production-quality code, full documentation, and a comprehensive test suite</w:t>
            </w:r>
          </w:p>
          <w:p>
            <w:pPr>
              <w:pStyle w:val="ListParagraph"/>
              <w:numPr>
                <w:ilvl w:val="0"/>
                <w:numId w:val="2"/>
              </w:numPr>
              <w:spacing w:before="30" w:after="25"/>
            </w:pPr>
            <w:r>
              <w:rPr>
                <w:rFonts w:ascii="Arial" w:cs="Arial" w:eastAsia="Arial" w:hAnsi="Arial"/>
                <w:color w:val="5A3000"/>
                <w:sz w:val="18"/>
                <w:szCs w:val="18"/>
              </w:rPr>
              <w:t xml:space="preserve">Complete a third-party security review before open-source release — Marketing will not announce an unreviewed smart contract</w:t>
            </w:r>
          </w:p>
          <w:p>
            <w:pPr>
              <w:pStyle w:val="ListParagraph"/>
              <w:numPr>
                <w:ilvl w:val="0"/>
                <w:numId w:val="2"/>
              </w:numPr>
              <w:spacing w:before="30" w:after="25"/>
            </w:pPr>
            <w:r>
              <w:rPr>
                <w:rFonts w:ascii="Arial" w:cs="Arial" w:eastAsia="Arial" w:hAnsi="Arial"/>
                <w:color w:val="5A3000"/>
                <w:sz w:val="18"/>
                <w:szCs w:val="18"/>
              </w:rPr>
              <w:t xml:space="preserve">Publish to GitHub with an MIT or equivalent open-source license</w:t>
            </w:r>
          </w:p>
          <w:p>
            <w:pPr>
              <w:pStyle w:val="ListParagraph"/>
              <w:numPr>
                <w:ilvl w:val="0"/>
                <w:numId w:val="2"/>
              </w:numPr>
              <w:spacing w:before="30" w:after="25"/>
            </w:pPr>
            <w:r>
              <w:rPr>
                <w:rFonts w:ascii="Arial" w:cs="Arial" w:eastAsia="Arial" w:hAnsi="Arial"/>
                <w:color w:val="5A3000"/>
                <w:sz w:val="18"/>
                <w:szCs w:val="18"/>
              </w:rPr>
              <w:t xml:space="preserve">Provide Marketing with a technical brief (750 words) explaining what the contract does, the design decisions made, and why those decisions matter for agentic developers</w:t>
            </w:r>
          </w:p>
          <w:p>
            <w:pPr>
              <w:pStyle w:val="ListParagraph"/>
              <w:numPr>
                <w:ilvl w:val="0"/>
                <w:numId w:val="2"/>
              </w:numPr>
              <w:spacing w:before="30" w:after="25"/>
            </w:pPr>
            <w:r>
              <w:rPr>
                <w:rFonts w:ascii="Arial" w:cs="Arial" w:eastAsia="Arial" w:hAnsi="Arial"/>
                <w:color w:val="5A3000"/>
                <w:sz w:val="18"/>
                <w:szCs w:val="18"/>
              </w:rPr>
              <w:t xml:space="preserve">Make a senior engineer available for a 30-minute recorded technical walkthrough that Marketing can publish as companion content</w:t>
            </w:r>
          </w:p>
        </w:tc>
      </w:tr>
    </w:tbl>
    <w:p>
      <w:pPr>
        <w:spacing w:before="40" w:after="0"/>
      </w:pPr>
      <w:r>
        <w:t xml:space="preserve"/>
      </w:r>
    </w:p>
    <w:p>
      <w:pPr>
        <w:spacing w:before="180" w:after="80"/>
      </w:pPr>
      <w:r>
        <w:rPr>
          <w:rFonts w:ascii="Arial" w:cs="Arial" w:eastAsia="Arial" w:hAnsi="Arial"/>
          <w:b/>
          <w:bCs/>
          <w:color w:val="1B2A4A"/>
          <w:sz w:val="22"/>
          <w:szCs w:val="22"/>
        </w:rPr>
        <w:t xml:space="preserve">Marketing Execution (Post-Engineering Delivery)</w:t>
      </w:r>
    </w:p>
    <w:p>
      <w:pPr>
        <w:pStyle w:val="ListParagraph"/>
        <w:numPr>
          <w:ilvl w:val="0"/>
          <w:numId w:val="2"/>
        </w:numPr>
        <w:spacing w:before="40" w:after="40"/>
      </w:pPr>
      <w:r>
        <w:rPr>
          <w:rFonts w:ascii="Arial" w:cs="Arial" w:eastAsia="Arial" w:hAnsi="Arial"/>
          <w:b w:val="false"/>
          <w:bCs w:val="false"/>
          <w:sz w:val="20"/>
          <w:szCs w:val="20"/>
        </w:rPr>
        <w:t xml:space="preserve">Launch blog post: 'Introducing Agent Treasury — the first open-source USD1 balance management implementation'</w:t>
      </w:r>
    </w:p>
    <w:p>
      <w:pPr>
        <w:pStyle w:val="ListParagraph"/>
        <w:numPr>
          <w:ilvl w:val="0"/>
          <w:numId w:val="2"/>
        </w:numPr>
        <w:spacing w:before="40" w:after="40"/>
      </w:pPr>
      <w:r>
        <w:rPr>
          <w:rFonts w:ascii="Arial" w:cs="Arial" w:eastAsia="Arial" w:hAnsi="Arial"/>
          <w:b w:val="false"/>
          <w:bCs w:val="false"/>
          <w:sz w:val="20"/>
          <w:szCs w:val="20"/>
        </w:rPr>
        <w:t xml:space="preserve">GitHub README written for both human and LLM readers</w:t>
      </w:r>
    </w:p>
    <w:p>
      <w:pPr>
        <w:pStyle w:val="ListParagraph"/>
        <w:numPr>
          <w:ilvl w:val="0"/>
          <w:numId w:val="2"/>
        </w:numPr>
        <w:spacing w:before="40" w:after="40"/>
      </w:pPr>
      <w:r>
        <w:rPr>
          <w:rFonts w:ascii="Arial" w:cs="Arial" w:eastAsia="Arial" w:hAnsi="Arial"/>
          <w:b w:val="false"/>
          <w:bCs w:val="false"/>
          <w:sz w:val="20"/>
          <w:szCs w:val="20"/>
        </w:rPr>
        <w:t xml:space="preserve">Thread breakdown of the contract design for X/Twitter and Farcaster developer audiences</w:t>
      </w:r>
    </w:p>
    <w:p>
      <w:pPr>
        <w:pStyle w:val="ListParagraph"/>
        <w:numPr>
          <w:ilvl w:val="0"/>
          <w:numId w:val="2"/>
        </w:numPr>
        <w:spacing w:before="40" w:after="40"/>
      </w:pPr>
      <w:r>
        <w:rPr>
          <w:rFonts w:ascii="Arial" w:cs="Arial" w:eastAsia="Arial" w:hAnsi="Arial"/>
          <w:b w:val="false"/>
          <w:bCs w:val="false"/>
          <w:sz w:val="20"/>
          <w:szCs w:val="20"/>
        </w:rPr>
        <w:t xml:space="preserve">Submit to DeFi developer directories and agent framework documentation pages</w:t>
      </w:r>
    </w:p>
    <w:p>
      <w:r>
        <w:br w:type="page"/>
      </w:r>
    </w:p>
    <w:p>
      <w:pPr>
        <w:pStyle w:val="Heading1"/>
        <w:spacing w:before="320" w:after="120"/>
      </w:pPr>
      <w:r>
        <w:rPr>
          <w:rFonts w:ascii="Arial" w:cs="Arial" w:eastAsia="Arial" w:hAnsi="Arial"/>
          <w:b/>
          <w:bCs/>
          <w:color w:val="1B2A4A"/>
          <w:sz w:val="34"/>
          <w:szCs w:val="34"/>
        </w:rPr>
        <w:t xml:space="preserve">4  Institutional Thought Leadership (5.3)</w:t>
      </w:r>
    </w:p>
    <w:p>
      <w:pPr>
        <w:pBdr>
          <w:bottom w:val="single" w:color="B8972E" w:sz="12" w:space="1"/>
        </w:pBdr>
        <w:spacing w:before="80" w:after="80"/>
      </w:pPr>
      <w:r>
        <w:t xml:space="preserve"/>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The developer content track owns the narrative in builder communities. The institutional thought leadership track owns the narrative in the rooms where capital allocation, regulatory approval, and platform adoption decisions are made. Both tracks must run simultaneously and must tell the same underlying story from different angles.</w:t>
      </w:r>
    </w:p>
    <w:p>
      <w:pPr>
        <w:spacing w:before="60" w:after="0"/>
      </w:pPr>
      <w:r>
        <w:t xml:space="preserve"/>
      </w:r>
    </w:p>
    <w:p>
      <w:pPr>
        <w:pStyle w:val="Heading2"/>
        <w:spacing w:before="240" w:after="100"/>
      </w:pPr>
      <w:r>
        <w:rPr>
          <w:rFonts w:ascii="Arial" w:cs="Arial" w:eastAsia="Arial" w:hAnsi="Arial"/>
          <w:b/>
          <w:bCs/>
          <w:color w:val="3A5A8C"/>
          <w:sz w:val="26"/>
          <w:szCs w:val="26"/>
        </w:rPr>
        <w:t xml:space="preserve">4.1  Independent Economic Study: 'The Scale of the Agentic Economy by 2030'</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Commission and publish independent third-party research establishing the market size narrative that justifies USD1's positioning. This is not a WLFI white paper — it must be authored by a credible, independent economic research firm to carry institutional weight.</w:t>
      </w:r>
    </w:p>
    <w:p>
      <w:pPr>
        <w:spacing w:before="40" w:after="0"/>
      </w:pPr>
      <w:r>
        <w:t xml:space="preserve"/>
      </w:r>
    </w:p>
    <w:p>
      <w:pPr>
        <w:spacing w:before="180" w:after="80"/>
      </w:pPr>
      <w:r>
        <w:rPr>
          <w:rFonts w:ascii="Arial" w:cs="Arial" w:eastAsia="Arial" w:hAnsi="Arial"/>
          <w:b/>
          <w:bCs/>
          <w:color w:val="1B2A4A"/>
          <w:sz w:val="22"/>
          <w:szCs w:val="22"/>
        </w:rPr>
        <w:t xml:space="preserve">What the Study Must Establish</w:t>
      </w:r>
    </w:p>
    <w:p>
      <w:pPr>
        <w:pStyle w:val="ListParagraph"/>
        <w:numPr>
          <w:ilvl w:val="0"/>
          <w:numId w:val="2"/>
        </w:numPr>
        <w:spacing w:before="40" w:after="40"/>
      </w:pPr>
      <w:r>
        <w:rPr>
          <w:rFonts w:ascii="Arial" w:cs="Arial" w:eastAsia="Arial" w:hAnsi="Arial"/>
          <w:b w:val="false"/>
          <w:bCs w:val="false"/>
          <w:sz w:val="20"/>
          <w:szCs w:val="20"/>
        </w:rPr>
        <w:t xml:space="preserve">Total addressable market for agentic payments by 2030 — denominated in transaction volume and dollar settlement value</w:t>
      </w:r>
    </w:p>
    <w:p>
      <w:pPr>
        <w:pStyle w:val="ListParagraph"/>
        <w:numPr>
          <w:ilvl w:val="0"/>
          <w:numId w:val="2"/>
        </w:numPr>
        <w:spacing w:before="40" w:after="40"/>
      </w:pPr>
      <w:r>
        <w:rPr>
          <w:rFonts w:ascii="Arial" w:cs="Arial" w:eastAsia="Arial" w:hAnsi="Arial"/>
          <w:b w:val="false"/>
          <w:bCs w:val="false"/>
          <w:sz w:val="20"/>
          <w:szCs w:val="20"/>
        </w:rPr>
        <w:t xml:space="preserve">Current trajectory based on measurable leading indicators (agent platform growth rates, AI API transaction volumes, agentic coding environment adoption)</w:t>
      </w:r>
    </w:p>
    <w:p>
      <w:pPr>
        <w:pStyle w:val="ListParagraph"/>
        <w:numPr>
          <w:ilvl w:val="0"/>
          <w:numId w:val="2"/>
        </w:numPr>
        <w:spacing w:before="40" w:after="40"/>
      </w:pPr>
      <w:r>
        <w:rPr>
          <w:rFonts w:ascii="Arial" w:cs="Arial" w:eastAsia="Arial" w:hAnsi="Arial"/>
          <w:b w:val="false"/>
          <w:bCs w:val="false"/>
          <w:sz w:val="20"/>
          <w:szCs w:val="20"/>
        </w:rPr>
        <w:t xml:space="preserve">The stablecoin settlement layer opportunity — why agentic economic activity requires programmable, machine-readable currency</w:t>
      </w:r>
    </w:p>
    <w:p>
      <w:pPr>
        <w:pStyle w:val="ListParagraph"/>
        <w:numPr>
          <w:ilvl w:val="0"/>
          <w:numId w:val="2"/>
        </w:numPr>
        <w:spacing w:before="40" w:after="40"/>
      </w:pPr>
      <w:r>
        <w:rPr>
          <w:rFonts w:ascii="Arial" w:cs="Arial" w:eastAsia="Arial" w:hAnsi="Arial"/>
          <w:b w:val="false"/>
          <w:bCs w:val="false"/>
          <w:sz w:val="20"/>
          <w:szCs w:val="20"/>
        </w:rPr>
        <w:t xml:space="preserve">USD1's positioning within that opportunity — this is the one section WLFI contributes framing to, while the research firm authors the analysis</w:t>
      </w:r>
    </w:p>
    <w:p>
      <w:pPr>
        <w:spacing w:before="40" w:after="0"/>
      </w:pPr>
      <w:r>
        <w:t xml:space="preserve"/>
      </w:r>
    </w:p>
    <w:p>
      <w:pPr>
        <w:spacing w:before="180" w:after="80"/>
      </w:pPr>
      <w:r>
        <w:rPr>
          <w:rFonts w:ascii="Arial" w:cs="Arial" w:eastAsia="Arial" w:hAnsi="Arial"/>
          <w:b/>
          <w:bCs/>
          <w:color w:val="1B2A4A"/>
          <w:sz w:val="22"/>
          <w:szCs w:val="22"/>
        </w:rPr>
        <w:t xml:space="preserve">Execution</w:t>
      </w:r>
    </w:p>
    <w:p>
      <w:pPr>
        <w:pStyle w:val="ListParagraph"/>
        <w:numPr>
          <w:ilvl w:val="0"/>
          <w:numId w:val="2"/>
        </w:numPr>
        <w:spacing w:before="40" w:after="40"/>
      </w:pPr>
      <w:r>
        <w:rPr>
          <w:rFonts w:ascii="Arial" w:cs="Arial" w:eastAsia="Arial" w:hAnsi="Arial"/>
          <w:b w:val="false"/>
          <w:bCs w:val="false"/>
          <w:sz w:val="20"/>
          <w:szCs w:val="20"/>
        </w:rPr>
        <w:t xml:space="preserve">Identify and engage research firm within 30 days (target: Bernstein, Chainalysis Research, Messari, or equivalent institutional-grade crypto research firm)</w:t>
      </w:r>
    </w:p>
    <w:p>
      <w:pPr>
        <w:pStyle w:val="ListParagraph"/>
        <w:numPr>
          <w:ilvl w:val="0"/>
          <w:numId w:val="2"/>
        </w:numPr>
        <w:spacing w:before="40" w:after="40"/>
      </w:pPr>
      <w:r>
        <w:rPr>
          <w:rFonts w:ascii="Arial" w:cs="Arial" w:eastAsia="Arial" w:hAnsi="Arial"/>
          <w:b w:val="false"/>
          <w:bCs w:val="false"/>
          <w:sz w:val="20"/>
          <w:szCs w:val="20"/>
        </w:rPr>
        <w:t xml:space="preserve">Draft terms of reference and scope of work — Marketing leads, Legal reviews</w:t>
      </w:r>
    </w:p>
    <w:p>
      <w:pPr>
        <w:pStyle w:val="ListParagraph"/>
        <w:numPr>
          <w:ilvl w:val="0"/>
          <w:numId w:val="2"/>
        </w:numPr>
        <w:spacing w:before="40" w:after="40"/>
      </w:pPr>
      <w:r>
        <w:rPr>
          <w:rFonts w:ascii="Arial" w:cs="Arial" w:eastAsia="Arial" w:hAnsi="Arial"/>
          <w:b w:val="false"/>
          <w:bCs w:val="false"/>
          <w:sz w:val="20"/>
          <w:szCs w:val="20"/>
        </w:rPr>
        <w:t xml:space="preserve">Target publication date: 120 days from today</w:t>
      </w:r>
    </w:p>
    <w:p>
      <w:pPr>
        <w:pStyle w:val="ListParagraph"/>
        <w:numPr>
          <w:ilvl w:val="0"/>
          <w:numId w:val="2"/>
        </w:numPr>
        <w:spacing w:before="40" w:after="40"/>
      </w:pPr>
      <w:r>
        <w:rPr>
          <w:rFonts w:ascii="Arial" w:cs="Arial" w:eastAsia="Arial" w:hAnsi="Arial"/>
          <w:b w:val="false"/>
          <w:bCs w:val="false"/>
          <w:sz w:val="20"/>
          <w:szCs w:val="20"/>
        </w:rPr>
        <w:t xml:space="preserve">Distribution: simultaneously to financial media, institutional investor lists, and as a downloadable resource on WLFI properties</w:t>
      </w:r>
    </w:p>
    <w:p>
      <w:pPr>
        <w:spacing w:before="40" w:after="0"/>
      </w:pPr>
      <w:r>
        <w:t xml:space="preserve"/>
      </w:r>
    </w:p>
    <w:p>
      <w:pPr>
        <w:spacing w:before="180" w:after="80"/>
      </w:pPr>
      <w:r>
        <w:rPr>
          <w:rFonts w:ascii="Arial" w:cs="Arial" w:eastAsia="Arial" w:hAnsi="Arial"/>
          <w:b/>
          <w:bCs/>
          <w:color w:val="1B2A4A"/>
          <w:sz w:val="22"/>
          <w:szCs w:val="22"/>
        </w:rPr>
        <w:t xml:space="preserve">How to Use the Study</w:t>
      </w:r>
    </w:p>
    <w:p>
      <w:pPr>
        <w:spacing w:before="60" w:after="80"/>
        <w:jc w:val="left"/>
      </w:pPr>
      <w:r>
        <w:rPr>
          <w:rFonts w:ascii="Arial" w:cs="Arial" w:eastAsia="Arial" w:hAnsi="Arial"/>
          <w:b w:val="false"/>
          <w:bCs w:val="false"/>
          <w:i w:val="false"/>
          <w:iCs w:val="false"/>
          <w:color w:val="222222"/>
          <w:sz w:val="20"/>
          <w:szCs w:val="20"/>
        </w:rPr>
        <w:t xml:space="preserve">The study becomes a multi-use asset. Every institutional meeting, every OCC submission, every G42 partnership discussion, every press inquiry about USD1's long-term position should be accompanied by or reference this research. It provides the third-party validation that converts WLFI's internal conviction into an externally credible market thesis.</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4.2  WLFI White Paper: 'USD1 as Critical Infrastructure for the Agentic Economy'</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Publish a formal WLFI white paper written for sovereign wealth funds, central banks, and institutional investors — not for general market or press consumption. This is a long-form, technically specific document that establishes USD1's institutional credentials.</w:t>
      </w:r>
    </w:p>
    <w:p>
      <w:pPr>
        <w:spacing w:before="40" w:after="0"/>
      </w:pPr>
      <w:r>
        <w:t xml:space="preserve"/>
      </w:r>
    </w:p>
    <w:p>
      <w:pPr>
        <w:spacing w:before="180" w:after="80"/>
      </w:pPr>
      <w:r>
        <w:rPr>
          <w:rFonts w:ascii="Arial" w:cs="Arial" w:eastAsia="Arial" w:hAnsi="Arial"/>
          <w:b/>
          <w:bCs/>
          <w:color w:val="1B2A4A"/>
          <w:sz w:val="22"/>
          <w:szCs w:val="22"/>
        </w:rPr>
        <w:t xml:space="preserve">Audience &amp; Tone</w:t>
      </w:r>
    </w:p>
    <w:p>
      <w:pPr>
        <w:spacing w:before="60" w:after="80"/>
        <w:jc w:val="left"/>
      </w:pPr>
      <w:r>
        <w:rPr>
          <w:rFonts w:ascii="Arial" w:cs="Arial" w:eastAsia="Arial" w:hAnsi="Arial"/>
          <w:b w:val="false"/>
          <w:bCs w:val="false"/>
          <w:i w:val="false"/>
          <w:iCs w:val="false"/>
          <w:color w:val="222222"/>
          <w:sz w:val="20"/>
          <w:szCs w:val="20"/>
        </w:rPr>
        <w:t xml:space="preserve">Assume the reader is: a sovereign wealth fund CIO, a central bank digital currency working group lead, or an institutional treasury manager. They are skeptical of crypto marketing. They have read Circle's and Tether's institutional materials. They have compliance and legal teams that will review whatever WLFI publishes. Write accordingly — factual, specific, no superlatives that cannot be backed by cited data.</w:t>
      </w:r>
    </w:p>
    <w:p>
      <w:pPr>
        <w:spacing w:before="40" w:after="0"/>
      </w:pPr>
      <w:r>
        <w:t xml:space="preserve"/>
      </w:r>
    </w:p>
    <w:p>
      <w:pPr>
        <w:spacing w:before="180" w:after="80"/>
      </w:pPr>
      <w:r>
        <w:rPr>
          <w:rFonts w:ascii="Arial" w:cs="Arial" w:eastAsia="Arial" w:hAnsi="Arial"/>
          <w:b/>
          <w:bCs/>
          <w:color w:val="1B2A4A"/>
          <w:sz w:val="22"/>
          <w:szCs w:val="22"/>
        </w:rPr>
        <w:t xml:space="preserve">Required Sections</w:t>
      </w:r>
    </w:p>
    <w:p>
      <w:pPr>
        <w:pStyle w:val="ListParagraph"/>
        <w:numPr>
          <w:ilvl w:val="0"/>
          <w:numId w:val="2"/>
        </w:numPr>
        <w:spacing w:before="40" w:after="40"/>
      </w:pPr>
      <w:r>
        <w:rPr>
          <w:rFonts w:ascii="Arial" w:cs="Arial" w:eastAsia="Arial" w:hAnsi="Arial"/>
          <w:b w:val="false"/>
          <w:bCs w:val="false"/>
          <w:sz w:val="20"/>
          <w:szCs w:val="20"/>
        </w:rPr>
        <w:t xml:space="preserve">USD1 Architecture Overview: multi-chain deployment, real-time proof of reserves, EIP-3009 implementation</w:t>
      </w:r>
    </w:p>
    <w:p>
      <w:pPr>
        <w:pStyle w:val="ListParagraph"/>
        <w:numPr>
          <w:ilvl w:val="0"/>
          <w:numId w:val="2"/>
        </w:numPr>
        <w:spacing w:before="40" w:after="40"/>
      </w:pPr>
      <w:r>
        <w:rPr>
          <w:rFonts w:ascii="Arial" w:cs="Arial" w:eastAsia="Arial" w:hAnsi="Arial"/>
          <w:b w:val="false"/>
          <w:bCs w:val="false"/>
          <w:sz w:val="20"/>
          <w:szCs w:val="20"/>
        </w:rPr>
        <w:t xml:space="preserve">Reserve Composition and Management: current composition, Big Four attestation schedule, reserve policy</w:t>
      </w:r>
    </w:p>
    <w:p>
      <w:pPr>
        <w:pStyle w:val="ListParagraph"/>
        <w:numPr>
          <w:ilvl w:val="0"/>
          <w:numId w:val="2"/>
        </w:numPr>
        <w:spacing w:before="40" w:after="40"/>
      </w:pPr>
      <w:r>
        <w:rPr>
          <w:rFonts w:ascii="Arial" w:cs="Arial" w:eastAsia="Arial" w:hAnsi="Arial"/>
          <w:b w:val="false"/>
          <w:bCs w:val="false"/>
          <w:sz w:val="20"/>
          <w:szCs w:val="20"/>
        </w:rPr>
        <w:t xml:space="preserve">Regulatory Status: OCC filing, MiCA in-process, GENIUS Act compliance framework</w:t>
      </w:r>
    </w:p>
    <w:p>
      <w:pPr>
        <w:pStyle w:val="ListParagraph"/>
        <w:numPr>
          <w:ilvl w:val="0"/>
          <w:numId w:val="2"/>
        </w:numPr>
        <w:spacing w:before="40" w:after="40"/>
      </w:pPr>
      <w:r>
        <w:rPr>
          <w:rFonts w:ascii="Arial" w:cs="Arial" w:eastAsia="Arial" w:hAnsi="Arial"/>
          <w:b w:val="false"/>
          <w:bCs w:val="false"/>
          <w:sz w:val="20"/>
          <w:szCs w:val="20"/>
        </w:rPr>
        <w:t xml:space="preserve">Agentic Economy Use Cases: three institutional-grade case studies of agent payment settlement</w:t>
      </w:r>
    </w:p>
    <w:p>
      <w:pPr>
        <w:pStyle w:val="ListParagraph"/>
        <w:numPr>
          <w:ilvl w:val="0"/>
          <w:numId w:val="2"/>
        </w:numPr>
        <w:spacing w:before="40" w:after="40"/>
      </w:pPr>
      <w:r>
        <w:rPr>
          <w:rFonts w:ascii="Arial" w:cs="Arial" w:eastAsia="Arial" w:hAnsi="Arial"/>
          <w:b w:val="false"/>
          <w:bCs w:val="false"/>
          <w:sz w:val="20"/>
          <w:szCs w:val="20"/>
        </w:rPr>
        <w:t xml:space="preserve">Risk Framework: what WLFI has done to address each category of institutional risk concern</w:t>
      </w:r>
    </w:p>
    <w:p>
      <w:pPr>
        <w:pStyle w:val="ListParagraph"/>
        <w:numPr>
          <w:ilvl w:val="0"/>
          <w:numId w:val="2"/>
        </w:numPr>
        <w:spacing w:before="40" w:after="40"/>
      </w:pPr>
      <w:r>
        <w:rPr>
          <w:rFonts w:ascii="Arial" w:cs="Arial" w:eastAsia="Arial" w:hAnsi="Arial"/>
          <w:b w:val="false"/>
          <w:bCs w:val="false"/>
          <w:sz w:val="20"/>
          <w:szCs w:val="20"/>
        </w:rPr>
        <w:t xml:space="preserve">Appendix: Technical specifications, compliance documentation index, contact information for institutional inquiries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The white paper's technical sections — architecture, reserve proof, EIP-3009 implementation — require Engineering review and sign-off before publication. A factual error in an institutional white paper is a credibility-ending event.</w:t>
            </w:r>
          </w:p>
          <w:p>
            <w:pPr>
              <w:pStyle w:val="ListParagraph"/>
              <w:numPr>
                <w:ilvl w:val="0"/>
                <w:numId w:val="2"/>
              </w:numPr>
              <w:spacing w:before="30" w:after="25"/>
            </w:pPr>
            <w:r>
              <w:rPr>
                <w:rFonts w:ascii="Arial" w:cs="Arial" w:eastAsia="Arial" w:hAnsi="Arial"/>
                <w:color w:val="5A3000"/>
                <w:sz w:val="18"/>
                <w:szCs w:val="18"/>
              </w:rPr>
              <w:t xml:space="preserve">Review and approve all technical claims in the Architecture Overview section before Marketing finalizes the document</w:t>
            </w:r>
          </w:p>
          <w:p>
            <w:pPr>
              <w:pStyle w:val="ListParagraph"/>
              <w:numPr>
                <w:ilvl w:val="0"/>
                <w:numId w:val="2"/>
              </w:numPr>
              <w:spacing w:before="30" w:after="25"/>
            </w:pPr>
            <w:r>
              <w:rPr>
                <w:rFonts w:ascii="Arial" w:cs="Arial" w:eastAsia="Arial" w:hAnsi="Arial"/>
                <w:color w:val="5A3000"/>
                <w:sz w:val="18"/>
                <w:szCs w:val="18"/>
              </w:rPr>
              <w:t xml:space="preserve">Provide a current, accurate diagram of USD1's multi-chain deployment architecture for inclusion</w:t>
            </w:r>
          </w:p>
          <w:p>
            <w:pPr>
              <w:pStyle w:val="ListParagraph"/>
              <w:numPr>
                <w:ilvl w:val="0"/>
                <w:numId w:val="2"/>
              </w:numPr>
              <w:spacing w:before="30" w:after="25"/>
            </w:pPr>
            <w:r>
              <w:rPr>
                <w:rFonts w:ascii="Arial" w:cs="Arial" w:eastAsia="Arial" w:hAnsi="Arial"/>
                <w:color w:val="5A3000"/>
                <w:sz w:val="18"/>
                <w:szCs w:val="18"/>
              </w:rPr>
              <w:t xml:space="preserve">Confirm the real-time proof of reserves API endpoint and verify it will be stable and maintained at the URL cited in the paper</w:t>
            </w:r>
          </w:p>
          <w:p>
            <w:pPr>
              <w:pStyle w:val="ListParagraph"/>
              <w:numPr>
                <w:ilvl w:val="0"/>
                <w:numId w:val="2"/>
              </w:numPr>
              <w:spacing w:before="30" w:after="25"/>
            </w:pPr>
            <w:r>
              <w:rPr>
                <w:rFonts w:ascii="Arial" w:cs="Arial" w:eastAsia="Arial" w:hAnsi="Arial"/>
                <w:color w:val="5A3000"/>
                <w:sz w:val="18"/>
                <w:szCs w:val="18"/>
              </w:rPr>
              <w:t xml:space="preserve">Provide a technical summary of EIP-3009 implementation — what was done, why it matters, what it enables — for Marketing to adapt into institutional language</w:t>
            </w:r>
          </w:p>
        </w:tc>
      </w:tr>
    </w:tbl>
    <w:p>
      <w:pPr>
        <w:spacing w:before="40" w:after="0"/>
      </w:pPr>
      <w:r>
        <w:t xml:space="preserve"/>
      </w:r>
    </w:p>
    <w:p>
      <w:pPr>
        <w:spacing w:before="180" w:after="80"/>
      </w:pPr>
      <w:r>
        <w:rPr>
          <w:rFonts w:ascii="Arial" w:cs="Arial" w:eastAsia="Arial" w:hAnsi="Arial"/>
          <w:b/>
          <w:bCs/>
          <w:color w:val="1B2A4A"/>
          <w:sz w:val="22"/>
          <w:szCs w:val="22"/>
        </w:rPr>
        <w:t xml:space="preserve">Timeline</w:t>
      </w:r>
    </w:p>
    <w:p>
      <w:pPr>
        <w:pStyle w:val="ListParagraph"/>
        <w:numPr>
          <w:ilvl w:val="0"/>
          <w:numId w:val="2"/>
        </w:numPr>
        <w:spacing w:before="40" w:after="40"/>
      </w:pPr>
      <w:r>
        <w:rPr>
          <w:rFonts w:ascii="Arial" w:cs="Arial" w:eastAsia="Arial" w:hAnsi="Arial"/>
          <w:b w:val="false"/>
          <w:bCs w:val="false"/>
          <w:sz w:val="20"/>
          <w:szCs w:val="20"/>
        </w:rPr>
        <w:t xml:space="preserve">First draft: 60 days from today</w:t>
      </w:r>
    </w:p>
    <w:p>
      <w:pPr>
        <w:pStyle w:val="ListParagraph"/>
        <w:numPr>
          <w:ilvl w:val="0"/>
          <w:numId w:val="2"/>
        </w:numPr>
        <w:spacing w:before="40" w:after="40"/>
      </w:pPr>
      <w:r>
        <w:rPr>
          <w:rFonts w:ascii="Arial" w:cs="Arial" w:eastAsia="Arial" w:hAnsi="Arial"/>
          <w:b w:val="false"/>
          <w:bCs w:val="false"/>
          <w:sz w:val="20"/>
          <w:szCs w:val="20"/>
        </w:rPr>
        <w:t xml:space="preserve">Legal and Engineering review: 75 days</w:t>
      </w:r>
    </w:p>
    <w:p>
      <w:pPr>
        <w:pStyle w:val="ListParagraph"/>
        <w:numPr>
          <w:ilvl w:val="0"/>
          <w:numId w:val="2"/>
        </w:numPr>
        <w:spacing w:before="40" w:after="40"/>
      </w:pPr>
      <w:r>
        <w:rPr>
          <w:rFonts w:ascii="Arial" w:cs="Arial" w:eastAsia="Arial" w:hAnsi="Arial"/>
          <w:b w:val="false"/>
          <w:bCs w:val="false"/>
          <w:sz w:val="20"/>
          <w:szCs w:val="20"/>
        </w:rPr>
        <w:t xml:space="preserve">Publication: 90 days from today</w:t>
      </w:r>
    </w:p>
    <w:p>
      <w:pPr>
        <w:pStyle w:val="ListParagraph"/>
        <w:numPr>
          <w:ilvl w:val="0"/>
          <w:numId w:val="2"/>
        </w:numPr>
        <w:spacing w:before="40" w:after="40"/>
      </w:pPr>
      <w:r>
        <w:rPr>
          <w:rFonts w:ascii="Arial" w:cs="Arial" w:eastAsia="Arial" w:hAnsi="Arial"/>
          <w:b w:val="false"/>
          <w:bCs w:val="false"/>
          <w:sz w:val="20"/>
          <w:szCs w:val="20"/>
        </w:rPr>
        <w:t xml:space="preserve">Simultaneous distribution to WLFI institutional contact list, sovereign wealth fund relationships, and relevant regulatory contacts</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4.3  Executive Keynote &amp; Speaking Strategy</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Position Zak and WLFI leadership as the definitive voices on the intersection of stablecoins and the agentic economy. Speaking engagements at key events are the highest-density channel for reaching institutional and developer decision-makers simultaneously.</w:t>
      </w:r>
    </w:p>
    <w:p>
      <w:pPr>
        <w:spacing w:before="40" w:after="0"/>
      </w:pPr>
      <w:r>
        <w:t xml:space="preserve"/>
      </w:r>
    </w:p>
    <w:p>
      <w:pPr>
        <w:spacing w:before="180" w:after="80"/>
      </w:pPr>
      <w:r>
        <w:rPr>
          <w:rFonts w:ascii="Arial" w:cs="Arial" w:eastAsia="Arial" w:hAnsi="Arial"/>
          <w:b/>
          <w:bCs/>
          <w:color w:val="1B2A4A"/>
          <w:sz w:val="22"/>
          <w:szCs w:val="22"/>
        </w:rPr>
        <w:t xml:space="preserve">Priority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Event</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Audience &amp; Strategic Purpose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Consensus (CoinDesk)</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Crypto and institutional audience — establish USD1's agentic narrative with the mainstream crypto press and institutional attendees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Token2049</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Global institutional and developer audience — reinforce USD1's market position with a data-led keynote on agentic payments growth</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G42 / Sovereign AI Events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Sovereign wealth funds, government technology leaders, G42 portfolio — must be coordinated with G42 directly; Marketing facilitates, not leads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Anthropic / AI Lab Events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Developer-first audience — technical keynote positioning USD1 as the payment layer for agent-to-agent economies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Money 20/20</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Financial institution audience — institutional track keynote on GENIUS Act, OCC status, and USD1 as enterprise stablecoin infrastructure</w:t>
            </w:r>
          </w:p>
        </w:tc>
      </w:tr>
    </w:tbl>
    <w:p>
      <w:pPr>
        <w:spacing w:before="40" w:after="0"/>
      </w:pPr>
      <w:r>
        <w:t xml:space="preserve"/>
      </w:r>
    </w:p>
    <w:p>
      <w:pPr>
        <w:spacing w:before="180" w:after="80"/>
      </w:pPr>
      <w:r>
        <w:rPr>
          <w:rFonts w:ascii="Arial" w:cs="Arial" w:eastAsia="Arial" w:hAnsi="Arial"/>
          <w:b/>
          <w:bCs/>
          <w:color w:val="1B2A4A"/>
          <w:sz w:val="22"/>
          <w:szCs w:val="22"/>
        </w:rPr>
        <w:t xml:space="preserve">Keynote Content Principles</w:t>
      </w:r>
    </w:p>
    <w:p>
      <w:pPr>
        <w:pStyle w:val="ListParagraph"/>
        <w:numPr>
          <w:ilvl w:val="0"/>
          <w:numId w:val="2"/>
        </w:numPr>
        <w:spacing w:before="40" w:after="40"/>
      </w:pPr>
      <w:r>
        <w:rPr>
          <w:rFonts w:ascii="Arial" w:cs="Arial" w:eastAsia="Arial" w:hAnsi="Arial"/>
          <w:b w:val="false"/>
          <w:bCs w:val="false"/>
          <w:sz w:val="20"/>
          <w:szCs w:val="20"/>
        </w:rPr>
        <w:t xml:space="preserve">Lead with the market data, not with USD1 — establish the agentic economy opportunity first, then position USD1 as the infrastructure answer</w:t>
      </w:r>
    </w:p>
    <w:p>
      <w:pPr>
        <w:pStyle w:val="ListParagraph"/>
        <w:numPr>
          <w:ilvl w:val="0"/>
          <w:numId w:val="2"/>
        </w:numPr>
        <w:spacing w:before="40" w:after="40"/>
      </w:pPr>
      <w:r>
        <w:rPr>
          <w:rFonts w:ascii="Arial" w:cs="Arial" w:eastAsia="Arial" w:hAnsi="Arial"/>
          <w:b w:val="false"/>
          <w:bCs w:val="false"/>
          <w:sz w:val="20"/>
          <w:szCs w:val="20"/>
        </w:rPr>
        <w:t xml:space="preserve">Every keynote must include at least one live demo or on-screen demonstration of USD1 technical capability — not slides about features</w:t>
      </w:r>
    </w:p>
    <w:p>
      <w:pPr>
        <w:pStyle w:val="ListParagraph"/>
        <w:numPr>
          <w:ilvl w:val="0"/>
          <w:numId w:val="2"/>
        </w:numPr>
        <w:spacing w:before="40" w:after="40"/>
      </w:pPr>
      <w:r>
        <w:rPr>
          <w:rFonts w:ascii="Arial" w:cs="Arial" w:eastAsia="Arial" w:hAnsi="Arial"/>
          <w:b w:val="false"/>
          <w:bCs w:val="false"/>
          <w:sz w:val="20"/>
          <w:szCs w:val="20"/>
        </w:rPr>
        <w:t xml:space="preserve">Q&amp;A preparation: anticipate the 'political association' question and the 'USDC comparison' question — both need rehearsed, factual, non-defensive answers</w:t>
      </w:r>
    </w:p>
    <w:p>
      <w:pPr>
        <w:pStyle w:val="ListParagraph"/>
        <w:numPr>
          <w:ilvl w:val="0"/>
          <w:numId w:val="2"/>
        </w:numPr>
        <w:spacing w:before="40" w:after="40"/>
      </w:pPr>
      <w:r>
        <w:rPr>
          <w:rFonts w:ascii="Arial" w:cs="Arial" w:eastAsia="Arial" w:hAnsi="Arial"/>
          <w:b w:val="false"/>
          <w:bCs w:val="false"/>
          <w:sz w:val="20"/>
          <w:szCs w:val="20"/>
        </w:rPr>
        <w:t xml:space="preserve">Post-keynote: publish the full slide deck, transcript, and a written summary within 48 hours — keynote content has a second life as digital distribution</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4.4  'Fastest-Growing Stablecoin in History' Press Narrative</w:t>
      </w:r>
    </w:p>
    <w:p>
      <w:pPr>
        <w:spacing w:before="180" w:after="80"/>
      </w:pPr>
      <w:r>
        <w:rPr>
          <w:rFonts w:ascii="Arial" w:cs="Arial" w:eastAsia="Arial" w:hAnsi="Arial"/>
          <w:b/>
          <w:bCs/>
          <w:color w:val="1B2A4A"/>
          <w:sz w:val="22"/>
          <w:szCs w:val="22"/>
        </w:rPr>
        <w:t xml:space="preserve">Objective</w:t>
      </w:r>
    </w:p>
    <w:p>
      <w:pPr>
        <w:spacing w:before="60" w:after="80"/>
        <w:jc w:val="left"/>
      </w:pPr>
      <w:r>
        <w:rPr>
          <w:rFonts w:ascii="Arial" w:cs="Arial" w:eastAsia="Arial" w:hAnsi="Arial"/>
          <w:b w:val="false"/>
          <w:bCs w:val="false"/>
          <w:i w:val="false"/>
          <w:iCs w:val="false"/>
          <w:color w:val="222222"/>
          <w:sz w:val="20"/>
          <w:szCs w:val="20"/>
        </w:rPr>
        <w:t xml:space="preserve">USD1 reaching $4.5B in under 12 months versus Circle's 3.5 years to $2B is one of the most powerful growth narratives in financial technology. This story should not be discovered by journalists — it should be told by WLFI, with the framing WLFI controls.</w:t>
      </w:r>
    </w:p>
    <w:p>
      <w:pPr>
        <w:spacing w:before="40" w:after="0"/>
      </w:pPr>
      <w:r>
        <w:t xml:space="preserve"/>
      </w:r>
    </w:p>
    <w:p>
      <w:pPr>
        <w:spacing w:before="180" w:after="80"/>
      </w:pPr>
      <w:r>
        <w:rPr>
          <w:rFonts w:ascii="Arial" w:cs="Arial" w:eastAsia="Arial" w:hAnsi="Arial"/>
          <w:b/>
          <w:bCs/>
          <w:color w:val="1B2A4A"/>
          <w:sz w:val="22"/>
          <w:szCs w:val="22"/>
        </w:rPr>
        <w:t xml:space="preserve">Execution</w:t>
      </w:r>
    </w:p>
    <w:p>
      <w:pPr>
        <w:pStyle w:val="ListParagraph"/>
        <w:numPr>
          <w:ilvl w:val="0"/>
          <w:numId w:val="2"/>
        </w:numPr>
        <w:spacing w:before="40" w:after="40"/>
      </w:pPr>
      <w:r>
        <w:rPr>
          <w:rFonts w:ascii="Arial" w:cs="Arial" w:eastAsia="Arial" w:hAnsi="Arial"/>
          <w:b w:val="false"/>
          <w:bCs w:val="false"/>
          <w:sz w:val="20"/>
          <w:szCs w:val="20"/>
        </w:rPr>
        <w:t xml:space="preserve">Build a dedicated data story: 'USD1 Growth vs. Stablecoin History' — a visual, citable comparison that WLFI publishes and updates as milestones are reached</w:t>
      </w:r>
    </w:p>
    <w:p>
      <w:pPr>
        <w:pStyle w:val="ListParagraph"/>
        <w:numPr>
          <w:ilvl w:val="0"/>
          <w:numId w:val="2"/>
        </w:numPr>
        <w:spacing w:before="40" w:after="40"/>
      </w:pPr>
      <w:r>
        <w:rPr>
          <w:rFonts w:ascii="Arial" w:cs="Arial" w:eastAsia="Arial" w:hAnsi="Arial"/>
          <w:b w:val="false"/>
          <w:bCs w:val="false"/>
          <w:sz w:val="20"/>
          <w:szCs w:val="20"/>
        </w:rPr>
        <w:t xml:space="preserve">Develop a press kit specifically for this narrative: growth chart, milestone timeline, key statistics, executive quotes</w:t>
      </w:r>
    </w:p>
    <w:p>
      <w:pPr>
        <w:pStyle w:val="ListParagraph"/>
        <w:numPr>
          <w:ilvl w:val="0"/>
          <w:numId w:val="2"/>
        </w:numPr>
        <w:spacing w:before="40" w:after="40"/>
      </w:pPr>
      <w:r>
        <w:rPr>
          <w:rFonts w:ascii="Arial" w:cs="Arial" w:eastAsia="Arial" w:hAnsi="Arial"/>
          <w:b w:val="false"/>
          <w:bCs w:val="false"/>
          <w:sz w:val="20"/>
          <w:szCs w:val="20"/>
        </w:rPr>
        <w:t xml:space="preserve">Identify and brief 3-5 tier-1 financial media contacts before milestone announcements — do not let other outlets frame the story first</w:t>
      </w:r>
    </w:p>
    <w:p>
      <w:pPr>
        <w:pStyle w:val="ListParagraph"/>
        <w:numPr>
          <w:ilvl w:val="0"/>
          <w:numId w:val="2"/>
        </w:numPr>
        <w:spacing w:before="40" w:after="40"/>
      </w:pPr>
      <w:r>
        <w:rPr>
          <w:rFonts w:ascii="Arial" w:cs="Arial" w:eastAsia="Arial" w:hAnsi="Arial"/>
          <w:b w:val="false"/>
          <w:bCs w:val="false"/>
          <w:sz w:val="20"/>
          <w:szCs w:val="20"/>
        </w:rPr>
        <w:t xml:space="preserve">Milestone trigger system: pre-draft press outreach templates for $5B, $7.5B, $10B, and every $5B increment thereafter — announcements should be immediate, not reactive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24"/>
              <w:bottom w:val="single" w:color="D4A017" w:sz="6"/>
              <w:right w:val="single" w:color="D4A017" w:sz="2"/>
            </w:tcBorders>
            <w:shd w:fill="FFF8EC" w:val="clear"/>
            <w:tcMar>
              <w:top w:type="dxa" w:w="120"/>
              <w:left w:type="dxa" w:w="200"/>
              <w:bottom w:type="dxa" w:w="120"/>
              <w:right w:type="dxa" w:w="160"/>
            </w:tcMar>
          </w:tcPr>
          <w:p>
            <w:pPr>
              <w:spacing w:before="40" w:after="60"/>
            </w:pPr>
            <w:r>
              <w:rPr>
                <w:rFonts w:ascii="Arial" w:cs="Arial" w:eastAsia="Arial" w:hAnsi="Arial"/>
                <w:b/>
                <w:bCs/>
                <w:color w:val="7B3F00"/>
                <w:sz w:val="18"/>
                <w:szCs w:val="18"/>
              </w:rPr>
              <w:t xml:space="preserve">⚙  ENGINEERING DEPENDENCY  </w:t>
            </w:r>
            <w:r>
              <w:rPr>
                <w:rFonts w:ascii="Arial" w:cs="Arial" w:eastAsia="Arial" w:hAnsi="Arial"/>
                <w:b w:val="false"/>
                <w:bCs w:val="false"/>
                <w:color w:val="7B3F00"/>
                <w:sz w:val="18"/>
                <w:szCs w:val="18"/>
              </w:rPr>
              <w:t xml:space="preserve">— Action Required from Engineering Team</w:t>
            </w:r>
          </w:p>
          <w:p>
            <w:pPr>
              <w:spacing w:before="20" w:after="40"/>
            </w:pPr>
            <w:r>
              <w:rPr>
                <w:rFonts w:ascii="Arial" w:cs="Arial" w:eastAsia="Arial" w:hAnsi="Arial"/>
                <w:b w:val="false"/>
                <w:bCs w:val="false"/>
                <w:color w:val="1A1A2E"/>
                <w:sz w:val="19"/>
                <w:szCs w:val="19"/>
              </w:rPr>
              <w:t xml:space="preserve">The growth narrative requires real-time access to accurate market cap data. Marketing must not cite USD1 market cap figures without Engineering-verified data.</w:t>
            </w:r>
          </w:p>
          <w:p>
            <w:pPr>
              <w:pStyle w:val="ListParagraph"/>
              <w:numPr>
                <w:ilvl w:val="0"/>
                <w:numId w:val="2"/>
              </w:numPr>
              <w:spacing w:before="30" w:after="25"/>
            </w:pPr>
            <w:r>
              <w:rPr>
                <w:rFonts w:ascii="Arial" w:cs="Arial" w:eastAsia="Arial" w:hAnsi="Arial"/>
                <w:color w:val="5A3000"/>
                <w:sz w:val="18"/>
                <w:szCs w:val="18"/>
              </w:rPr>
              <w:t xml:space="preserve">Provide Marketing with a verified, regularly updated data feed for USD1 market cap, total supply, and chain-by-chain distribution</w:t>
            </w:r>
          </w:p>
          <w:p>
            <w:pPr>
              <w:pStyle w:val="ListParagraph"/>
              <w:numPr>
                <w:ilvl w:val="0"/>
                <w:numId w:val="2"/>
              </w:numPr>
              <w:spacing w:before="30" w:after="25"/>
            </w:pPr>
            <w:r>
              <w:rPr>
                <w:rFonts w:ascii="Arial" w:cs="Arial" w:eastAsia="Arial" w:hAnsi="Arial"/>
                <w:color w:val="5A3000"/>
                <w:sz w:val="18"/>
                <w:szCs w:val="18"/>
              </w:rPr>
              <w:t xml:space="preserve">Confirm the authoritative source for USD1 market cap that will be cited in all press materials — agree on one source and maintain it</w:t>
            </w:r>
          </w:p>
          <w:p>
            <w:pPr>
              <w:pStyle w:val="ListParagraph"/>
              <w:numPr>
                <w:ilvl w:val="0"/>
                <w:numId w:val="2"/>
              </w:numPr>
              <w:spacing w:before="30" w:after="25"/>
            </w:pPr>
            <w:r>
              <w:rPr>
                <w:rFonts w:ascii="Arial" w:cs="Arial" w:eastAsia="Arial" w:hAnsi="Arial"/>
                <w:color w:val="5A3000"/>
                <w:sz w:val="18"/>
                <w:szCs w:val="18"/>
              </w:rPr>
              <w:t xml:space="preserve">Alert Marketing within 24 hours of any significant market cap milestone crossing (every $500M increment) so press outreach can be activated</w:t>
            </w:r>
          </w:p>
        </w:tc>
      </w:tr>
    </w:tbl>
    <w:p>
      <w:r>
        <w:br w:type="page"/>
      </w:r>
    </w:p>
    <w:p>
      <w:pPr>
        <w:pStyle w:val="Heading1"/>
        <w:spacing w:before="320" w:after="120"/>
      </w:pPr>
      <w:r>
        <w:rPr>
          <w:rFonts w:ascii="Arial" w:cs="Arial" w:eastAsia="Arial" w:hAnsi="Arial"/>
          <w:b/>
          <w:bCs/>
          <w:color w:val="1B2A4A"/>
          <w:sz w:val="34"/>
          <w:szCs w:val="34"/>
        </w:rPr>
        <w:t xml:space="preserve">5  Execution Roadmap</w:t>
      </w:r>
    </w:p>
    <w:p>
      <w:pPr>
        <w:pBdr>
          <w:bottom w:val="single" w:color="B8972E" w:sz="12" w:space="1"/>
        </w:pBdr>
        <w:spacing w:before="80" w:after="80"/>
      </w:pPr>
      <w:r>
        <w:t xml:space="preserve"/>
      </w:r>
    </w:p>
    <w:p>
      <w:pPr>
        <w:spacing w:before="60" w:after="80"/>
        <w:jc w:val="left"/>
      </w:pPr>
      <w:r>
        <w:rPr>
          <w:rFonts w:ascii="Arial" w:cs="Arial" w:eastAsia="Arial" w:hAnsi="Arial"/>
          <w:b w:val="false"/>
          <w:bCs w:val="false"/>
          <w:i w:val="false"/>
          <w:iCs w:val="false"/>
          <w:color w:val="222222"/>
          <w:sz w:val="20"/>
          <w:szCs w:val="20"/>
        </w:rPr>
        <w:t xml:space="preserve">The following timeline is directly compatible with the master USD1 Strategic Dominance Roadmap. Pillar 5 timelines are calibrated to support — and be supported by — the technical deliverables in Pillars 1 through 4. Marketing should not announce capabilities before Engineering confirms they are live.</w:t>
      </w:r>
    </w:p>
    <w:p>
      <w:pPr>
        <w:spacing w:before="80" w:after="0"/>
      </w:pPr>
      <w:r>
        <w:t xml:space="preserve"/>
      </w:r>
    </w:p>
    <w:p>
      <w:pPr>
        <w:pStyle w:val="Heading2"/>
        <w:spacing w:before="240" w:after="100"/>
      </w:pPr>
      <w:r>
        <w:rPr>
          <w:rFonts w:ascii="Arial" w:cs="Arial" w:eastAsia="Arial" w:hAnsi="Arial"/>
          <w:b/>
          <w:bCs/>
          <w:color w:val="3A5A8C"/>
          <w:sz w:val="26"/>
          <w:szCs w:val="26"/>
        </w:rPr>
        <w:t xml:space="preserve">Phase 1: Foundation  (Days 0–30)</w:t>
      </w:r>
    </w:p>
    <w:p>
      <w:pPr>
        <w:spacing w:before="60" w:after="80"/>
        <w:jc w:val="left"/>
      </w:pPr>
      <w:r>
        <w:rPr>
          <w:rFonts w:ascii="Arial" w:cs="Arial" w:eastAsia="Arial" w:hAnsi="Arial"/>
          <w:b w:val="false"/>
          <w:bCs w:val="false"/>
          <w:i w:val="false"/>
          <w:iCs w:val="false"/>
          <w:color w:val="222222"/>
          <w:sz w:val="20"/>
          <w:szCs w:val="20"/>
        </w:rPr>
        <w:t xml:space="preserve">The first 30 days establish the narrative infrastructure that everything else builds on. These are not 'nice to have' — they are the load-bearing deliverables.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960"/>
        <w:gridCol w:w="1600"/>
      </w:tblGrid>
      <w:tr>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Initiative</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Marketing Owner</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Timeline</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Eng. Required?</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Finalize Core Narrative Framework and Language Standards (this document, Section 2)</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Head of Marketing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1–7</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Publish 'USD1: The Agentic Economy's Financial Primitive' positioning post — the canonical narrative statement</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14</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Begin co-authoring Developer Guide with Engineering — structure and framing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Eng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7</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Launch 'Agentic Economy Data' weekly series — first edition uses already-live proof of reserves API</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14</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Begin hackathon planning — confirm prize pool, judging criteria, partner co-promoters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Events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7–14</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Identify and engage economic research firm for 'Agentic Economy by 2030' study</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Head of Marketing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14–30</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Brief top 5 tier-1 media contacts on USD1 growth narrative — off the record, relationship-building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PR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14–30</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Begin white paper outline and engage Legal for review process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Legal</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21</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Announce hackathon with full details — Engineering sandbox must be ready before this date</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Events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30</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bl>
    <w:p>
      <w:pPr>
        <w:spacing w:before="80" w:after="0"/>
      </w:pPr>
      <w:r>
        <w:t xml:space="preserve"/>
      </w:r>
    </w:p>
    <w:p>
      <w:pPr>
        <w:pStyle w:val="Heading2"/>
        <w:spacing w:before="240" w:after="100"/>
      </w:pPr>
      <w:r>
        <w:rPr>
          <w:rFonts w:ascii="Arial" w:cs="Arial" w:eastAsia="Arial" w:hAnsi="Arial"/>
          <w:b/>
          <w:bCs/>
          <w:color w:val="3A5A8C"/>
          <w:sz w:val="26"/>
          <w:szCs w:val="26"/>
        </w:rPr>
        <w:t xml:space="preserve">Phase 2: Execution  (Days 30–90)</w:t>
      </w:r>
    </w:p>
    <w:p>
      <w:pPr>
        <w:spacing w:before="60" w:after="80"/>
        <w:jc w:val="left"/>
      </w:pPr>
      <w:r>
        <w:rPr>
          <w:rFonts w:ascii="Arial" w:cs="Arial" w:eastAsia="Arial" w:hAnsi="Arial"/>
          <w:b w:val="false"/>
          <w:bCs w:val="false"/>
          <w:i w:val="false"/>
          <w:iCs w:val="false"/>
          <w:color w:val="222222"/>
          <w:sz w:val="20"/>
          <w:szCs w:val="20"/>
        </w:rPr>
        <w:t xml:space="preserve">Phase 2 converts the narrative foundation into deployed content assets and market coverage. Each deliverable in this phase depends on the Phase 1 foundation being in place.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960"/>
        <w:gridCol w:w="1600"/>
      </w:tblGrid>
      <w:tr>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Initiative</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Marketing Owner</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Timeline</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Eng. Required?</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Publish 'Building Agentic Businesses with USD1' Developer Guide — full, co-authored with Engineering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Eng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45</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Publish 'Agent Paymaster' tutorial — requires Engineering to deliver working code first</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Eng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45</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Run hackathon — active competition period, Engineering staffed in support channel</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Events Lead + Eng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30–45</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USD1 Agentic Payment Specification published — Marketing packages, Engineering authors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Eng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45</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Publish hackathon winners + case studies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52</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Submit white paper first draft to Legal + Engineering review</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60</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Announce Agent Treasury open-source contract — only after Engineering confirms audit complete</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60</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Speaker submissions filed for Consensus, Token2049, Money 20/20</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Events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45</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Weekly 'Agentic Economy' series — 4 editions published in Phase 2</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30–90</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USDC growth comparison data story published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Data</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45</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First keynote delivered — Consensus or equivalent</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Executive + Mktg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60–75</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bl>
    <w:p>
      <w:pPr>
        <w:spacing w:before="80" w:after="0"/>
      </w:pPr>
      <w:r>
        <w:t xml:space="preserve"/>
      </w:r>
    </w:p>
    <w:p>
      <w:pPr>
        <w:pStyle w:val="Heading2"/>
        <w:spacing w:before="240" w:after="100"/>
      </w:pPr>
      <w:r>
        <w:rPr>
          <w:rFonts w:ascii="Arial" w:cs="Arial" w:eastAsia="Arial" w:hAnsi="Arial"/>
          <w:b/>
          <w:bCs/>
          <w:color w:val="3A5A8C"/>
          <w:sz w:val="26"/>
          <w:szCs w:val="26"/>
        </w:rPr>
        <w:t xml:space="preserve">Phase 3: Amplification  (Days 90–180)</w:t>
      </w:r>
    </w:p>
    <w:p>
      <w:pPr>
        <w:spacing w:before="60" w:after="80"/>
        <w:jc w:val="left"/>
      </w:pPr>
      <w:r>
        <w:rPr>
          <w:rFonts w:ascii="Arial" w:cs="Arial" w:eastAsia="Arial" w:hAnsi="Arial"/>
          <w:b w:val="false"/>
          <w:bCs w:val="false"/>
          <w:i w:val="false"/>
          <w:iCs w:val="false"/>
          <w:color w:val="222222"/>
          <w:sz w:val="20"/>
          <w:szCs w:val="20"/>
        </w:rPr>
        <w:t xml:space="preserve">Phase 3 converts content assets into compounding market presence — white paper distribution, press milestone execution, and ongoing content volume.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960"/>
        <w:gridCol w:w="1600"/>
      </w:tblGrid>
      <w:tr>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Initiative</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Marketing Owner</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Timeline</w:t>
            </w:r>
          </w:p>
        </w:tc>
        <w:tc>
          <w:tcPr>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Eng. Required?</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Publish WLFI white paper: 'USD1 as Critical Infrastructure for the Agentic Economy'</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90</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Distribute white paper to institutional contact list, sovereign wealth fund relationships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PR + BD Leads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90</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Economic study published — distribute via press release, media briefings, and institutional channels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PR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120</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Ongoing weekly 'Agentic Economy' series — 12+ editions by Day 180</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Ongoing</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Press milestone execution for each $500M market cap increment</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PR Lead</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Triggered</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Second and third keynote appearances at Token2049 and one G42/sovereign event</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Executive + Mktg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Days 90–150</w:t>
            </w:r>
          </w:p>
        </w:tc>
        <w:tc>
          <w:tcPr>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No</w:t>
            </w:r>
          </w:p>
        </w:tc>
      </w:tr>
      <w:tr>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Developer Guide V2 — updated to reflect new chain deployments, EIP-3009 mainnet, and hackathon learnings</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Content Lead + Eng</w:t>
            </w:r>
          </w:p>
        </w:tc>
        <w:tc>
          <w:tcPr>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120</w:t>
            </w:r>
          </w:p>
        </w:tc>
        <w:tc>
          <w:tcPr>
            <w:tcBorders>
              <w:top w:val="single" w:color="DDE3EC" w:sz="2"/>
              <w:left w:val="single" w:color="DDE3EC" w:sz="2"/>
              <w:bottom w:val="single" w:color="DDE3EC" w:sz="2"/>
              <w:right w:val="single" w:color="DDE3EC" w:sz="2"/>
            </w:tcBorders>
            <w:shd w:fill="FFF8EC" w:val="clear"/>
            <w:tcMar>
              <w:top w:type="dxa" w:w="80"/>
              <w:left w:type="dxa" w:w="120"/>
              <w:bottom w:type="dxa" w:w="80"/>
              <w:right w:type="dxa" w:w="120"/>
            </w:tcMar>
          </w:tcPr>
          <w:p>
            <w:pPr>
              <w:spacing w:before="50" w:after="50"/>
            </w:pPr>
            <w:r>
              <w:rPr>
                <w:rFonts w:ascii="Arial" w:cs="Arial" w:eastAsia="Arial" w:hAnsi="Arial"/>
                <w:b/>
                <w:bCs/>
                <w:color w:val="7B3F00"/>
                <w:sz w:val="18"/>
                <w:szCs w:val="18"/>
              </w:rPr>
              <w:t xml:space="preserve">Yes</w:t>
            </w:r>
          </w:p>
        </w:tc>
      </w:tr>
    </w:tbl>
    <w:p>
      <w:r>
        <w:br w:type="page"/>
      </w:r>
    </w:p>
    <w:p>
      <w:pPr>
        <w:pStyle w:val="Heading1"/>
        <w:spacing w:before="320" w:after="120"/>
      </w:pPr>
      <w:r>
        <w:rPr>
          <w:rFonts w:ascii="Arial" w:cs="Arial" w:eastAsia="Arial" w:hAnsi="Arial"/>
          <w:b/>
          <w:bCs/>
          <w:color w:val="1B2A4A"/>
          <w:sz w:val="34"/>
          <w:szCs w:val="34"/>
        </w:rPr>
        <w:t xml:space="preserve">6  Engineering Dependency Summary</w:t>
      </w:r>
    </w:p>
    <w:p>
      <w:pPr>
        <w:pBdr>
          <w:bottom w:val="single" w:color="B8972E" w:sz="12" w:space="1"/>
        </w:pBdr>
        <w:spacing w:before="80" w:after="80"/>
      </w:pPr>
      <w:r>
        <w:t xml:space="preserve"/>
      </w:r>
    </w:p>
    <w:p>
      <w:pPr>
        <w:spacing w:before="60" w:after="80"/>
        <w:jc w:val="left"/>
      </w:pPr>
      <w:r>
        <w:rPr>
          <w:rFonts w:ascii="Arial" w:cs="Arial" w:eastAsia="Arial" w:hAnsi="Arial"/>
          <w:b w:val="false"/>
          <w:bCs w:val="false"/>
          <w:i w:val="false"/>
          <w:iCs w:val="false"/>
          <w:color w:val="222222"/>
          <w:sz w:val="20"/>
          <w:szCs w:val="20"/>
        </w:rPr>
        <w:t xml:space="preserve">This section consolidates all Engineering dependencies identified throughout the document. Marketing should share this section with Engineering leadership to establish coordination protocols and agreed hand-off timelines. No deliverable marked 'Eng. Required' should be published or announced until the Engineering dependency is confirmed as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8C" w:sz="8"/>
              <w:left w:val="thick" w:color="3A5A8C" w:sz="18"/>
              <w:bottom w:val="single" w:color="3A5A8C" w:sz="8"/>
              <w:right w:val="single" w:color="3A5A8C" w:sz="2"/>
            </w:tcBorders>
            <w:shd w:fill="EAF0F8" w:val="clear"/>
            <w:tcMar>
              <w:top w:type="dxa" w:w="120"/>
              <w:left w:type="dxa" w:w="200"/>
              <w:bottom w:type="dxa" w:w="120"/>
              <w:right w:type="dxa" w:w="160"/>
            </w:tcMar>
          </w:tcPr>
          <w:p>
            <w:pPr>
              <w:spacing w:before="30" w:after="30"/>
            </w:pPr>
            <w:r>
              <w:rPr>
                <w:rFonts w:ascii="Arial" w:cs="Arial" w:eastAsia="Arial" w:hAnsi="Arial"/>
                <w:b/>
                <w:bCs/>
                <w:i w:val="false"/>
                <w:iCs w:val="false"/>
                <w:color w:val="1A1A2E"/>
                <w:sz w:val="19"/>
                <w:szCs w:val="19"/>
              </w:rPr>
              <w:t xml:space="preserve">Coordination Protocol</w:t>
            </w:r>
          </w:p>
          <w:p>
            <w:pPr>
              <w:spacing w:before="30" w:after="30"/>
            </w:pPr>
            <w:r>
              <w:rPr>
                <w:rFonts w:ascii="Arial" w:cs="Arial" w:eastAsia="Arial" w:hAnsi="Arial"/>
                <w:b w:val="false"/>
                <w:bCs w:val="false"/>
                <w:i w:val="false"/>
                <w:iCs w:val="false"/>
                <w:color w:val="1A1A2E"/>
                <w:sz w:val="19"/>
                <w:szCs w:val="19"/>
              </w:rPr>
              <w:t xml:space="preserve">Marketing to initiate a formal kick-off with Engineering for each dependency item at least 2 weeks before the Marketing publication target date. Engineering should confirm (a) feasibility, (b) estimated delivery date, and (c) the specific deliverable format Marketing will receive. Marketing publication dates are contingent on these confirmations.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Engineering Deliverable</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Required For (Marketing Initiative)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Code review and validation of all Developer Guide examples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3.1 — Developer Guide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Headless wallet creation quickstart validation against live SDK</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3.1 — Developer Guide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Agent workflow code samples (3 types: agent-to-agent, fee settlement, payroll)</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3.1 &amp; 3.2</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API reference in machine-readable format (OpenAPI spec)</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3.1 — Developer Guide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Agent Paymaster reference implementation (code, tested, production-ready)</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3.2 — Agent Paymaster Tutorial</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Live demo environment URL and uptime SLA confirmation</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3.2 — Agent Paymaster Tutorial</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Developer sandbox environment for hackathon participants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3.3 — Hackathon</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Hackathon SDK starter kit</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3.3 — Hackathon</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Engineering support staffing in hackathon Discord/Slack</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3.3 — Hackathon</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Marketing-accessible analytics dashboard (transaction volume, agent wallets, chain breakdown)</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3.4 — Weekly Content Series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Agent Treasury contract — audited, open-source, with technical brief</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3.5 — Agent Treasury</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Technical architecture review of white paper sections</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4.2 — White Paper</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Real-time proof of reserves API stable endpoint confirmation</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4.2 — White Paper</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Verified USD1 market cap data feed and milestone alert system</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4.4 — Press Narrative</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On-chain metrics for USD1 growth data story</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4.4 — Press Narrative</w:t>
            </w:r>
          </w:p>
        </w:tc>
      </w:tr>
    </w:tbl>
    <w:p>
      <w:r>
        <w:br w:type="page"/>
      </w:r>
    </w:p>
    <w:p>
      <w:pPr>
        <w:pStyle w:val="Heading1"/>
        <w:spacing w:before="320" w:after="120"/>
      </w:pPr>
      <w:r>
        <w:rPr>
          <w:rFonts w:ascii="Arial" w:cs="Arial" w:eastAsia="Arial" w:hAnsi="Arial"/>
          <w:b/>
          <w:bCs/>
          <w:color w:val="1B2A4A"/>
          <w:sz w:val="34"/>
          <w:szCs w:val="34"/>
        </w:rPr>
        <w:t xml:space="preserve">7  Success Metrics &amp; KPIs</w:t>
      </w:r>
    </w:p>
    <w:p>
      <w:pPr>
        <w:pBdr>
          <w:bottom w:val="single" w:color="B8972E" w:sz="12" w:space="1"/>
        </w:pBdr>
        <w:spacing w:before="80" w:after="80"/>
      </w:pPr>
      <w:r>
        <w:t xml:space="preserve"/>
      </w:r>
    </w:p>
    <w:p>
      <w:pPr>
        <w:spacing w:before="60" w:after="80"/>
        <w:jc w:val="left"/>
      </w:pPr>
      <w:r>
        <w:rPr>
          <w:rFonts w:ascii="Arial" w:cs="Arial" w:eastAsia="Arial" w:hAnsi="Arial"/>
          <w:b w:val="false"/>
          <w:bCs w:val="false"/>
          <w:i w:val="false"/>
          <w:iCs w:val="false"/>
          <w:color w:val="222222"/>
          <w:sz w:val="20"/>
          <w:szCs w:val="20"/>
        </w:rPr>
        <w:t xml:space="preserve">The following KPIs define success for Pillar 5. These are directly derived from the targets in the master USD1 Strategic Dominance Roadmap and are owned by Marketing. Metrics requiring Engineering data infrastructure are flagged — Marketing should confirm data availability before committing to a reporting cadence.</w:t>
      </w:r>
    </w:p>
    <w:p>
      <w:pPr>
        <w:spacing w:before="60" w:after="0"/>
      </w:pPr>
      <w:r>
        <w:t xml:space="preserve"/>
      </w:r>
    </w:p>
    <w:p>
      <w:pPr>
        <w:pStyle w:val="Heading2"/>
        <w:spacing w:before="240" w:after="100"/>
      </w:pPr>
      <w:r>
        <w:rPr>
          <w:rFonts w:ascii="Arial" w:cs="Arial" w:eastAsia="Arial" w:hAnsi="Arial"/>
          <w:b/>
          <w:bCs/>
          <w:color w:val="3A5A8C"/>
          <w:sz w:val="26"/>
          <w:szCs w:val="26"/>
        </w:rPr>
        <w:t xml:space="preserve">7.1  Developer Mindshare Metrics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80"/>
        <w:gridCol w:w="248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Metric</w:t>
            </w:r>
          </w:p>
        </w:tc>
        <w:tc>
          <w:tcPr>
            <w:tcW w:type="dxa" w:w="20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Target</w:t>
            </w:r>
          </w:p>
        </w:tc>
        <w:tc>
          <w:tcPr>
            <w:tcW w:type="dxa" w:w="168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Timeline</w:t>
            </w:r>
          </w:p>
        </w:tc>
        <w:tc>
          <w:tcPr>
            <w:tcW w:type="dxa" w:w="248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Notes</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Developer Guide unique sessions</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1,000 / month</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30 days post-launch</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developer portal analytics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Time-to-first-integration (SDK)</w:t>
            </w:r>
          </w:p>
        </w:tc>
        <w:tc>
          <w:tcPr>
            <w:tcW w:type="dxa" w:w="20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&lt; 20 minutes median</w:t>
            </w:r>
          </w:p>
        </w:tc>
        <w:tc>
          <w:tcPr>
            <w:tcW w:type="dxa" w:w="16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60 days</w:t>
            </w:r>
          </w:p>
        </w:tc>
        <w:tc>
          <w:tcPr>
            <w:tcW w:type="dxa" w:w="24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Requires SDK analytics from Engineering</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Hackathon registrations</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200+</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Submission deadline</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registration form</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Hackathon USD1 transaction volume</w:t>
            </w:r>
          </w:p>
        </w:tc>
        <w:tc>
          <w:tcPr>
            <w:tcW w:type="dxa" w:w="20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Meaningful on-chain activity</w:t>
            </w:r>
          </w:p>
        </w:tc>
        <w:tc>
          <w:tcPr>
            <w:tcW w:type="dxa" w:w="16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End of competition</w:t>
            </w:r>
          </w:p>
        </w:tc>
        <w:tc>
          <w:tcPr>
            <w:tcW w:type="dxa" w:w="24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Requires Engineering transaction monitoring</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GitHub stars — Agent Treasury repo</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500+</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90 days post-launch</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GitHub API</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Developer guide cited externally</w:t>
            </w:r>
          </w:p>
        </w:tc>
        <w:tc>
          <w:tcPr>
            <w:tcW w:type="dxa" w:w="20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5+ citations in 60 days</w:t>
            </w:r>
          </w:p>
        </w:tc>
        <w:tc>
          <w:tcPr>
            <w:tcW w:type="dxa" w:w="16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60 days post-launch</w:t>
            </w:r>
          </w:p>
        </w:tc>
        <w:tc>
          <w:tcPr>
            <w:tcW w:type="dxa" w:w="24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brand monitoring tool</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Weekly content series — avg. impressions</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5,000+ per piece</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Ongoing</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platform analytics</w:t>
            </w:r>
          </w:p>
        </w:tc>
      </w:tr>
    </w:tbl>
    <w:p>
      <w:pPr>
        <w:spacing w:before="60" w:after="0"/>
      </w:pPr>
      <w:r>
        <w:t xml:space="preserve"/>
      </w:r>
    </w:p>
    <w:p>
      <w:pPr>
        <w:pStyle w:val="Heading2"/>
        <w:spacing w:before="240" w:after="100"/>
      </w:pPr>
      <w:r>
        <w:rPr>
          <w:rFonts w:ascii="Arial" w:cs="Arial" w:eastAsia="Arial" w:hAnsi="Arial"/>
          <w:b/>
          <w:bCs/>
          <w:color w:val="3A5A8C"/>
          <w:sz w:val="26"/>
          <w:szCs w:val="26"/>
        </w:rPr>
        <w:t xml:space="preserve">7.2  Institutional &amp; Press Metrics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80"/>
        <w:gridCol w:w="248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Metric</w:t>
            </w:r>
          </w:p>
        </w:tc>
        <w:tc>
          <w:tcPr>
            <w:tcW w:type="dxa" w:w="20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Target</w:t>
            </w:r>
          </w:p>
        </w:tc>
        <w:tc>
          <w:tcPr>
            <w:tcW w:type="dxa" w:w="168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Timeline</w:t>
            </w:r>
          </w:p>
        </w:tc>
        <w:tc>
          <w:tcPr>
            <w:tcW w:type="dxa" w:w="248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Notes</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White paper downloads / requests</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100+ institutional recipients</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90 days post-publication</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gated download or direct outreach log</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Tier-1 media placements on growth narrative</w:t>
            </w:r>
          </w:p>
        </w:tc>
        <w:tc>
          <w:tcPr>
            <w:tcW w:type="dxa" w:w="20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3+ pieces in 90 days</w:t>
            </w:r>
          </w:p>
        </w:tc>
        <w:tc>
          <w:tcPr>
            <w:tcW w:type="dxa" w:w="16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90 days</w:t>
            </w:r>
          </w:p>
        </w:tc>
        <w:tc>
          <w:tcPr>
            <w:tcW w:type="dxa" w:w="24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Track via PR monitoring</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Keynote speaking slots confirmed</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2 tier-1 events</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90 days</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Events lead tracks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Economic study citations in press</w:t>
            </w:r>
          </w:p>
        </w:tc>
        <w:tc>
          <w:tcPr>
            <w:tcW w:type="dxa" w:w="20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5+ references in 60 days post-publish</w:t>
            </w:r>
          </w:p>
        </w:tc>
        <w:tc>
          <w:tcPr>
            <w:tcW w:type="dxa" w:w="16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180</w:t>
            </w:r>
          </w:p>
        </w:tc>
        <w:tc>
          <w:tcPr>
            <w:tcW w:type="dxa" w:w="24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PR monitoring</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Institutional inquiries inbound (white paper)</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20+ from qualified institutions</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120</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BD tracks and reports to Marketing</w:t>
            </w:r>
          </w:p>
        </w:tc>
      </w:tr>
    </w:tbl>
    <w:p>
      <w:pPr>
        <w:spacing w:before="60" w:after="0"/>
      </w:pPr>
      <w:r>
        <w:t xml:space="preserve"/>
      </w:r>
    </w:p>
    <w:p>
      <w:pPr>
        <w:pStyle w:val="Heading2"/>
        <w:spacing w:before="240" w:after="100"/>
      </w:pPr>
      <w:r>
        <w:rPr>
          <w:rFonts w:ascii="Arial" w:cs="Arial" w:eastAsia="Arial" w:hAnsi="Arial"/>
          <w:b/>
          <w:bCs/>
          <w:color w:val="3A5A8C"/>
          <w:sz w:val="26"/>
          <w:szCs w:val="26"/>
        </w:rPr>
        <w:t xml:space="preserve">7.3  Narrative Penetration Metrics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80"/>
        <w:gridCol w:w="248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Metric</w:t>
            </w:r>
          </w:p>
        </w:tc>
        <w:tc>
          <w:tcPr>
            <w:tcW w:type="dxa" w:w="20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Target</w:t>
            </w:r>
          </w:p>
        </w:tc>
        <w:tc>
          <w:tcPr>
            <w:tcW w:type="dxa" w:w="168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Timeline</w:t>
            </w:r>
          </w:p>
        </w:tc>
        <w:tc>
          <w:tcPr>
            <w:tcW w:type="dxa" w:w="248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50" w:after="50"/>
            </w:pPr>
            <w:r>
              <w:rPr>
                <w:rFonts w:ascii="Arial" w:cs="Arial" w:eastAsia="Arial" w:hAnsi="Arial"/>
                <w:b/>
                <w:bCs/>
                <w:color w:val="FFFFFF"/>
                <w:sz w:val="18"/>
                <w:szCs w:val="18"/>
              </w:rPr>
              <w:t xml:space="preserve">Notes</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'Agentic economy' + USD1 mentions (unpaid)</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50+ per month</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90</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Brand monitoring tool</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USD1 cited as 'agentic stablecoin' in external content</w:t>
            </w:r>
          </w:p>
        </w:tc>
        <w:tc>
          <w:tcPr>
            <w:tcW w:type="dxa" w:w="20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10+ unpaid references</w:t>
            </w:r>
          </w:p>
        </w:tc>
        <w:tc>
          <w:tcPr>
            <w:tcW w:type="dxa" w:w="16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90</w:t>
            </w:r>
          </w:p>
        </w:tc>
        <w:tc>
          <w:tcPr>
            <w:tcW w:type="dxa" w:w="248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Brand monitoring</w:t>
            </w:r>
          </w:p>
        </w:tc>
      </w:tr>
      <w:tr>
        <w:tc>
          <w:tcPr>
            <w:tcW w:type="dxa" w:w="32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Developer survey: USD1 unaided awareness in agentic dev community</w:t>
            </w:r>
          </w:p>
        </w:tc>
        <w:tc>
          <w:tcPr>
            <w:tcW w:type="dxa" w:w="200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bCs/>
                <w:color w:val="3A5A8C"/>
                <w:sz w:val="18"/>
                <w:szCs w:val="18"/>
              </w:rPr>
              <w:t xml:space="preserve">Establish baseline, target 20%+ in 90 days</w:t>
            </w:r>
          </w:p>
        </w:tc>
        <w:tc>
          <w:tcPr>
            <w:tcW w:type="dxa" w:w="16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1A1A2E"/>
                <w:sz w:val="18"/>
                <w:szCs w:val="18"/>
              </w:rPr>
              <w:t xml:space="preserve">Day 90</w:t>
            </w:r>
          </w:p>
        </w:tc>
        <w:tc>
          <w:tcPr>
            <w:tcW w:type="dxa" w:w="248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50" w:after="50"/>
            </w:pPr>
            <w:r>
              <w:rPr>
                <w:rFonts w:ascii="Arial" w:cs="Arial" w:eastAsia="Arial" w:hAnsi="Arial"/>
                <w:b w:val="false"/>
                <w:bCs w:val="false"/>
                <w:color w:val="444444"/>
                <w:sz w:val="18"/>
                <w:szCs w:val="18"/>
              </w:rPr>
              <w:t xml:space="preserve">Requires survey execution</w:t>
            </w:r>
          </w:p>
        </w:tc>
      </w:tr>
    </w:tbl>
    <w:p>
      <w:r>
        <w:br w:type="page"/>
      </w:r>
    </w:p>
    <w:p>
      <w:pPr>
        <w:pStyle w:val="Heading1"/>
        <w:spacing w:before="320" w:after="120"/>
      </w:pPr>
      <w:r>
        <w:rPr>
          <w:rFonts w:ascii="Arial" w:cs="Arial" w:eastAsia="Arial" w:hAnsi="Arial"/>
          <w:b/>
          <w:bCs/>
          <w:color w:val="1B2A4A"/>
          <w:sz w:val="34"/>
          <w:szCs w:val="34"/>
        </w:rPr>
        <w:t xml:space="preserve">8  Feedback, Review &amp; Alignment</w:t>
      </w:r>
    </w:p>
    <w:p>
      <w:pPr>
        <w:pBdr>
          <w:bottom w:val="single" w:color="B8972E" w:sz="12" w:space="1"/>
        </w:pBdr>
        <w:spacing w:before="80" w:after="80"/>
      </w:pPr>
      <w:r>
        <w:t xml:space="preserve"/>
      </w:r>
    </w:p>
    <w:p>
      <w:pPr>
        <w:spacing w:before="40" w:after="0"/>
      </w:pPr>
      <w:r>
        <w:t xml:space="preserve"/>
      </w:r>
    </w:p>
    <w:p>
      <w:pPr>
        <w:spacing w:before="60" w:after="80"/>
        <w:jc w:val="left"/>
      </w:pPr>
      <w:r>
        <w:rPr>
          <w:rFonts w:ascii="Arial" w:cs="Arial" w:eastAsia="Arial" w:hAnsi="Arial"/>
          <w:b w:val="false"/>
          <w:bCs w:val="false"/>
          <w:i w:val="false"/>
          <w:iCs w:val="false"/>
          <w:color w:val="222222"/>
          <w:sz w:val="20"/>
          <w:szCs w:val="20"/>
        </w:rPr>
        <w:t xml:space="preserve">This document is issued for Marketing team review and feedback before it is adopted as the execution roadmap. The following process governs the review cycle.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Review Stage</w:t>
            </w:r>
          </w:p>
        </w:tc>
        <w:tc>
          <w:tcPr>
            <w:tcW w:type="dxa" w:w="6160"/>
            <w:tcBorders>
              <w:top w:val="single" w:color="DDE3EC" w:sz="2"/>
              <w:left w:val="single" w:color="DDE3EC" w:sz="2"/>
              <w:bottom w:val="single" w:color="DDE3EC" w:sz="2"/>
              <w:right w:val="single" w:color="DDE3EC" w:sz="2"/>
            </w:tcBorders>
            <w:shd w:fill="1B2A4A"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Details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Marketing team review</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Marketing team reviews this document in full. Feedback submitted within 7 days. Focus: feasibility of timelines, resource requirements, missing initiatives, and clarity of Engineering dependency protocol.</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Engineering coordination review</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Section 6 (Engineering Dependency Summary) shared with Engineering leadership. Engineering confirms: which dependencies are feasible, estimated delivery dates, and any constraints Marketing should know before committing to timelines.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Leadership alignment</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Revised document reviewed by Zak and relevant leadership to confirm alignment with master Strategic Roadmap. No substantive strategic changes after this point — only tactical refinements.</w:t>
            </w:r>
          </w:p>
        </w:tc>
      </w:tr>
      <w:tr>
        <w:tc>
          <w:tcPr>
            <w:tcW w:type="dxa" w:w="3200"/>
            <w:tcBorders>
              <w:top w:val="single" w:color="DDE3EC" w:sz="2"/>
              <w:left w:val="single" w:color="DDE3EC" w:sz="2"/>
              <w:bottom w:val="single" w:color="DDE3EC" w:sz="2"/>
              <w:right w:val="single" w:color="DDE3EC" w:sz="2"/>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Final version adopted</w:t>
            </w:r>
          </w:p>
        </w:tc>
        <w:tc>
          <w:tcPr>
            <w:tcW w:type="dxa" w:w="6160"/>
            <w:tcBorders>
              <w:top w:val="single" w:color="DDE3EC" w:sz="2"/>
              <w:left w:val="single" w:color="DDE3EC" w:sz="2"/>
              <w:bottom w:val="single" w:color="DDE3EC" w:sz="2"/>
              <w:right w:val="single" w:color="DDE3EC" w:sz="2"/>
            </w:tcBorders>
            <w:shd w:fill="F5F7FA" w:val="clear"/>
            <w:tcMar>
              <w:top w:type="dxa" w:w="80"/>
              <w:left w:type="dxa" w:w="120"/>
              <w:bottom w:type="dxa" w:w="80"/>
              <w:right w:type="dxa" w:w="120"/>
            </w:tcMar>
          </w:tcPr>
          <w:p>
            <w:pPr>
              <w:spacing w:before="60" w:after="60"/>
            </w:pPr>
            <w:r>
              <w:rPr>
                <w:rFonts w:ascii="Arial" w:cs="Arial" w:eastAsia="Arial" w:hAnsi="Arial"/>
                <w:b w:val="false"/>
                <w:bCs w:val="false"/>
                <w:color w:val="1A1A2E"/>
                <w:sz w:val="19"/>
                <w:szCs w:val="19"/>
              </w:rPr>
              <w:t xml:space="preserve">Once leadership signs off, this document becomes the Marketing team's execution roadmap. Timelines become commitments. Engineering dependencies become tracked deliverables.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8C" w:sz="8"/>
              <w:left w:val="thick" w:color="3A5A8C" w:sz="18"/>
              <w:bottom w:val="single" w:color="3A5A8C" w:sz="8"/>
              <w:right w:val="single" w:color="3A5A8C" w:sz="2"/>
            </w:tcBorders>
            <w:shd w:fill="EAF0F8" w:val="clear"/>
            <w:tcMar>
              <w:top w:type="dxa" w:w="120"/>
              <w:left w:type="dxa" w:w="200"/>
              <w:bottom w:type="dxa" w:w="120"/>
              <w:right w:type="dxa" w:w="160"/>
            </w:tcMar>
          </w:tcPr>
          <w:p>
            <w:pPr>
              <w:spacing w:before="30" w:after="30"/>
            </w:pPr>
            <w:r>
              <w:rPr>
                <w:rFonts w:ascii="Arial" w:cs="Arial" w:eastAsia="Arial" w:hAnsi="Arial"/>
                <w:b/>
                <w:bCs/>
                <w:i w:val="false"/>
                <w:iCs w:val="false"/>
                <w:color w:val="1A1A2E"/>
                <w:sz w:val="19"/>
                <w:szCs w:val="19"/>
              </w:rPr>
              <w:t xml:space="preserve">Feedback Focus Areas for Marketing Team</w:t>
            </w:r>
          </w:p>
          <w:p>
            <w:pPr>
              <w:spacing w:before="30" w:after="30"/>
            </w:pPr>
            <w:r>
              <w:rPr>
                <w:rFonts w:ascii="Arial" w:cs="Arial" w:eastAsia="Arial" w:hAnsi="Arial"/>
                <w:b w:val="false"/>
                <w:bCs w:val="false"/>
                <w:i w:val="false"/>
                <w:iCs w:val="false"/>
                <w:color w:val="1A1A2E"/>
                <w:sz w:val="19"/>
                <w:szCs w:val="19"/>
              </w:rPr>
              <w:t xml:space="preserve">1. Are the timelines in Section 5 achievable with current Marketing team capacity? If not, identify the specific resource constraint (headcount, budget, external vendor dependency).</w:t>
            </w:r>
          </w:p>
          <w:p>
            <w:pPr>
              <w:spacing w:before="30" w:after="30"/>
            </w:pPr>
            <w:r>
              <w:rPr>
                <w:rFonts w:ascii="Arial" w:cs="Arial" w:eastAsia="Arial" w:hAnsi="Arial"/>
                <w:b w:val="false"/>
                <w:bCs w:val="false"/>
                <w:i w:val="false"/>
                <w:iCs w:val="false"/>
                <w:color w:val="1A1A2E"/>
                <w:sz w:val="19"/>
                <w:szCs w:val="19"/>
              </w:rPr>
              <w:t xml:space="preserve">2. Are there Pillar 5 initiatives in the master roadmap that are not represented here and should be added?</w:t>
            </w:r>
          </w:p>
          <w:p>
            <w:pPr>
              <w:spacing w:before="30" w:after="30"/>
            </w:pPr>
            <w:r>
              <w:rPr>
                <w:rFonts w:ascii="Arial" w:cs="Arial" w:eastAsia="Arial" w:hAnsi="Arial"/>
                <w:b w:val="false"/>
                <w:bCs w:val="false"/>
                <w:i w:val="false"/>
                <w:iCs w:val="false"/>
                <w:color w:val="1A1A2E"/>
                <w:sz w:val="19"/>
                <w:szCs w:val="19"/>
              </w:rPr>
              <w:t xml:space="preserve">3. Does the Engineering Dependency Summary in Section 6 accurately capture all cases where Marketing will need Engineering input? Are there additional dependencies not flagged?</w:t>
            </w:r>
          </w:p>
          <w:p>
            <w:pPr>
              <w:spacing w:before="30" w:after="30"/>
            </w:pPr>
            <w:r>
              <w:rPr>
                <w:rFonts w:ascii="Arial" w:cs="Arial" w:eastAsia="Arial" w:hAnsi="Arial"/>
                <w:b w:val="false"/>
                <w:bCs w:val="false"/>
                <w:i w:val="false"/>
                <w:iCs w:val="false"/>
                <w:color w:val="1A1A2E"/>
                <w:sz w:val="19"/>
                <w:szCs w:val="19"/>
              </w:rPr>
              <w:t xml:space="preserve">4. Are the KPIs in Section 7 the right measures of success, or are there metrics the Marketing team would prefer to own?</w:t>
            </w:r>
          </w:p>
        </w:tc>
      </w:tr>
    </w:tbl>
    <w:p>
      <w:pPr>
        <w:spacing w:before="60" w:after="0"/>
      </w:pPr>
      <w:r>
        <w:t xml:space="preserve"/>
      </w:r>
    </w:p>
    <w:p>
      <w:pPr>
        <w:spacing w:before="60" w:after="80"/>
        <w:jc w:val="left"/>
      </w:pPr>
      <w:r>
        <w:rPr>
          <w:rFonts w:ascii="Arial" w:cs="Arial" w:eastAsia="Arial" w:hAnsi="Arial"/>
          <w:b w:val="false"/>
          <w:bCs w:val="false"/>
          <w:i/>
          <w:iCs/>
          <w:color w:val="444444"/>
          <w:sz w:val="20"/>
          <w:szCs w:val="20"/>
        </w:rPr>
        <w:t xml:space="preserve">All feedback should be directed to Zak or the designated document owner. Revisions will be incorporated and the updated version distributed to the full review group before final adoption.</w:t>
      </w:r>
    </w:p>
    <w:p>
      <w:pPr>
        <w:spacing w:before="80" w:after="0"/>
      </w:pPr>
      <w:r>
        <w:t xml:space="preserve"/>
      </w:r>
    </w:p>
    <w:p>
      <w:pPr>
        <w:pBdr>
          <w:bottom w:val="single" w:color="B8972E" w:sz="12" w:space="1"/>
        </w:pBdr>
        <w:spacing w:before="80" w:after="80"/>
      </w:pPr>
      <w:r>
        <w:t xml:space="preserve"/>
      </w:r>
    </w:p>
    <w:p>
      <w:pPr>
        <w:spacing w:before="40" w:after="0"/>
      </w:pPr>
      <w:r>
        <w:t xml:space="preserve"/>
      </w:r>
    </w:p>
    <w:p>
      <w:pPr>
        <w:spacing w:before="60" w:after="80"/>
        <w:jc w:val="center"/>
      </w:pPr>
      <w:r>
        <w:rPr>
          <w:rFonts w:ascii="Arial" w:cs="Arial" w:eastAsia="Arial" w:hAnsi="Arial"/>
          <w:b w:val="false"/>
          <w:bCs w:val="false"/>
          <w:i w:val="false"/>
          <w:iCs w:val="false"/>
          <w:color w:val="888888"/>
          <w:sz w:val="20"/>
          <w:szCs w:val="20"/>
        </w:rPr>
        <w:t xml:space="preserve">World Liberty Financial (WLFI)  |  Confidential  |  March 2026</w:t>
      </w:r>
    </w:p>
    <w:p>
      <w:pPr>
        <w:spacing w:before="60" w:after="80"/>
        <w:jc w:val="center"/>
      </w:pPr>
      <w:r>
        <w:rPr>
          <w:rFonts w:ascii="Arial" w:cs="Arial" w:eastAsia="Arial" w:hAnsi="Arial"/>
          <w:b w:val="false"/>
          <w:bCs w:val="false"/>
          <w:i w:val="false"/>
          <w:iCs w:val="false"/>
          <w:color w:val="888888"/>
          <w:sz w:val="20"/>
          <w:szCs w:val="20"/>
        </w:rPr>
        <w:t xml:space="preserve">Aligned with: USD1 Strategic Dominance Roadmap V2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2E" w:sz="6" w:space="1"/>
      </w:pBdr>
      <w:tabs>
        <w:tab w:val="right" w:pos="9026"/>
      </w:tabs>
      <w:spacing w:before="80" w:after="0"/>
    </w:pPr>
    <w:r>
      <w:rPr>
        <w:rFonts w:ascii="Arial" w:cs="Arial" w:eastAsia="Arial" w:hAnsi="Arial"/>
        <w:color w:val="888888"/>
        <w:sz w:val="16"/>
        <w:szCs w:val="16"/>
      </w:rPr>
      <w:t xml:space="preserve">World Liberty Financial (WLFI)</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E" w:sz="6" w:space="1"/>
      </w:pBdr>
      <w:tabs>
        <w:tab w:val="right" w:pos="9026"/>
      </w:tabs>
      <w:spacing w:before="0" w:after="80"/>
    </w:pPr>
    <w:r>
      <w:rPr>
        <w:rFonts w:ascii="Arial" w:cs="Arial" w:eastAsia="Arial" w:hAnsi="Arial"/>
        <w:color w:val="3A5A8C"/>
        <w:sz w:val="16"/>
        <w:szCs w:val="16"/>
      </w:rPr>
      <w:t xml:space="preserve">USD1 — Pillar 5: Narrative Control &amp; Developer Mindshare</w:t>
    </w:r>
    <w:r>
      <w:rPr>
        <w:rFonts w:ascii="Arial" w:cs="Arial" w:eastAsia="Arial" w:hAnsi="Arial"/>
        <w:color w:val="888888"/>
        <w:sz w:val="16"/>
        <w:szCs w:val="16"/>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3A5A8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2026-03-10T02:28:12.445Z</dcterms:created>
  <dcterms:modified xsi:type="dcterms:W3CDTF">2026-03-10T02:28:12.445Z</dcterms:modified>
</cp:coreProperties>
</file>

<file path=docProps/custom.xml><?xml version="1.0" encoding="utf-8"?>
<Properties xmlns="http://schemas.openxmlformats.org/officeDocument/2006/custom-properties" xmlns:vt="http://schemas.openxmlformats.org/officeDocument/2006/docPropsVTypes"/>
</file>