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a03-use-case-to-story-traceability-card"/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 xml:space="preserve">IA03: Use-Case-to-Story Traceability Card</w:t>
      </w:r>
    </w:p>
    <w:p>
      <w:pPr>
        <w:pStyle w:val="FirstParagrap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Identity: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jpkanquandah, team Intellectuals, LiftPro Crane Services Website, client domain: mobile crane hire in Madina, date 23 October 2026.</w:t>
      </w:r>
    </w:p>
    <w:bookmarkStart w:id="20" w:name="source-and-use-case-card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Source and use-case card</w:t>
      </w:r>
    </w:p>
    <w:tbl>
      <w:tblPr>
        <w:tblStyle w:val="Table"/>
        <w:tblW w:type="pct" w:w="4968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17"/>
        <w:gridCol w:w="71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UC-02: Customer enquires about a crane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Client intake call of 3 October 2026 (team charter D0 section C.4): the client wants a button that sends visitors to his WhatsApp. Use case UC-02 in our team requirements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Enquiries are the whole reason the website exists. It removes the repeated DM questions for the client.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Customer (website visitor on a phone)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Ask the owner about a specific crane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The customer taps Enquire on a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The site is online; the customer has WhatsApp or can open the WhatsApp web link; the owner’s number is approved and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Main success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1. Customer opens the website. 2. Customer views the Services section. 3. Customer selects a service and taps Enquire. 4. WhatsApp opens with the owner’s number and a prepared message naming the service. 5. Customer edits the message if needed. 6. Customer sends the enquiry.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Alternate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The customer is not sure which service they need: they tap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“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Not sure? Ask the owner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”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and a general message opens (flow 2 in our demo).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Exception or failure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WhatsApp is not installed or the link cannot open: the phone shows the WhatsApp page or an error, the customer can use the number shown in the Contact section instead.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Postconditions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 chat with the prepared message is open in WhatsApp. The website has stored nothing.</w:t>
            </w:r>
          </w:p>
        </w:tc>
      </w:tr>
    </w:tbl>
    <w:bookmarkEnd w:id="20"/>
    <w:bookmarkStart w:id="21" w:name="story-acceptance-criteria-and-nfr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Story, acceptance criteria and NFR</w:t>
      </w:r>
    </w:p>
    <w:p>
      <w:pPr>
        <w:pStyle w:val="FirstParagrap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Story: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As a customer, I want to tap Enquire on a crane service, so that I can ask the owner about it in WhatsApp without typing the details myself.</w:t>
      </w:r>
    </w:p>
    <w:p>
      <w:pPr>
        <w:pStyle w:val="BodyTex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AC1 (success), Given-When-Then: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Given I am on the Services section on my phone, when I tap Enquire on a service, then WhatsApp opens with the owner’s approved number and a message that includes that service’s name.</w:t>
      </w:r>
    </w:p>
    <w:p>
      <w:pPr>
        <w:pStyle w:val="BodyTex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AC2 (error path):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Given WhatsApp cannot open from the link, when I tap Enquire, then I can still find the owner’s number and location in the Contact section and contact him another way.</w:t>
      </w:r>
    </w:p>
    <w:p>
      <w:pPr>
        <w:pStyle w:val="BodyTex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NFR category: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Reliability and correctness of the contact number.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NFR: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Every WhatsApp link on the site shall use the approved number.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Why it matters: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if the number is wrong, the client loses customers and customers reach a stranger.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What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“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secure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”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means here: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only the approved number is ever used, only the team can change it through a reviewed pull request, and the site stores no customer data.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What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“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fast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”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means here: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the page and Enquire buttons are usable within about 3 seconds on mobile data.</w:t>
      </w:r>
    </w:p>
    <w:bookmarkEnd w:id="21"/>
    <w:bookmarkStart w:id="22" w:name="traceability-row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Traceability row</w:t>
      </w:r>
    </w:p>
    <w:tbl>
      <w:tblPr>
        <w:tblStyle w:val="Table"/>
        <w:tblW w:type="pct" w:w="4979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58"/>
        <w:gridCol w:w="186"/>
        <w:gridCol w:w="440"/>
        <w:gridCol w:w="372"/>
        <w:gridCol w:w="2420"/>
        <w:gridCol w:w="186"/>
        <w:gridCol w:w="3130"/>
        <w:gridCol w:w="5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NFR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Test idea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Client intake: WhatsApp 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Enquire about a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NFR-12 right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UC-02: Customer enquires about a crane service (WhatsApp Enquire button). URL: (link in the Sakai portfolio) AC1, AC2 Test name: TC-06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uses the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pproved number. Input: service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“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Mobile Crane Hire (sample)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”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. Expected: link starts with the approved number and the message contains the service name. Planned (test not yet run by me)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request-flow-reasoning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Request-flow reasoning</w:t>
      </w:r>
    </w:p>
    <w:tbl>
      <w:tblPr>
        <w:tblStyle w:val="Table"/>
        <w:tblW w:type="pct" w:w="4905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187"/>
        <w:gridCol w:w="55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Actor device and 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Customer’s phone, mobile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Screen, route or 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Services section of https://crane-mobile.vercel.app/, then a wa.me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Data 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Only a page request; the link carries the number and message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The message is URL-encoded; the number comes from one config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Database or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None; WhatsApp is the external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Static page; WhatsApp chat with prepared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Validation failure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Missing service name or bad number is caught by tests and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Outage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Hosting or WhatsApp down: page or chat cannot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Failure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The link content (wrong number or broken encoding)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Protected data or concern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The approved number, and customer privacy (nothing stored)</w:t>
            </w:r>
          </w:p>
        </w:tc>
      </w:tr>
    </w:tbl>
    <w:bookmarkEnd w:id="23"/>
    <w:bookmarkStart w:id="24" w:name="declaration-and-ai-disclosure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Declaration and AI disclosure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sz w:val="24"/>
        </w:rPr>
        <w:t xml:space="preserve">“</w:t>
      </w:r>
      <w:r>
        <w:rPr>
          <w:rFonts w:ascii="Times New Roman" w:hAnsi="Times New Roman" w:eastAsia="Times New Roman" w:cs="Times New Roman"/>
          <w:sz w:val="24"/>
        </w:rPr>
        <w:t xml:space="preserve">I understand the use case, story, acceptance criteria and traceability links submitted here, and I can explain them orally if called upon.</w:t>
      </w:r>
      <w:r>
        <w:rPr>
          <w:rFonts w:ascii="Times New Roman" w:hAnsi="Times New Roman" w:eastAsia="Times New Roman" w:cs="Times New Roman"/>
          <w:sz w:val="24"/>
        </w:rPr>
        <w:t xml:space="preserve">”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Typed name: jpkanquandah</w:t>
      </w:r>
    </w:p>
    <w:p>
      <w:pPr>
        <w:pStyle w:val="BodyTex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AI used: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Yes. Claude (Anthropic), 23 October 2026: drafted the card layout from my team’s use cases. I changed the wording to match our site, and checked the use case, story and flow against our team documents. No IA03 video is required.</w:t>
      </w:r>
    </w:p>
    <w:bookmarkEnd w:id="24"/>
    <w:bookmarkEnd w:id="2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eastAsia="Times New Roman" w:cs="Times New Roman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 w:cs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eastAsia="Times New Roman" w:cs="Times New Roman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4"/>
      <w:szCs w:val="20"/>
      <w:rFonts w:ascii="Times New Roman" w:hAnsi="Times New Roman" w:eastAsia="Times New Roman" w:cs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 w:cs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Times New Roman" w:cs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eastAsia="Times New Roman" w:cs="Times New Roman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eastAsia="Times New Roman" w:cs="Times New Roman"/>
      <w:b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 w:cs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sz w:val="24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 w:cs="Times New Roman"/>
      <w:sz w:val="24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Times New Roman" w:cs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  <w:sz w:val="24"/>
    </w:rPr>
  </w:style>
  <w:style w:customStyle="1" w:styleId="Definition" w:type="paragraph">
    <w:name w:val="Definition"/>
    <w:basedOn w:val="Normal"/>
    <w:rPr>
      <w:rFonts w:ascii="Times New Roman" w:hAnsi="Times New Roman" w:eastAsia="Times New Roman" w:cs="Times New Roman"/>
      <w:sz w:val="24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Times New Roman" w:cs="Times New Roman"/>
      <w:i/>
      <w:sz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 w:cs="Times New Roman"/>
      <w:sz w:val="24"/>
    </w:rPr>
  </w:style>
  <w:style w:customStyle="1" w:styleId="ImageCaption" w:type="paragraph">
    <w:name w:val="Image Caption"/>
    <w:basedOn w:val="Caption"/>
    <w:rPr>
      <w:rFonts w:ascii="Times New Roman" w:hAnsi="Times New Roman" w:eastAsia="Times New Roman" w:cs="Times New Roman"/>
      <w:sz w:val="24"/>
    </w:rPr>
  </w:style>
  <w:style w:customStyle="1" w:styleId="Figure" w:type="paragraph">
    <w:name w:val="Figure"/>
    <w:basedOn w:val="Normal"/>
    <w:rPr>
      <w:rFonts w:ascii="Times New Roman" w:hAnsi="Times New Roman" w:eastAsia="Times New Roman" w:cs="Times New Roman"/>
      <w:sz w:val="24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Times New Roman" w:cs="Times New Roman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 w:cs="Times New Roman"/>
      <w:sz w:val="24"/>
    </w:rPr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sz w:val="24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 w:cs="Times New Roman"/>
      <w:sz w:val="24"/>
    </w:rPr>
  </w:style>
  <w:style w:styleId="FootnoteReference" w:type="character">
    <w:name w:val="Footnote Reference"/>
    <w:basedOn w:val="BodyTextChar"/>
    <w:rPr>
      <w:rFonts w:ascii="Times New Roman" w:hAnsi="Times New Roman" w:eastAsia="Times New Roman" w:cs="Times New Roman"/>
      <w:sz w:val="24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themeColor="accent1" w:val="4F81BD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themeColor="accent1" w:themeShade="BF" w:val="365F91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Times New Roman" w:cs="Times New Roman"/>
      <w:sz w:val="24"/>
    </w:rPr>
  </w:style>
  <w:style w:type="character" w:customStyle="1" w:styleId="KeywordTok">
    <w:name w:val="KeywordTok"/>
    <w:basedOn w:val="VerbatimChar"/>
    <w:rPr>
      <w:color w:val="007020"/>
      <w:rFonts w:ascii="Times New Roman" w:hAnsi="Times New Roman" w:eastAsia="Times New Roman" w:cs="Times New Roman"/>
      <w:b/>
      <w:sz w:val="24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 w:cs="Times New Roman"/>
      <w:color w:val="902000"/>
      <w:sz w:val="24"/>
    </w:rPr>
  </w:style>
  <w:style w:type="character" w:customStyle="1" w:styleId="DecValTok">
    <w:name w:val="DecValTok"/>
    <w:basedOn w:val="VerbatimChar"/>
    <w:rPr>
      <w:rFonts w:ascii="Times New Roman" w:hAnsi="Times New Roman" w:eastAsia="Times New Roman" w:cs="Times New Roman"/>
      <w:color w:val="40a070"/>
      <w:sz w:val="24"/>
    </w:rPr>
  </w:style>
  <w:style w:type="character" w:customStyle="1" w:styleId="BaseNTok">
    <w:name w:val="BaseNTok"/>
    <w:basedOn w:val="VerbatimChar"/>
    <w:rPr>
      <w:rFonts w:ascii="Times New Roman" w:hAnsi="Times New Roman" w:eastAsia="Times New Roman" w:cs="Times New Roman"/>
      <w:color w:val="40a070"/>
      <w:sz w:val="24"/>
    </w:rPr>
  </w:style>
  <w:style w:type="character" w:customStyle="1" w:styleId="FloatTok">
    <w:name w:val="FloatTok"/>
    <w:basedOn w:val="VerbatimChar"/>
    <w:rPr>
      <w:rFonts w:ascii="Times New Roman" w:hAnsi="Times New Roman" w:eastAsia="Times New Roman" w:cs="Times New Roman"/>
      <w:color w:val="40a070"/>
      <w:sz w:val="24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 w:cs="Times New Roman"/>
      <w:color w:val="880000"/>
      <w:sz w:val="24"/>
    </w:rPr>
  </w:style>
  <w:style w:type="character" w:customStyle="1" w:styleId="CharTok">
    <w:name w:val="Char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StringTok">
    <w:name w:val="String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 w:cs="Times New Roman"/>
      <w:color w:val="bb6688"/>
      <w:sz w:val="24"/>
    </w:rPr>
  </w:style>
  <w:style w:type="character" w:customStyle="1" w:styleId="ImportTok">
    <w:name w:val="ImportTok"/>
    <w:basedOn w:val="VerbatimChar"/>
    <w:rPr>
      <w:color w:val="008000"/>
      <w:rFonts w:ascii="Times New Roman" w:hAnsi="Times New Roman" w:eastAsia="Times New Roman" w:cs="Times New Roman"/>
      <w:b/>
      <w:sz w:val="24"/>
    </w:rPr>
  </w:style>
  <w:style w:type="character" w:customStyle="1" w:styleId="CommentTok">
    <w:name w:val="CommentTok"/>
    <w:basedOn w:val="VerbatimChar"/>
    <w:rPr>
      <w:color w:val="60a0b0"/>
      <w:rFonts w:ascii="Times New Roman" w:hAnsi="Times New Roman" w:eastAsia="Times New Roman" w:cs="Times New Roman"/>
      <w:i/>
      <w:sz w:val="24"/>
    </w:rPr>
  </w:style>
  <w:style w:type="character" w:customStyle="1" w:styleId="DocumentationTok">
    <w:name w:val="DocumentationTok"/>
    <w:basedOn w:val="VerbatimChar"/>
    <w:rPr>
      <w:color w:val="ba2121"/>
      <w:rFonts w:ascii="Times New Roman" w:hAnsi="Times New Roman" w:eastAsia="Times New Roman" w:cs="Times New Roman"/>
      <w:i/>
      <w:sz w:val="24"/>
    </w:rPr>
  </w:style>
  <w:style w:type="character" w:customStyle="1" w:styleId="AnnotationTok">
    <w:name w:val="Annotation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CommentVarTok">
    <w:name w:val="CommentVar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OtherTok">
    <w:name w:val="OtherTok"/>
    <w:basedOn w:val="VerbatimChar"/>
    <w:rPr>
      <w:rFonts w:ascii="Times New Roman" w:hAnsi="Times New Roman" w:eastAsia="Times New Roman" w:cs="Times New Roman"/>
      <w:color w:val="007020"/>
      <w:sz w:val="24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 w:cs="Times New Roman"/>
      <w:color w:val="06287e"/>
      <w:sz w:val="24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 w:cs="Times New Roman"/>
      <w:color w:val="19177c"/>
      <w:sz w:val="24"/>
    </w:rPr>
  </w:style>
  <w:style w:type="character" w:customStyle="1" w:styleId="ControlFlowTok">
    <w:name w:val="ControlFlowTok"/>
    <w:basedOn w:val="VerbatimChar"/>
    <w:rPr>
      <w:color w:val="007020"/>
      <w:rFonts w:ascii="Times New Roman" w:hAnsi="Times New Roman" w:eastAsia="Times New Roman" w:cs="Times New Roman"/>
      <w:b/>
      <w:sz w:val="24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 w:cs="Times New Roman"/>
      <w:color w:val="666666"/>
      <w:sz w:val="24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 w:cs="Times New Roman"/>
      <w:color w:val="008000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 w:cs="Times New Roman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 w:cs="Times New Roman"/>
      <w:color w:val="bc7a00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 w:cs="Times New Roman"/>
      <w:color w:val="7d9029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 w:cs="Times New Roman"/>
      <w:sz w:val="24"/>
    </w:rPr>
  </w:style>
  <w:style w:type="character" w:customStyle="1" w:styleId="InformationTok">
    <w:name w:val="Information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WarningTok">
    <w:name w:val="Warning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AlertTok">
    <w:name w:val="AlertTok"/>
    <w:basedOn w:val="VerbatimChar"/>
    <w:rPr>
      <w:color w:val="ff0000"/>
      <w:rFonts w:ascii="Times New Roman" w:hAnsi="Times New Roman" w:eastAsia="Times New Roman" w:cs="Times New Roman"/>
      <w:b/>
      <w:sz w:val="24"/>
    </w:rPr>
  </w:style>
  <w:style w:type="character" w:customStyle="1" w:styleId="ErrorTok">
    <w:name w:val="ErrorTok"/>
    <w:basedOn w:val="VerbatimChar"/>
    <w:rPr>
      <w:color w:val="ff0000"/>
      <w:rFonts w:ascii="Times New Roman" w:hAnsi="Times New Roman" w:eastAsia="Times New Roman" w:cs="Times New Roman"/>
      <w:b/>
      <w:sz w:val="24"/>
    </w:rPr>
  </w:style>
  <w:style w:type="character" w:customStyle="1" w:styleId="NormalTok">
    <w:name w:val="NormalTok"/>
    <w:basedOn w:val="VerbatimChar"/>
    <w:rPr>
      <w:rFonts w:ascii="Times New Roman" w:hAnsi="Times New Roman" w:eastAsia="Times New Roman" w:cs="Times New Roman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2026-10-23T22:29:07Z</dcterms:created>
  <dcterms:modified xsi:type="dcterms:W3CDTF">2026-10-23T22:29:07Z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