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From an initial sample of 128 TBI patients, 79 (61.71%) were part of follow up study of remaining 40 (31.25%) were declared dead post hospital discharge, rest of 9 (7.01%) didn't participated in follow up study. Of 128 patients 111 () were male and 17 () were female. Of 128 patients 20 (15.62%) were uneducated, 85 (66.40%) were only high school educated, 16 (12.5%) were graduate and 7 (5.4%) were post graduate. More than half (71.09%) were married and remaining 37 (28.90%) were unmarried. 8 cases (6.25%) belonged to age range between 10-19, 55 patients cases (42.96%) belonged to age range between 20 -29. 29 cases (22.65%) belonged to age range 30-39, 26 (20.31%) belonged 40-49 age range, 10 (7.81%) cases belonged to 50-59 age range.</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Majority of cases 96 (75%) belonged to RTA injuries, 3 (2.34%) cases had assault as a reason for their traumatic brain injury, 2 (1.56%) cases reported with railway track injuries, 2 (1.56%) with other reasons and 25 (19.53%) reported injuries due to fall injuries. 121 cases (94.53%) had injury in one eye, 7 (5.46%) cases were reported with injuries in both eyes.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Post hospitalization discharge report shows that 16 (12.5%) cases reported with GCS score 3, 26 (20.31%) cases were reported with GCS score 4, 10 (7.81%) cases reported GCS score 5, 18 (14.06%) cases reported GCS score 6, 49 (38.28%) cases reported GCS score 7, rest of 9 (7.03%) people reported GCS score 8.</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Of 128 cases 76 (59.37%) were non alcoholic and rest of 52 (40.62%) were alcoholic. Out of 128 patients 101 (78.90%) were non-smokers and 27 (21.09%) were smokers. Of 128 cases 121 (94.53%) reported no drug abuse rest of 7 cases (5.46%) reported drug abuse.</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 xml:space="preserve">All 128 patients (100%) underwent CT scan of head, 3 cases (2.34%) underwent X-ray diagnosis, for 1 case (0.78%) USG was performed and there wasn't any case (0%) of CT cervical. </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To study the health status of TBI patients Barthel and GOSE index were inquired using questionnaires. Modified barthel index was used for post hospitalization health status check of TBI patients. Of 125 studied cases 19 (15.2%) were totally dependent, 6 (4.8%) were severely dependent, 82 cases (65.6%) were moderately dependent, 2 cases (1.6%) reported mild dependence and rest of 16 cases (12.8%) reported total independence.</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4000" w:type="pct"/>
        <w:jc w:val="center"/>
        <w:tblInd w:w="0" w:type="dxa"/>
        <w:tblBorders>
          <w:top w:val="single" w:sz="6" w:space="0" w:color="000001"/>
          <w:left w:val="single" w:sz="6" w:space="0" w:color="000001"/>
          <w:bottom w:val="single" w:sz="6" w:space="0" w:color="000001"/>
          <w:insideH w:val="single" w:sz="6" w:space="0" w:color="000001"/>
        </w:tblBorders>
        <w:tblCellMar>
          <w:top w:w="58" w:type="dxa"/>
          <w:left w:w="42" w:type="dxa"/>
          <w:bottom w:w="58" w:type="dxa"/>
          <w:right w:w="0" w:type="dxa"/>
        </w:tblCellMar>
        <w:tblLook w:val="04a0"/>
      </w:tblPr>
      <w:tblGrid>
        <w:gridCol w:w="1879"/>
        <w:gridCol w:w="1465"/>
        <w:gridCol w:w="4144"/>
      </w:tblGrid>
      <w:tr>
        <w:trPr>
          <w:tblHeader w:val="true"/>
          <w:trHeight w:val="282" w:hRule="atLeast"/>
        </w:trPr>
        <w:tc>
          <w:tcPr>
            <w:tcW w:w="1879" w:type="dxa"/>
            <w:tcBorders>
              <w:top w:val="single" w:sz="6" w:space="0" w:color="000001"/>
              <w:left w:val="single" w:sz="6" w:space="0" w:color="000001"/>
              <w:bottom w:val="single" w:sz="6" w:space="0" w:color="000001"/>
              <w:insideH w:val="single" w:sz="6" w:space="0" w:color="000001"/>
            </w:tcBorders>
            <w:shd w:color="auto" w:fill="auto" w:val="clear"/>
            <w:tcMar>
              <w:left w:w="42" w:type="dxa"/>
            </w:tcMar>
          </w:tcPr>
          <w:p>
            <w:pPr>
              <w:pStyle w:val="Normal"/>
              <w:spacing w:lineRule="auto" w:line="240" w:beforeAutospacing="1"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30"/>
                <w:szCs w:val="30"/>
              </w:rPr>
              <w:t>Modified Barthel Index</w:t>
            </w:r>
          </w:p>
        </w:tc>
        <w:tc>
          <w:tcPr>
            <w:tcW w:w="1465" w:type="dxa"/>
            <w:tcBorders>
              <w:top w:val="single" w:sz="6" w:space="0" w:color="000001"/>
              <w:left w:val="single" w:sz="6" w:space="0" w:color="000001"/>
              <w:bottom w:val="single" w:sz="6" w:space="0" w:color="000001"/>
              <w:insideH w:val="single" w:sz="6" w:space="0" w:color="000001"/>
            </w:tcBorders>
            <w:shd w:color="auto" w:fill="auto" w:val="clear"/>
            <w:tcMar>
              <w:left w:w="42" w:type="dxa"/>
            </w:tcMar>
          </w:tcPr>
          <w:p>
            <w:pPr>
              <w:pStyle w:val="Normal"/>
              <w:spacing w:lineRule="auto" w:line="240" w:beforeAutospacing="1"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30"/>
                <w:szCs w:val="30"/>
              </w:rPr>
              <w:t>Score</w:t>
            </w:r>
          </w:p>
        </w:tc>
        <w:tc>
          <w:tcPr>
            <w:tcW w:w="4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2" w:type="dxa"/>
              <w:right w:w="58" w:type="dxa"/>
            </w:tcMar>
          </w:tcPr>
          <w:p>
            <w:pPr>
              <w:pStyle w:val="Normal"/>
              <w:spacing w:lineRule="auto" w:line="240" w:beforeAutospacing="1" w:after="0"/>
              <w:rPr>
                <w:rFonts w:ascii="Times New Roman" w:hAnsi="Times New Roman" w:eastAsia="Times New Roman" w:cs="Times New Roman"/>
                <w:b/>
                <w:b/>
                <w:bCs/>
                <w:sz w:val="24"/>
                <w:szCs w:val="24"/>
              </w:rPr>
            </w:pPr>
            <w:r>
              <w:rPr>
                <w:rFonts w:eastAsia="Times New Roman" w:cs="Times New Roman" w:ascii="Times New Roman" w:hAnsi="Times New Roman"/>
                <w:b/>
                <w:bCs/>
                <w:sz w:val="30"/>
                <w:szCs w:val="30"/>
              </w:rPr>
              <w:t>Meaning</w:t>
            </w:r>
          </w:p>
        </w:tc>
      </w:tr>
      <w:tr>
        <w:trPr>
          <w:trHeight w:val="282" w:hRule="atLeast"/>
        </w:trPr>
        <w:tc>
          <w:tcPr>
            <w:tcW w:w="1879" w:type="dxa"/>
            <w:tcBorders>
              <w:top w:val="single" w:sz="6" w:space="0" w:color="000001"/>
              <w:left w:val="single" w:sz="6" w:space="0" w:color="000001"/>
              <w:bottom w:val="single" w:sz="6" w:space="0" w:color="000001"/>
              <w:insideH w:val="single" w:sz="6" w:space="0" w:color="000001"/>
            </w:tcBorders>
            <w:shd w:color="auto" w:fill="auto" w:val="clear"/>
            <w:tcMar>
              <w:top w:w="0" w:type="dxa"/>
              <w:left w:w="42" w:type="dxa"/>
            </w:tcMar>
          </w:tcPr>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30"/>
                <w:szCs w:val="30"/>
              </w:rPr>
              <w:t>0</w:t>
            </w:r>
          </w:p>
        </w:tc>
        <w:tc>
          <w:tcPr>
            <w:tcW w:w="1465" w:type="dxa"/>
            <w:tcBorders>
              <w:top w:val="single" w:sz="6" w:space="0" w:color="000001"/>
              <w:left w:val="single" w:sz="6" w:space="0" w:color="000001"/>
              <w:bottom w:val="single" w:sz="6" w:space="0" w:color="000001"/>
              <w:insideH w:val="single" w:sz="6" w:space="0" w:color="000001"/>
            </w:tcBorders>
            <w:shd w:color="auto" w:fill="auto" w:val="clear"/>
            <w:tcMar>
              <w:top w:w="0" w:type="dxa"/>
              <w:left w:w="42" w:type="dxa"/>
            </w:tcMar>
          </w:tcPr>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30"/>
                <w:szCs w:val="30"/>
              </w:rPr>
              <w:t>&lt;5</w:t>
            </w:r>
          </w:p>
        </w:tc>
        <w:tc>
          <w:tcPr>
            <w:tcW w:w="4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42" w:type="dxa"/>
              <w:right w:w="58" w:type="dxa"/>
            </w:tcMar>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Total dependence</w:t>
            </w:r>
          </w:p>
        </w:tc>
      </w:tr>
      <w:tr>
        <w:trPr>
          <w:trHeight w:val="282" w:hRule="atLeast"/>
        </w:trPr>
        <w:tc>
          <w:tcPr>
            <w:tcW w:w="1879" w:type="dxa"/>
            <w:tcBorders>
              <w:top w:val="single" w:sz="6" w:space="0" w:color="000001"/>
              <w:left w:val="single" w:sz="6" w:space="0" w:color="000001"/>
              <w:bottom w:val="single" w:sz="6" w:space="0" w:color="000001"/>
              <w:insideH w:val="single" w:sz="6" w:space="0" w:color="000001"/>
            </w:tcBorders>
            <w:shd w:color="auto" w:fill="auto" w:val="clear"/>
            <w:tcMar>
              <w:top w:w="0" w:type="dxa"/>
              <w:left w:w="42" w:type="dxa"/>
            </w:tcMar>
          </w:tcPr>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30"/>
                <w:szCs w:val="30"/>
              </w:rPr>
              <w:t>1</w:t>
            </w:r>
          </w:p>
        </w:tc>
        <w:tc>
          <w:tcPr>
            <w:tcW w:w="1465" w:type="dxa"/>
            <w:tcBorders>
              <w:top w:val="single" w:sz="6" w:space="0" w:color="000001"/>
              <w:left w:val="single" w:sz="6" w:space="0" w:color="000001"/>
              <w:bottom w:val="single" w:sz="6" w:space="0" w:color="000001"/>
              <w:insideH w:val="single" w:sz="6" w:space="0" w:color="000001"/>
            </w:tcBorders>
            <w:shd w:color="auto" w:fill="auto" w:val="clear"/>
            <w:tcMar>
              <w:top w:w="0" w:type="dxa"/>
              <w:left w:w="42" w:type="dxa"/>
            </w:tcMar>
          </w:tcPr>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30"/>
                <w:szCs w:val="30"/>
              </w:rPr>
              <w:t>5-10</w:t>
            </w:r>
          </w:p>
        </w:tc>
        <w:tc>
          <w:tcPr>
            <w:tcW w:w="4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42" w:type="dxa"/>
              <w:right w:w="58" w:type="dxa"/>
            </w:tcMar>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Severe dependence</w:t>
            </w:r>
          </w:p>
        </w:tc>
      </w:tr>
      <w:tr>
        <w:trPr>
          <w:trHeight w:val="272" w:hRule="atLeast"/>
        </w:trPr>
        <w:tc>
          <w:tcPr>
            <w:tcW w:w="1879" w:type="dxa"/>
            <w:tcBorders>
              <w:top w:val="single" w:sz="6" w:space="0" w:color="000001"/>
              <w:left w:val="single" w:sz="6" w:space="0" w:color="000001"/>
              <w:bottom w:val="single" w:sz="6" w:space="0" w:color="000001"/>
              <w:insideH w:val="single" w:sz="6" w:space="0" w:color="000001"/>
            </w:tcBorders>
            <w:shd w:color="auto" w:fill="auto" w:val="clear"/>
            <w:tcMar>
              <w:top w:w="0" w:type="dxa"/>
              <w:left w:w="42" w:type="dxa"/>
            </w:tcMar>
          </w:tcPr>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30"/>
                <w:szCs w:val="30"/>
              </w:rPr>
              <w:t>2</w:t>
            </w:r>
          </w:p>
        </w:tc>
        <w:tc>
          <w:tcPr>
            <w:tcW w:w="1465" w:type="dxa"/>
            <w:tcBorders>
              <w:top w:val="single" w:sz="6" w:space="0" w:color="000001"/>
              <w:left w:val="single" w:sz="6" w:space="0" w:color="000001"/>
              <w:bottom w:val="single" w:sz="6" w:space="0" w:color="000001"/>
              <w:insideH w:val="single" w:sz="6" w:space="0" w:color="000001"/>
            </w:tcBorders>
            <w:shd w:color="auto" w:fill="auto" w:val="clear"/>
            <w:tcMar>
              <w:top w:w="0" w:type="dxa"/>
              <w:left w:w="42" w:type="dxa"/>
            </w:tcMar>
          </w:tcPr>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30"/>
                <w:szCs w:val="30"/>
              </w:rPr>
              <w:t>11-15</w:t>
            </w:r>
          </w:p>
        </w:tc>
        <w:tc>
          <w:tcPr>
            <w:tcW w:w="4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42" w:type="dxa"/>
              <w:right w:w="58" w:type="dxa"/>
            </w:tcMar>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Moderate dependence</w:t>
            </w:r>
          </w:p>
        </w:tc>
      </w:tr>
      <w:tr>
        <w:trPr>
          <w:trHeight w:val="272" w:hRule="atLeast"/>
        </w:trPr>
        <w:tc>
          <w:tcPr>
            <w:tcW w:w="1879" w:type="dxa"/>
            <w:tcBorders>
              <w:top w:val="single" w:sz="6" w:space="0" w:color="000001"/>
              <w:left w:val="single" w:sz="6" w:space="0" w:color="000001"/>
              <w:bottom w:val="single" w:sz="6" w:space="0" w:color="000001"/>
              <w:insideH w:val="single" w:sz="6" w:space="0" w:color="000001"/>
            </w:tcBorders>
            <w:shd w:color="auto" w:fill="auto" w:val="clear"/>
            <w:tcMar>
              <w:top w:w="0" w:type="dxa"/>
              <w:left w:w="42" w:type="dxa"/>
            </w:tcMar>
          </w:tcPr>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30"/>
                <w:szCs w:val="30"/>
              </w:rPr>
              <w:t>3</w:t>
            </w:r>
          </w:p>
        </w:tc>
        <w:tc>
          <w:tcPr>
            <w:tcW w:w="1465" w:type="dxa"/>
            <w:tcBorders>
              <w:top w:val="single" w:sz="6" w:space="0" w:color="000001"/>
              <w:left w:val="single" w:sz="6" w:space="0" w:color="000001"/>
              <w:bottom w:val="single" w:sz="6" w:space="0" w:color="000001"/>
              <w:insideH w:val="single" w:sz="6" w:space="0" w:color="000001"/>
            </w:tcBorders>
            <w:shd w:color="auto" w:fill="auto" w:val="clear"/>
            <w:tcMar>
              <w:top w:w="0" w:type="dxa"/>
              <w:left w:w="42" w:type="dxa"/>
            </w:tcMar>
          </w:tcPr>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30"/>
                <w:szCs w:val="30"/>
              </w:rPr>
              <w:t>16-19</w:t>
            </w:r>
          </w:p>
        </w:tc>
        <w:tc>
          <w:tcPr>
            <w:tcW w:w="4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42" w:type="dxa"/>
              <w:right w:w="58" w:type="dxa"/>
            </w:tcMar>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Mild dependence</w:t>
            </w:r>
          </w:p>
        </w:tc>
      </w:tr>
      <w:tr>
        <w:trPr>
          <w:trHeight w:val="282" w:hRule="atLeast"/>
        </w:trPr>
        <w:tc>
          <w:tcPr>
            <w:tcW w:w="1879" w:type="dxa"/>
            <w:tcBorders>
              <w:top w:val="single" w:sz="6" w:space="0" w:color="000001"/>
              <w:left w:val="single" w:sz="6" w:space="0" w:color="000001"/>
              <w:bottom w:val="single" w:sz="6" w:space="0" w:color="000001"/>
              <w:insideH w:val="single" w:sz="6" w:space="0" w:color="000001"/>
            </w:tcBorders>
            <w:shd w:color="auto" w:fill="auto" w:val="clear"/>
            <w:tcMar>
              <w:top w:w="0" w:type="dxa"/>
              <w:left w:w="42" w:type="dxa"/>
            </w:tcMar>
          </w:tcPr>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30"/>
                <w:szCs w:val="30"/>
              </w:rPr>
              <w:t>4</w:t>
            </w:r>
          </w:p>
        </w:tc>
        <w:tc>
          <w:tcPr>
            <w:tcW w:w="1465" w:type="dxa"/>
            <w:tcBorders>
              <w:top w:val="single" w:sz="6" w:space="0" w:color="000001"/>
              <w:left w:val="single" w:sz="6" w:space="0" w:color="000001"/>
              <w:bottom w:val="single" w:sz="6" w:space="0" w:color="000001"/>
              <w:insideH w:val="single" w:sz="6" w:space="0" w:color="000001"/>
            </w:tcBorders>
            <w:shd w:color="auto" w:fill="auto" w:val="clear"/>
            <w:tcMar>
              <w:top w:w="0" w:type="dxa"/>
              <w:left w:w="42" w:type="dxa"/>
            </w:tcMar>
          </w:tcPr>
          <w:p>
            <w:pPr>
              <w:pStyle w:val="Normal"/>
              <w:spacing w:lineRule="auto" w:line="240" w:beforeAutospacing="1" w:after="0"/>
              <w:jc w:val="center"/>
              <w:rPr>
                <w:rFonts w:ascii="Times New Roman" w:hAnsi="Times New Roman" w:eastAsia="Times New Roman" w:cs="Times New Roman"/>
                <w:sz w:val="24"/>
                <w:szCs w:val="24"/>
              </w:rPr>
            </w:pPr>
            <w:r>
              <w:rPr>
                <w:rFonts w:eastAsia="Times New Roman" w:cs="Times New Roman" w:ascii="Times New Roman" w:hAnsi="Times New Roman"/>
                <w:sz w:val="30"/>
                <w:szCs w:val="30"/>
              </w:rPr>
              <w:t>20</w:t>
            </w:r>
          </w:p>
        </w:tc>
        <w:tc>
          <w:tcPr>
            <w:tcW w:w="4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0" w:type="dxa"/>
              <w:left w:w="42" w:type="dxa"/>
              <w:right w:w="58" w:type="dxa"/>
            </w:tcMar>
          </w:tcPr>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Total independence</w:t>
            </w:r>
          </w:p>
        </w:tc>
      </w:tr>
    </w:tbl>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Follow up study reveals continuous growth in number of patients with total independence, for 1</w:t>
      </w:r>
      <w:r>
        <w:rPr>
          <w:rFonts w:eastAsia="Times New Roman" w:cs="Times New Roman" w:ascii="Times New Roman" w:hAnsi="Times New Roman"/>
          <w:sz w:val="30"/>
          <w:szCs w:val="30"/>
          <w:vertAlign w:val="superscript"/>
        </w:rPr>
        <w:t>st</w:t>
      </w:r>
      <w:r>
        <w:rPr>
          <w:rFonts w:eastAsia="Times New Roman" w:cs="Times New Roman" w:ascii="Times New Roman" w:hAnsi="Times New Roman"/>
          <w:sz w:val="30"/>
          <w:szCs w:val="30"/>
        </w:rPr>
        <w:t xml:space="preserve"> follow up after discharge 12.5% cases reported total independence which increased to 27.5% cases in 2</w:t>
      </w:r>
      <w:r>
        <w:rPr>
          <w:rFonts w:eastAsia="Times New Roman" w:cs="Times New Roman" w:ascii="Times New Roman" w:hAnsi="Times New Roman"/>
          <w:sz w:val="30"/>
          <w:szCs w:val="30"/>
          <w:vertAlign w:val="superscript"/>
        </w:rPr>
        <w:t>nd</w:t>
      </w:r>
      <w:r>
        <w:rPr>
          <w:rFonts w:eastAsia="Times New Roman" w:cs="Times New Roman" w:ascii="Times New Roman" w:hAnsi="Times New Roman"/>
          <w:sz w:val="30"/>
          <w:szCs w:val="30"/>
        </w:rPr>
        <w:t xml:space="preserve"> follow up, increased to 53.24% in 3rd follow up, increased to 62.33% in 4</w:t>
      </w:r>
      <w:r>
        <w:rPr>
          <w:rFonts w:eastAsia="Times New Roman" w:cs="Times New Roman" w:ascii="Times New Roman" w:hAnsi="Times New Roman"/>
          <w:sz w:val="30"/>
          <w:szCs w:val="30"/>
          <w:vertAlign w:val="superscript"/>
        </w:rPr>
        <w:t>th</w:t>
      </w:r>
      <w:r>
        <w:rPr>
          <w:rFonts w:eastAsia="Times New Roman" w:cs="Times New Roman" w:ascii="Times New Roman" w:hAnsi="Times New Roman"/>
          <w:sz w:val="30"/>
          <w:szCs w:val="30"/>
        </w:rPr>
        <w:t xml:space="preserve"> follow up and increased to 71.42% in 5</w:t>
      </w:r>
      <w:r>
        <w:rPr>
          <w:rFonts w:eastAsia="Times New Roman" w:cs="Times New Roman" w:ascii="Times New Roman" w:hAnsi="Times New Roman"/>
          <w:sz w:val="30"/>
          <w:szCs w:val="30"/>
          <w:vertAlign w:val="superscript"/>
        </w:rPr>
        <w:t>th</w:t>
      </w:r>
      <w:r>
        <w:rPr>
          <w:rFonts w:eastAsia="Times New Roman" w:cs="Times New Roman" w:ascii="Times New Roman" w:hAnsi="Times New Roman"/>
          <w:sz w:val="30"/>
          <w:szCs w:val="30"/>
        </w:rPr>
        <w:t xml:space="preserve"> follow up.</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On the other hand number of totally dependent cases show gradual decrease with 31.25% in first follow up, 15% in 2nd follow up, 10.38% in 3rd follow up, 7.79% in 4</w:t>
      </w:r>
      <w:r>
        <w:rPr>
          <w:rFonts w:eastAsia="Times New Roman" w:cs="Times New Roman" w:ascii="Times New Roman" w:hAnsi="Times New Roman"/>
          <w:sz w:val="30"/>
          <w:szCs w:val="30"/>
          <w:vertAlign w:val="superscript"/>
        </w:rPr>
        <w:t>th</w:t>
      </w:r>
      <w:r>
        <w:rPr>
          <w:rFonts w:eastAsia="Times New Roman" w:cs="Times New Roman" w:ascii="Times New Roman" w:hAnsi="Times New Roman"/>
          <w:sz w:val="30"/>
          <w:szCs w:val="30"/>
        </w:rPr>
        <w:t xml:space="preserve"> follow up which continued in 5</w:t>
      </w:r>
      <w:r>
        <w:rPr>
          <w:rFonts w:eastAsia="Times New Roman" w:cs="Times New Roman" w:ascii="Times New Roman" w:hAnsi="Times New Roman"/>
          <w:sz w:val="30"/>
          <w:szCs w:val="30"/>
          <w:vertAlign w:val="superscript"/>
        </w:rPr>
        <w:t>th</w:t>
      </w:r>
      <w:r>
        <w:rPr>
          <w:rFonts w:eastAsia="Times New Roman" w:cs="Times New Roman" w:ascii="Times New Roman" w:hAnsi="Times New Roman"/>
          <w:sz w:val="30"/>
          <w:szCs w:val="30"/>
        </w:rPr>
        <w:t xml:space="preserve"> follow up with same number of cases 7.79% which indicates recovery from traumatic brain injuries.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30"/>
          <w:szCs w:val="30"/>
        </w:rPr>
        <w:t>Gradual increment of barthel index of severely dependent TBI patients shows that these injuries can be recovered over time as number of cases 32.5% (1</w:t>
      </w:r>
      <w:r>
        <w:rPr>
          <w:rFonts w:eastAsia="Times New Roman" w:cs="Times New Roman" w:ascii="Times New Roman" w:hAnsi="Times New Roman"/>
          <w:sz w:val="30"/>
          <w:szCs w:val="30"/>
          <w:vertAlign w:val="superscript"/>
        </w:rPr>
        <w:t>st</w:t>
      </w:r>
      <w:r>
        <w:rPr>
          <w:rFonts w:eastAsia="Times New Roman" w:cs="Times New Roman" w:ascii="Times New Roman" w:hAnsi="Times New Roman"/>
          <w:sz w:val="30"/>
          <w:szCs w:val="30"/>
        </w:rPr>
        <w:t xml:space="preserve"> follow up) decreased to 30% in 2</w:t>
      </w:r>
      <w:r>
        <w:rPr>
          <w:rFonts w:eastAsia="Times New Roman" w:cs="Times New Roman" w:ascii="Times New Roman" w:hAnsi="Times New Roman"/>
          <w:sz w:val="30"/>
          <w:szCs w:val="30"/>
          <w:vertAlign w:val="superscript"/>
        </w:rPr>
        <w:t>nd</w:t>
      </w:r>
      <w:r>
        <w:rPr>
          <w:rFonts w:eastAsia="Times New Roman" w:cs="Times New Roman" w:ascii="Times New Roman" w:hAnsi="Times New Roman"/>
          <w:sz w:val="30"/>
          <w:szCs w:val="30"/>
        </w:rPr>
        <w:t xml:space="preserve"> follow up, which further decreased to 15.58% in 3rd follow up and then decreased to 14.28% in 4</w:t>
      </w:r>
      <w:r>
        <w:rPr>
          <w:rFonts w:eastAsia="Times New Roman" w:cs="Times New Roman" w:ascii="Times New Roman" w:hAnsi="Times New Roman"/>
          <w:sz w:val="30"/>
          <w:szCs w:val="30"/>
          <w:vertAlign w:val="superscript"/>
        </w:rPr>
        <w:t>th</w:t>
      </w:r>
      <w:r>
        <w:rPr>
          <w:rFonts w:eastAsia="Times New Roman" w:cs="Times New Roman" w:ascii="Times New Roman" w:hAnsi="Times New Roman"/>
          <w:sz w:val="30"/>
          <w:szCs w:val="30"/>
        </w:rPr>
        <w:t xml:space="preserve"> follow up and continued to be 14.28% in 5</w:t>
      </w:r>
      <w:r>
        <w:rPr>
          <w:rFonts w:eastAsia="Times New Roman" w:cs="Times New Roman" w:ascii="Times New Roman" w:hAnsi="Times New Roman"/>
          <w:sz w:val="30"/>
          <w:szCs w:val="30"/>
          <w:vertAlign w:val="superscript"/>
        </w:rPr>
        <w:t>th</w:t>
      </w:r>
      <w:r>
        <w:rPr>
          <w:rFonts w:eastAsia="Times New Roman" w:cs="Times New Roman" w:ascii="Times New Roman" w:hAnsi="Times New Roman"/>
          <w:sz w:val="30"/>
          <w:szCs w:val="30"/>
        </w:rPr>
        <w:t xml:space="preserve"> follow up. Same was observed for moderately dependent TBI patients.</w:t>
      </w:r>
    </w:p>
    <w:p>
      <w:pPr>
        <w:pStyle w:val="Normal"/>
        <w:rPr/>
      </w:pPr>
      <w:r>
        <w:rPr/>
      </w:r>
    </w:p>
    <w:p>
      <w:pPr>
        <w:pStyle w:val="Normal"/>
        <w:rPr/>
      </w:pPr>
      <w:r>
        <w:rPr>
          <w:rFonts w:eastAsia="Times New Roman" w:cs="Times New Roman" w:ascii="Times New Roman" w:hAnsi="Times New Roman"/>
          <w:sz w:val="30"/>
          <w:szCs w:val="30"/>
        </w:rPr>
        <w:t>This study used GOSE index to keep track of health status of TBI patients. GOSE index range was observed to be in between 2 to 8 where 2 indicated poor health and 8 indicates good health. From 1</w:t>
      </w:r>
      <w:r>
        <w:rPr>
          <w:rFonts w:eastAsia="Times New Roman" w:cs="Times New Roman" w:ascii="Times New Roman" w:hAnsi="Times New Roman"/>
          <w:sz w:val="30"/>
          <w:szCs w:val="30"/>
          <w:vertAlign w:val="superscript"/>
        </w:rPr>
        <w:t>st</w:t>
      </w:r>
      <w:r>
        <w:rPr>
          <w:rFonts w:eastAsia="Times New Roman" w:cs="Times New Roman" w:ascii="Times New Roman" w:hAnsi="Times New Roman"/>
          <w:sz w:val="30"/>
          <w:szCs w:val="30"/>
        </w:rPr>
        <w:t xml:space="preserve"> follow up to 2</w:t>
      </w:r>
      <w:r>
        <w:rPr>
          <w:rFonts w:eastAsia="Times New Roman" w:cs="Times New Roman" w:ascii="Times New Roman" w:hAnsi="Times New Roman"/>
          <w:sz w:val="30"/>
          <w:szCs w:val="30"/>
          <w:vertAlign w:val="superscript"/>
        </w:rPr>
        <w:t>nd</w:t>
      </w:r>
      <w:r>
        <w:rPr>
          <w:rFonts w:eastAsia="Times New Roman" w:cs="Times New Roman" w:ascii="Times New Roman" w:hAnsi="Times New Roman"/>
          <w:sz w:val="30"/>
          <w:szCs w:val="30"/>
        </w:rPr>
        <w:t xml:space="preserve"> follow up TBI patients with GOSE index 8 increased from 3.7% to 11.25%, from 2</w:t>
      </w:r>
      <w:r>
        <w:rPr>
          <w:rFonts w:eastAsia="Times New Roman" w:cs="Times New Roman" w:ascii="Times New Roman" w:hAnsi="Times New Roman"/>
          <w:sz w:val="30"/>
          <w:szCs w:val="30"/>
          <w:vertAlign w:val="superscript"/>
        </w:rPr>
        <w:t>nd</w:t>
      </w:r>
      <w:r>
        <w:rPr>
          <w:rFonts w:eastAsia="Times New Roman" w:cs="Times New Roman" w:ascii="Times New Roman" w:hAnsi="Times New Roman"/>
          <w:sz w:val="30"/>
          <w:szCs w:val="30"/>
        </w:rPr>
        <w:t xml:space="preserve"> follow up to 3</w:t>
      </w:r>
      <w:r>
        <w:rPr>
          <w:rFonts w:eastAsia="Times New Roman" w:cs="Times New Roman" w:ascii="Times New Roman" w:hAnsi="Times New Roman"/>
          <w:sz w:val="30"/>
          <w:szCs w:val="30"/>
          <w:vertAlign w:val="superscript"/>
        </w:rPr>
        <w:t>rd</w:t>
      </w:r>
      <w:r>
        <w:rPr>
          <w:rFonts w:eastAsia="Times New Roman" w:cs="Times New Roman" w:ascii="Times New Roman" w:hAnsi="Times New Roman"/>
          <w:sz w:val="30"/>
          <w:szCs w:val="30"/>
        </w:rPr>
        <w:t xml:space="preserve"> follow up GOSE index 8 increased from 11.25% to 16.88%, from 3</w:t>
      </w:r>
      <w:r>
        <w:rPr>
          <w:rFonts w:eastAsia="Times New Roman" w:cs="Times New Roman" w:ascii="Times New Roman" w:hAnsi="Times New Roman"/>
          <w:sz w:val="30"/>
          <w:szCs w:val="30"/>
          <w:vertAlign w:val="superscript"/>
        </w:rPr>
        <w:t>rd</w:t>
      </w:r>
      <w:r>
        <w:rPr>
          <w:rFonts w:eastAsia="Times New Roman" w:cs="Times New Roman" w:ascii="Times New Roman" w:hAnsi="Times New Roman"/>
          <w:sz w:val="30"/>
          <w:szCs w:val="30"/>
        </w:rPr>
        <w:t xml:space="preserve"> follow up to 4</w:t>
      </w:r>
      <w:r>
        <w:rPr>
          <w:rFonts w:eastAsia="Times New Roman" w:cs="Times New Roman" w:ascii="Times New Roman" w:hAnsi="Times New Roman"/>
          <w:sz w:val="30"/>
          <w:szCs w:val="30"/>
          <w:vertAlign w:val="superscript"/>
        </w:rPr>
        <w:t>th</w:t>
      </w:r>
      <w:r>
        <w:rPr>
          <w:rFonts w:eastAsia="Times New Roman" w:cs="Times New Roman" w:ascii="Times New Roman" w:hAnsi="Times New Roman"/>
          <w:sz w:val="30"/>
          <w:szCs w:val="30"/>
        </w:rPr>
        <w:t xml:space="preserve"> follow up GOSE index 8 was increased from 16.88% to 33.76%, from 4</w:t>
      </w:r>
      <w:r>
        <w:rPr>
          <w:rFonts w:eastAsia="Times New Roman" w:cs="Times New Roman" w:ascii="Times New Roman" w:hAnsi="Times New Roman"/>
          <w:sz w:val="30"/>
          <w:szCs w:val="30"/>
          <w:vertAlign w:val="superscript"/>
        </w:rPr>
        <w:t>th</w:t>
      </w:r>
      <w:r>
        <w:rPr>
          <w:rFonts w:eastAsia="Times New Roman" w:cs="Times New Roman" w:ascii="Times New Roman" w:hAnsi="Times New Roman"/>
          <w:sz w:val="30"/>
          <w:szCs w:val="30"/>
        </w:rPr>
        <w:t xml:space="preserve"> follow up to 5</w:t>
      </w:r>
      <w:r>
        <w:rPr>
          <w:rFonts w:eastAsia="Times New Roman" w:cs="Times New Roman" w:ascii="Times New Roman" w:hAnsi="Times New Roman"/>
          <w:sz w:val="30"/>
          <w:szCs w:val="30"/>
          <w:vertAlign w:val="superscript"/>
        </w:rPr>
        <w:t>th</w:t>
      </w:r>
      <w:r>
        <w:rPr>
          <w:rFonts w:eastAsia="Times New Roman" w:cs="Times New Roman" w:ascii="Times New Roman" w:hAnsi="Times New Roman"/>
          <w:sz w:val="30"/>
          <w:szCs w:val="30"/>
        </w:rPr>
        <w:t xml:space="preserve"> follow up it again increased from 33.76% to 44.15% and lastly increased to 50.64% in the 5</w:t>
      </w:r>
      <w:r>
        <w:rPr>
          <w:rFonts w:eastAsia="Times New Roman" w:cs="Times New Roman" w:ascii="Times New Roman" w:hAnsi="Times New Roman"/>
          <w:sz w:val="30"/>
          <w:szCs w:val="30"/>
          <w:vertAlign w:val="superscript"/>
        </w:rPr>
        <w:t>th</w:t>
      </w:r>
      <w:r>
        <w:rPr>
          <w:rFonts w:eastAsia="Times New Roman" w:cs="Times New Roman" w:ascii="Times New Roman" w:hAnsi="Times New Roman"/>
          <w:sz w:val="30"/>
          <w:szCs w:val="30"/>
        </w:rPr>
        <w:t xml:space="preserve"> follow up.</w:t>
      </w:r>
    </w:p>
    <w:p>
      <w:pPr>
        <w:pStyle w:val="Normal"/>
        <w:rPr>
          <w:rFonts w:ascii="Times New Roman" w:hAnsi="Times New Roman" w:eastAsia="Times New Roman" w:cs="Times New Roman"/>
          <w:sz w:val="30"/>
          <w:szCs w:val="30"/>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2120"/>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12689"/>
    <w:rPr>
      <w:rFonts w:ascii="Tahoma" w:hAnsi="Tahoma" w:cs="Tahoma"/>
      <w:sz w:val="16"/>
      <w:szCs w:val="16"/>
    </w:rPr>
  </w:style>
  <w:style w:type="paragraph" w:styleId="Heading" w:customStyle="1">
    <w:name w:val="Heading"/>
    <w:basedOn w:val="Normal"/>
    <w:next w:val="TextBody"/>
    <w:qFormat/>
    <w:rsid w:val="003a2120"/>
    <w:pPr>
      <w:keepNext/>
      <w:spacing w:before="240" w:after="120"/>
    </w:pPr>
    <w:rPr>
      <w:rFonts w:ascii="Liberation Sans" w:hAnsi="Liberation Sans" w:eastAsia="Microsoft YaHei" w:cs="Lucida Sans"/>
      <w:sz w:val="28"/>
      <w:szCs w:val="28"/>
    </w:rPr>
  </w:style>
  <w:style w:type="paragraph" w:styleId="TextBody">
    <w:name w:val="Body Text"/>
    <w:basedOn w:val="Normal"/>
    <w:rsid w:val="003a2120"/>
    <w:pPr>
      <w:spacing w:lineRule="auto" w:line="288" w:before="0" w:after="140"/>
    </w:pPr>
    <w:rPr/>
  </w:style>
  <w:style w:type="paragraph" w:styleId="List">
    <w:name w:val="List"/>
    <w:basedOn w:val="TextBody"/>
    <w:rsid w:val="003a2120"/>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3a2120"/>
    <w:pPr>
      <w:suppressLineNumbers/>
    </w:pPr>
    <w:rPr>
      <w:rFonts w:cs="Lucida Sans"/>
    </w:rPr>
  </w:style>
  <w:style w:type="paragraph" w:styleId="Caption1">
    <w:name w:val="caption"/>
    <w:basedOn w:val="Normal"/>
    <w:qFormat/>
    <w:rsid w:val="003a2120"/>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d803ea"/>
    <w:pPr>
      <w:spacing w:lineRule="auto" w:line="240" w:beforeAutospacing="1" w:after="115"/>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c1268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Application>LibreOffice/5.3.0.3$Windows_x86 LibreOffice_project/7074905676c47b82bbcfbea1aeefc84afe1c50e1</Application>
  <Pages>3</Pages>
  <Words>696</Words>
  <Characters>3354</Characters>
  <CharactersWithSpaces>4023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2017-04-18T07:22:00Z</dcterms:created>
  <dc:creator>Deepak Sharma</dc:creator>
  <dc:description/>
  <dc:language>en-US</dc:language>
  <cp:lastModifiedBy/>
  <dcterms:modified xsi:type="dcterms:W3CDTF">2017-04-19T16:19:02Z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