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3B4" w:rsidRDefault="001538E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From an initial sample of 128 TBI patients, 79 (61.71%) were part of follow up study of remaining 40 (31.25%) were declared dead post hospital discharge, rest of 9 (7.01%) didn't participated in follow up study. Of 128 patients 111 () were male and 17 () </w:t>
      </w:r>
      <w:r>
        <w:rPr>
          <w:rFonts w:ascii="Times New Roman" w:eastAsia="Times New Roman" w:hAnsi="Times New Roman" w:cs="Times New Roman"/>
          <w:sz w:val="30"/>
          <w:szCs w:val="30"/>
        </w:rPr>
        <w:t>were female. Of 128 patients 20 (15.62%) were uneducated, 85 (66.40%) were only high school educated, 16 (12.5%) were graduate and 7 (5.4%) were post graduate. More than half (71.09%) were married and remaining 37 (28.90%) were unmarried. 8 cases (6.25%) b</w:t>
      </w:r>
      <w:r>
        <w:rPr>
          <w:rFonts w:ascii="Times New Roman" w:eastAsia="Times New Roman" w:hAnsi="Times New Roman" w:cs="Times New Roman"/>
          <w:sz w:val="30"/>
          <w:szCs w:val="30"/>
        </w:rPr>
        <w:t>elonged to age range between 10-19, 55 patients cases (42.96%) belonged to age range between 20 -29. 29 cases (22.65%) belonged to age range 30-39, 26 (20.31%) belonged 40-49 age range, 10 (7.81%) cases belonged to 50-59 age range.</w:t>
      </w:r>
    </w:p>
    <w:p w:rsidR="00C533B4" w:rsidRDefault="001538E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Majority of cases 96 (75</w:t>
      </w:r>
      <w:r>
        <w:rPr>
          <w:rFonts w:ascii="Times New Roman" w:eastAsia="Times New Roman" w:hAnsi="Times New Roman" w:cs="Times New Roman"/>
          <w:sz w:val="30"/>
          <w:szCs w:val="30"/>
        </w:rPr>
        <w:t>%) belonged to RTA injuries, 3 (2.34%) cases had assault as a reason for their traumatic brain injury, 2 (1.56%) cases reported with railway track injuries, 2 (1.56%) with other reasons and 25 (19.53%) reported injuries due to fall injuries. 121 cases (94.</w:t>
      </w:r>
      <w:r>
        <w:rPr>
          <w:rFonts w:ascii="Times New Roman" w:eastAsia="Times New Roman" w:hAnsi="Times New Roman" w:cs="Times New Roman"/>
          <w:sz w:val="30"/>
          <w:szCs w:val="30"/>
        </w:rPr>
        <w:t>53%) had injury in one eye, 7 (5.46%) cases were reported with injuries in both eyes.</w:t>
      </w:r>
    </w:p>
    <w:p w:rsidR="00C533B4" w:rsidRDefault="001538E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Post hospitalization discharge report shows that 16 (12.5%) cases reported with GCS score 3, 26 (20.31%) cases were reported with GCS score 4, 10 (7.81%) cases reported G</w:t>
      </w:r>
      <w:r>
        <w:rPr>
          <w:rFonts w:ascii="Times New Roman" w:eastAsia="Times New Roman" w:hAnsi="Times New Roman" w:cs="Times New Roman"/>
          <w:sz w:val="30"/>
          <w:szCs w:val="30"/>
        </w:rPr>
        <w:t>CS score 5, 18 (14.06%) cases reported GCS score 6, 49 (38.28%) cases reported GCS score 7, rest of 9 (7.03%) people reported GCS score 8.</w:t>
      </w:r>
    </w:p>
    <w:p w:rsidR="00C533B4" w:rsidRDefault="001538E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Of 128 cases 76 (59.37%) were non alcoholic and rest of 52 (40.62%) were alcoholic. Out of 128 patients 101 (78.90%) </w:t>
      </w:r>
      <w:r>
        <w:rPr>
          <w:rFonts w:ascii="Times New Roman" w:eastAsia="Times New Roman" w:hAnsi="Times New Roman" w:cs="Times New Roman"/>
          <w:sz w:val="30"/>
          <w:szCs w:val="30"/>
        </w:rPr>
        <w:t>were non-smokers and 27 (21.09%) were smokers. Of 128 cases 121 (94.53%) reported no drug abuse rest of 7 cases (5.46%) reported drug abuse.</w:t>
      </w:r>
    </w:p>
    <w:p w:rsidR="00C533B4" w:rsidRDefault="001538E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All 128 patients (100%) underwent CT scan of head, 3 cases (2.34%) underwent X-ray diagnosis, for 1 case (0.78%) US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G was performed and there wasn't any case (0%) of CT cervical. </w:t>
      </w:r>
    </w:p>
    <w:p w:rsidR="00C533B4" w:rsidRDefault="001538E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To study the health status of TBI patients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Barthel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and GOSE index were inquired using questionnaires. Modified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barthel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index was used for post hospitalization health status check of TBI patien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ts. Of 125 studied cases 19 (15.2%) were totally dependent, 6 (4.8%) were severely dependent, 82 cases </w:t>
      </w: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(65.6%) were moderately dependent, 2 cases (1.6%) reported mild dependence and rest of 16 cases (12.8%) reported total independence.</w:t>
      </w:r>
    </w:p>
    <w:p w:rsidR="00C533B4" w:rsidRDefault="00C533B4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000" w:type="pct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58" w:type="dxa"/>
          <w:left w:w="42" w:type="dxa"/>
          <w:bottom w:w="58" w:type="dxa"/>
          <w:right w:w="0" w:type="dxa"/>
        </w:tblCellMar>
        <w:tblLook w:val="04A0"/>
      </w:tblPr>
      <w:tblGrid>
        <w:gridCol w:w="1899"/>
        <w:gridCol w:w="1481"/>
        <w:gridCol w:w="4188"/>
      </w:tblGrid>
      <w:tr w:rsidR="00C533B4">
        <w:trPr>
          <w:trHeight w:val="282"/>
          <w:tblHeader/>
          <w:jc w:val="center"/>
        </w:trPr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42" w:type="dxa"/>
            </w:tcMar>
          </w:tcPr>
          <w:p w:rsidR="00C533B4" w:rsidRDefault="001538EE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 xml:space="preserve">Modified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Barthel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 xml:space="preserve"> In</w:t>
            </w: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dex</w:t>
            </w:r>
          </w:p>
        </w:tc>
        <w:tc>
          <w:tcPr>
            <w:tcW w:w="14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42" w:type="dxa"/>
            </w:tcMar>
          </w:tcPr>
          <w:p w:rsidR="00C533B4" w:rsidRDefault="001538EE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Score</w:t>
            </w:r>
          </w:p>
        </w:tc>
        <w:tc>
          <w:tcPr>
            <w:tcW w:w="4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2" w:type="dxa"/>
              <w:right w:w="58" w:type="dxa"/>
            </w:tcMar>
          </w:tcPr>
          <w:p w:rsidR="00C533B4" w:rsidRDefault="001538EE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Meaning</w:t>
            </w:r>
          </w:p>
        </w:tc>
      </w:tr>
      <w:tr w:rsidR="00C533B4">
        <w:trPr>
          <w:trHeight w:val="282"/>
          <w:jc w:val="center"/>
        </w:trPr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  <w:left w:w="42" w:type="dxa"/>
            </w:tcMar>
          </w:tcPr>
          <w:p w:rsidR="00C533B4" w:rsidRDefault="001538EE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4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  <w:left w:w="42" w:type="dxa"/>
            </w:tcMar>
          </w:tcPr>
          <w:p w:rsidR="00C533B4" w:rsidRDefault="001538EE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&lt;5</w:t>
            </w:r>
          </w:p>
        </w:tc>
        <w:tc>
          <w:tcPr>
            <w:tcW w:w="4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42" w:type="dxa"/>
              <w:right w:w="58" w:type="dxa"/>
            </w:tcMar>
          </w:tcPr>
          <w:p w:rsidR="00C533B4" w:rsidRDefault="001538EE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Total dependence</w:t>
            </w:r>
          </w:p>
        </w:tc>
      </w:tr>
      <w:tr w:rsidR="00C533B4">
        <w:trPr>
          <w:trHeight w:val="282"/>
          <w:jc w:val="center"/>
        </w:trPr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  <w:left w:w="42" w:type="dxa"/>
            </w:tcMar>
          </w:tcPr>
          <w:p w:rsidR="00C533B4" w:rsidRDefault="001538EE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4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  <w:left w:w="42" w:type="dxa"/>
            </w:tcMar>
          </w:tcPr>
          <w:p w:rsidR="00C533B4" w:rsidRDefault="001538EE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5-10</w:t>
            </w:r>
          </w:p>
        </w:tc>
        <w:tc>
          <w:tcPr>
            <w:tcW w:w="4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42" w:type="dxa"/>
              <w:right w:w="58" w:type="dxa"/>
            </w:tcMar>
          </w:tcPr>
          <w:p w:rsidR="00C533B4" w:rsidRDefault="001538EE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Severe dependence</w:t>
            </w:r>
          </w:p>
        </w:tc>
      </w:tr>
      <w:tr w:rsidR="00C533B4">
        <w:trPr>
          <w:trHeight w:val="272"/>
          <w:jc w:val="center"/>
        </w:trPr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  <w:left w:w="42" w:type="dxa"/>
            </w:tcMar>
          </w:tcPr>
          <w:p w:rsidR="00C533B4" w:rsidRDefault="001538EE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4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  <w:left w:w="42" w:type="dxa"/>
            </w:tcMar>
          </w:tcPr>
          <w:p w:rsidR="00C533B4" w:rsidRDefault="001538EE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11-15</w:t>
            </w:r>
          </w:p>
        </w:tc>
        <w:tc>
          <w:tcPr>
            <w:tcW w:w="4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42" w:type="dxa"/>
              <w:right w:w="58" w:type="dxa"/>
            </w:tcMar>
          </w:tcPr>
          <w:p w:rsidR="00C533B4" w:rsidRDefault="001538EE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Moderate dependence</w:t>
            </w:r>
          </w:p>
        </w:tc>
      </w:tr>
      <w:tr w:rsidR="00C533B4">
        <w:trPr>
          <w:trHeight w:val="272"/>
          <w:jc w:val="center"/>
        </w:trPr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  <w:left w:w="42" w:type="dxa"/>
            </w:tcMar>
          </w:tcPr>
          <w:p w:rsidR="00C533B4" w:rsidRDefault="001538EE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4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  <w:left w:w="42" w:type="dxa"/>
            </w:tcMar>
          </w:tcPr>
          <w:p w:rsidR="00C533B4" w:rsidRDefault="001538EE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16-19</w:t>
            </w:r>
          </w:p>
        </w:tc>
        <w:tc>
          <w:tcPr>
            <w:tcW w:w="4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42" w:type="dxa"/>
              <w:right w:w="58" w:type="dxa"/>
            </w:tcMar>
          </w:tcPr>
          <w:p w:rsidR="00C533B4" w:rsidRDefault="001538EE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Mild dependence</w:t>
            </w:r>
          </w:p>
        </w:tc>
      </w:tr>
      <w:tr w:rsidR="00C533B4">
        <w:trPr>
          <w:trHeight w:val="282"/>
          <w:jc w:val="center"/>
        </w:trPr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  <w:left w:w="42" w:type="dxa"/>
            </w:tcMar>
          </w:tcPr>
          <w:p w:rsidR="00C533B4" w:rsidRDefault="001538EE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4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  <w:left w:w="42" w:type="dxa"/>
            </w:tcMar>
          </w:tcPr>
          <w:p w:rsidR="00C533B4" w:rsidRDefault="001538EE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4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42" w:type="dxa"/>
              <w:right w:w="58" w:type="dxa"/>
            </w:tcMar>
          </w:tcPr>
          <w:p w:rsidR="00C533B4" w:rsidRDefault="001538EE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Total independence</w:t>
            </w:r>
          </w:p>
        </w:tc>
      </w:tr>
    </w:tbl>
    <w:p w:rsidR="00C533B4" w:rsidRDefault="00C533B4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33B4" w:rsidRDefault="001538E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Follow up study reveals continuous growth in number of patients with total independence, for 1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st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after discharge 12.5% cases reported total independence which increased to 27.5% cases in 2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nd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up, increased to 53.24% in 3rd follow up, increased to 62.33% in 4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and increased to 71.42% in 5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up.</w:t>
      </w:r>
    </w:p>
    <w:p w:rsidR="00C533B4" w:rsidRDefault="001538E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On the other hand numbe</w:t>
      </w:r>
      <w:r>
        <w:rPr>
          <w:rFonts w:ascii="Times New Roman" w:eastAsia="Times New Roman" w:hAnsi="Times New Roman" w:cs="Times New Roman"/>
          <w:sz w:val="30"/>
          <w:szCs w:val="30"/>
        </w:rPr>
        <w:t>r of totally dependent cases show gradual decrease with 31.25% in first follow up, 15% in 2nd follow up, 10.38% in 3rd follow up, 7.79% in 4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which continued in 5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with same number of cases 7.79% which indicates recovery from traumatic brain injuries.</w:t>
      </w:r>
    </w:p>
    <w:p w:rsidR="00C533B4" w:rsidRDefault="001538E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Gradual increment of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barthel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index of severely dependent TBI patients shows that these injuries can be recovered over time as number of cases 32.5% (1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st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</w:t>
      </w:r>
      <w:r>
        <w:rPr>
          <w:rFonts w:ascii="Times New Roman" w:eastAsia="Times New Roman" w:hAnsi="Times New Roman" w:cs="Times New Roman"/>
          <w:sz w:val="30"/>
          <w:szCs w:val="30"/>
        </w:rPr>
        <w:t>ow up) decreased to 30% in 2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nd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up, which further decreased to 15.58% in 3rd follow up and then decreased to 14.28% in 4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and continued to be 14.28% in 5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up. Same was observed for moderately dependent TBI patients.</w:t>
      </w:r>
    </w:p>
    <w:p w:rsidR="00C533B4" w:rsidRDefault="00C533B4"/>
    <w:p w:rsidR="00C533B4" w:rsidRDefault="001538EE">
      <w:r>
        <w:rPr>
          <w:rFonts w:ascii="Times New Roman" w:eastAsia="Times New Roman" w:hAnsi="Times New Roman" w:cs="Times New Roman"/>
          <w:sz w:val="30"/>
          <w:szCs w:val="30"/>
        </w:rPr>
        <w:t xml:space="preserve">This study </w:t>
      </w:r>
      <w:r>
        <w:rPr>
          <w:rFonts w:ascii="Times New Roman" w:eastAsia="Times New Roman" w:hAnsi="Times New Roman" w:cs="Times New Roman"/>
          <w:sz w:val="30"/>
          <w:szCs w:val="30"/>
        </w:rPr>
        <w:t>used GOSE index to keep track of health status of TBI patients. GOSE index range was observed to be in between 2 to 8 where 2 indicated poor health and 8 indicates good health. From 1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st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to 2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nd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</w:t>
      </w: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TBI patients with GOSE index 8 increased fr</w:t>
      </w:r>
      <w:r>
        <w:rPr>
          <w:rFonts w:ascii="Times New Roman" w:eastAsia="Times New Roman" w:hAnsi="Times New Roman" w:cs="Times New Roman"/>
          <w:sz w:val="30"/>
          <w:szCs w:val="30"/>
        </w:rPr>
        <w:t>om 3.7% to 11.25%, from 2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nd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to 3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GOSE index 8 increased from 11.25% to 16.88%, from 3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to 4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GOSE index 8 was increased from 16.88% to 33.76%, from 4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to 5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it again increased from 33.76% to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44.15% and lastly increased to 50.64% in the 5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up.</w:t>
      </w:r>
    </w:p>
    <w:p w:rsidR="00CC2613" w:rsidRPr="00CC2613" w:rsidRDefault="00CC2613" w:rsidP="00CC2613">
      <w:pPr>
        <w:rPr>
          <w:rFonts w:ascii="Times New Roman" w:eastAsia="Times New Roman" w:hAnsi="Times New Roman" w:cs="Times New Roman"/>
          <w:sz w:val="30"/>
          <w:szCs w:val="30"/>
        </w:rPr>
      </w:pPr>
      <w:r w:rsidRPr="009903F7">
        <w:rPr>
          <w:rFonts w:ascii="Times New Roman" w:eastAsia="Times New Roman" w:hAnsi="Times New Roman" w:cs="Times New Roman"/>
          <w:sz w:val="30"/>
          <w:szCs w:val="30"/>
        </w:rPr>
        <w:drawing>
          <wp:inline distT="0" distB="0" distL="0" distR="0">
            <wp:extent cx="5943600" cy="3419475"/>
            <wp:effectExtent l="0" t="0" r="0" b="0"/>
            <wp:docPr id="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CC2613">
        <w:rPr>
          <w:rFonts w:ascii="Times New Roman" w:eastAsia="Times New Roman" w:hAnsi="Times New Roman" w:cs="Times New Roman"/>
          <w:b/>
          <w:sz w:val="30"/>
          <w:szCs w:val="30"/>
        </w:rPr>
        <w:t>Age distribution:</w:t>
      </w:r>
    </w:p>
    <w:p w:rsidR="00CC2613" w:rsidRDefault="00CC2613" w:rsidP="00CC2613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The study focused on TBI patients whose age lie within 18-50 range, Out of 128 patients 14 (11%) TBI patients belong to age category 11-20, 61 (48%) belong to age category 21-30, 23 (18%) TBI patients belong to age category 31-40, rest of 30 (23%) patients belong to 41-50 age category.  </w:t>
      </w:r>
    </w:p>
    <w:p w:rsidR="00C533B4" w:rsidRDefault="00C533B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C533B4" w:rsidRDefault="00C533B4"/>
    <w:sectPr w:rsidR="00C533B4" w:rsidSect="00C533B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33B4"/>
    <w:rsid w:val="001538EE"/>
    <w:rsid w:val="007702D2"/>
    <w:rsid w:val="009903F7"/>
    <w:rsid w:val="00C533B4"/>
    <w:rsid w:val="00CC2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1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1268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3A212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3A2120"/>
    <w:pPr>
      <w:spacing w:after="140" w:line="288" w:lineRule="auto"/>
    </w:pPr>
  </w:style>
  <w:style w:type="paragraph" w:styleId="List">
    <w:name w:val="List"/>
    <w:basedOn w:val="BodyText"/>
    <w:rsid w:val="003A2120"/>
    <w:rPr>
      <w:rFonts w:cs="Lucida Sans"/>
    </w:rPr>
  </w:style>
  <w:style w:type="paragraph" w:styleId="Caption">
    <w:name w:val="caption"/>
    <w:basedOn w:val="Normal"/>
    <w:qFormat/>
    <w:rsid w:val="003A212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A2120"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D803EA"/>
    <w:pPr>
      <w:spacing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12689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pth\Documents\AIIMS%20work\TBI_analysis\TBI%20ECONOMIC%20COST_Calculat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0"/>
  <c:chart>
    <c:title>
      <c:tx>
        <c:rich>
          <a:bodyPr/>
          <a:lstStyle/>
          <a:p>
            <a:pPr>
              <a:defRPr/>
            </a:pPr>
            <a:r>
              <a:rPr lang="en-US">
                <a:latin typeface="Times New Roman" pitchFamily="18" charset="0"/>
                <a:cs typeface="Times New Roman" pitchFamily="18" charset="0"/>
              </a:rPr>
              <a:t>Age distribution of TBI patients</a:t>
            </a:r>
          </a:p>
        </c:rich>
      </c:tx>
    </c:title>
    <c:plotArea>
      <c:layout/>
      <c:doughnutChart>
        <c:varyColors val="1"/>
        <c:ser>
          <c:idx val="0"/>
          <c:order val="0"/>
          <c:dLbls>
            <c:showPercent val="1"/>
          </c:dLbls>
          <c:cat>
            <c:strRef>
              <c:f>RESULTS!$K$3:$K$6</c:f>
              <c:strCache>
                <c:ptCount val="4"/>
                <c:pt idx="0">
                  <c:v>11 - 20</c:v>
                </c:pt>
                <c:pt idx="1">
                  <c:v>21 - 30</c:v>
                </c:pt>
                <c:pt idx="2">
                  <c:v>31 - 40</c:v>
                </c:pt>
                <c:pt idx="3">
                  <c:v>41 - 50</c:v>
                </c:pt>
              </c:strCache>
            </c:strRef>
          </c:cat>
          <c:val>
            <c:numRef>
              <c:f>RESULTS!$L$3:$L$6</c:f>
              <c:numCache>
                <c:formatCode>General</c:formatCode>
                <c:ptCount val="4"/>
                <c:pt idx="0">
                  <c:v>14</c:v>
                </c:pt>
                <c:pt idx="1">
                  <c:v>61</c:v>
                </c:pt>
                <c:pt idx="2">
                  <c:v>23</c:v>
                </c:pt>
                <c:pt idx="3">
                  <c:v>30</c:v>
                </c:pt>
              </c:numCache>
            </c:numRef>
          </c:val>
        </c:ser>
        <c:dLbls>
          <c:showPercent val="1"/>
        </c:dLbls>
        <c:firstSliceAng val="0"/>
        <c:holeSize val="50"/>
      </c:doughnutChart>
    </c:plotArea>
    <c:legend>
      <c:legendPos val="t"/>
    </c:legend>
    <c:plotVisOnly val="1"/>
  </c:chart>
  <c:spPr>
    <a:noFill/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dc:description/>
  <cp:lastModifiedBy>Deepak Sharma</cp:lastModifiedBy>
  <cp:revision>7</cp:revision>
  <dcterms:created xsi:type="dcterms:W3CDTF">2017-04-18T07:22:00Z</dcterms:created>
  <dcterms:modified xsi:type="dcterms:W3CDTF">2017-04-20T10:31:00Z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