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25" w:rsidRPr="00B42125" w:rsidRDefault="00B42125" w:rsidP="00B4212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b/>
          <w:sz w:val="30"/>
          <w:szCs w:val="30"/>
        </w:rPr>
        <w:t>Economic &amp; social burden of managing traumatic brain injuries (TBI) in adult aged 18-50 years in India</w:t>
      </w:r>
    </w:p>
    <w:p w:rsid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B4212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Data analysis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From an initial sample of 128 TBI patients, 79 (61.71%) were part of follow up study of remaining 40 (31.25%) were declared dead post hospital discharge, rest of 9 (7.01%) didn't participated in follow up study. Of 128 patients 111 () were male and 17 () were female.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Of 128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patients 20 (15.62%) were uneducated, 85 (66.40%) were only high school educated, 16 (12.5%) were graduate and 7 (5.4%) were post graduate. More than half (71.09%) were married and remaining 37 (28.90%) were unmarried. 8 cases (6.25%) belonged to age range between 10-19, 55 patients cases (42.96%) belonged to age range between 20 -29. 29 cases (22.65%) belonged to age range 30-39, 26 (20.31%) belonged 40-49 age range, 10 (7.81%) cases belonged to 50-59 age range.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Majority of cases 96 (75%) belonged to RTA injuries, 3 (2.34%) cases had assault as a reason for their traumatic brain injury, 2 (1.56%) cases reported with railway track injuries, 2 (1.56%) with other reasons and 25 (19.53%) reported injuries due to fall injuries. 121 cases (94.53%) had injury in one eye, 7 (5.46%) cases were reported with injuries in both eyes.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Post hospitalization discharge report shows that 16 (12.5%) cases reported with GCS score 3, 26 (20.31%) cases were reported with GCS score 4, 10 (7.81%) cases reported GCS score 5, 18 (14.06%) cases reported GCS score 6, 49 (38.28%) cases reported GCS score 7, rest of 9 (7.03%) people reported GCS score 8.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Of 128 cases 76 (59.37%) were non alcoholic and rest of 52 (40.62%) were alcoholic. Out of 128 patients 101 (78.90%) were non-smokers and 27 (21.09%) were smokers. Of 128 cases 121 (94.53%) reported no drug abuse rest of  7 cases (5.46%) reported drug abuse.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All 128 patients (100%) underwent CT scan of head, 3 cases (2.34%) underwent X-ray diagnosis, for 1 case (0.78%) USG was performed and there wasn't any case (0%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) of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CT cervical.  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To study the health status of TBI patients Barthel and GOSE index were inquired using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questionnaires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. Modified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Barthel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index was used for post hospitalization health status check of TBI patients. Of 125 studied cases 19 (15.2%) were totally dependent, 6 (4.8%) were severely dependent, 82 cases (65.6%) were moderately dependent, 2 cases (1.6%) reported mild dependence and rest of 16 cases (12.8%) reported total independence.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Follow up study reveals continuous growth in number of patients with total independence, for 1st follow up after discharge 12.5% cases reported total independence which increased to 27.5% cases in 2nd follow up, increased to 53.24% in 3rd follow up, increased to 62.33% in 4th follow up and increased to 71.42% in 5th follow up.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>On the other hand number of totally dependent cases show gradual decrease with 31.25% in first follow up, 15% in 2nd follow up, 10.38% in 3rd follow up, 7.79% in 4th follow up which continued in 5th follow up with same number of cases 7.79% which indicates recovery from traumatic brain injuries.</w:t>
      </w:r>
    </w:p>
    <w:p w:rsidR="00B42125" w:rsidRPr="00B42125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146B7" w:rsidRDefault="00B42125" w:rsidP="00B42125">
      <w:pPr>
        <w:rPr>
          <w:rFonts w:ascii="Times New Roman" w:eastAsia="Times New Roman" w:hAnsi="Times New Roman" w:cs="Times New Roman"/>
          <w:sz w:val="30"/>
          <w:szCs w:val="30"/>
        </w:rPr>
      </w:pP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Gradual increment of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Barthel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index of severely dependent TBI patients shows that these injuries can be recovered over time as number of cases 32.5% (1st follow up) decreased to 30% in 2nd follow up, which further decreased to 15.58% in 3rd follow up and then decreased to 14.28% in 4th follow up and continued to be 14.28% in 5th follow up. Same was observed for </w:t>
      </w:r>
      <w:r w:rsidR="00AD1A01" w:rsidRPr="00B42125">
        <w:rPr>
          <w:rFonts w:ascii="Times New Roman" w:eastAsia="Times New Roman" w:hAnsi="Times New Roman" w:cs="Times New Roman"/>
          <w:sz w:val="30"/>
          <w:szCs w:val="30"/>
        </w:rPr>
        <w:t>moderately</w:t>
      </w:r>
      <w:r w:rsidRPr="00B42125">
        <w:rPr>
          <w:rFonts w:ascii="Times New Roman" w:eastAsia="Times New Roman" w:hAnsi="Times New Roman" w:cs="Times New Roman"/>
          <w:sz w:val="30"/>
          <w:szCs w:val="30"/>
        </w:rPr>
        <w:t xml:space="preserve"> dependent TBI patients.</w:t>
      </w:r>
    </w:p>
    <w:p w:rsidR="00B343B6" w:rsidRDefault="00B343B6" w:rsidP="00B343B6">
      <w:r w:rsidRPr="009903F7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419475"/>
            <wp:effectExtent l="0" t="0" r="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43B6" w:rsidRPr="00B343B6" w:rsidRDefault="00B343B6" w:rsidP="00B343B6">
      <w:pPr>
        <w:rPr>
          <w:rFonts w:ascii="Times New Roman" w:eastAsia="Times New Roman" w:hAnsi="Times New Roman" w:cs="Times New Roman"/>
          <w:sz w:val="30"/>
          <w:szCs w:val="30"/>
        </w:rPr>
      </w:pPr>
      <w:r w:rsidRPr="00B343B6">
        <w:rPr>
          <w:rFonts w:ascii="Times New Roman" w:eastAsia="Times New Roman" w:hAnsi="Times New Roman" w:cs="Times New Roman"/>
          <w:b/>
          <w:sz w:val="30"/>
          <w:szCs w:val="30"/>
        </w:rPr>
        <w:t>Age distribution:</w:t>
      </w:r>
    </w:p>
    <w:p w:rsidR="00B343B6" w:rsidRDefault="00B343B6" w:rsidP="00B343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study focused on TBI patients whose age lie within 18-50 range, Out of 128 patients 14 (11%) TBI patients belong to age category 11-20, 61 (48%) belong to age category 21-30, 23 (18%) TBI patients belong to age category 31-40, rest of 30 (23%) patients belong to 41-50 age category. </w:t>
      </w:r>
    </w:p>
    <w:p w:rsidR="00B343B6" w:rsidRPr="00446106" w:rsidRDefault="00446106" w:rsidP="00B343B6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446106">
        <w:rPr>
          <w:rFonts w:ascii="Times New Roman" w:eastAsia="Times New Roman" w:hAnsi="Times New Roman" w:cs="Times New Roman"/>
          <w:b/>
          <w:sz w:val="30"/>
          <w:szCs w:val="30"/>
        </w:rPr>
        <w:t>GCS analysis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:rsidR="00446106" w:rsidRPr="0058170D" w:rsidRDefault="00446106" w:rsidP="00446106">
      <w:pPr>
        <w:spacing w:before="240" w:line="240" w:lineRule="auto"/>
        <w:rPr>
          <w:rFonts w:ascii="Times New Roman" w:hAnsi="Times New Roman" w:cs="Times New Roman"/>
          <w:sz w:val="30"/>
          <w:szCs w:val="30"/>
        </w:rPr>
      </w:pPr>
      <w:r w:rsidRPr="00766DE8">
        <w:rPr>
          <w:rFonts w:ascii="Times New Roman" w:hAnsi="Times New Roman" w:cs="Times New Roman"/>
          <w:sz w:val="30"/>
          <w:szCs w:val="30"/>
        </w:rPr>
        <w:t xml:space="preserve">Out of 128 patients 121 (94.53%) reported eye opening with pain stimulus, rest 7 (5.46%) cases reported no eye opening. All 128 (100%) TBI patients were intubated and their GCS verbal score was T (intubated). All 128 TBI </w:t>
      </w:r>
      <w:r w:rsidRPr="00766DE8">
        <w:rPr>
          <w:rFonts w:ascii="Times New Roman" w:hAnsi="Times New Roman" w:cs="Times New Roman"/>
          <w:sz w:val="30"/>
          <w:szCs w:val="30"/>
        </w:rPr>
        <w:lastRenderedPageBreak/>
        <w:t>patients (100%) had severe brain injury with total GCS score &lt;=8. Of 128 TBI patients 16 (12.5%) show no motor response at all, 26 (20.31%) show response of extension to pain, 10 (7.81%) show response of flexion to pain, 18 (14.06%) show response of withdrawal from pain, majority of patients 56 (43.75%) show response to localize pain, 2 cases (1.56%) obeyed commands and were able to show motor movements accordingly.</w:t>
      </w:r>
    </w:p>
    <w:p w:rsidR="000146B7" w:rsidRDefault="000146B7"/>
    <w:sectPr w:rsidR="000146B7" w:rsidSect="000146B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146B7"/>
    <w:rsid w:val="000146B7"/>
    <w:rsid w:val="00446106"/>
    <w:rsid w:val="00AD1A01"/>
    <w:rsid w:val="00B343B6"/>
    <w:rsid w:val="00B42125"/>
    <w:rsid w:val="00C24881"/>
    <w:rsid w:val="00C6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26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3A212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3A2120"/>
    <w:pPr>
      <w:spacing w:after="140" w:line="288" w:lineRule="auto"/>
    </w:pPr>
  </w:style>
  <w:style w:type="paragraph" w:styleId="List">
    <w:name w:val="List"/>
    <w:basedOn w:val="BodyText"/>
    <w:rsid w:val="003A2120"/>
    <w:rPr>
      <w:rFonts w:cs="Lucida Sans"/>
    </w:rPr>
  </w:style>
  <w:style w:type="paragraph" w:styleId="Caption">
    <w:name w:val="caption"/>
    <w:basedOn w:val="Normal"/>
    <w:qFormat/>
    <w:rsid w:val="003A212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A2120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03EA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268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pth\Documents\AIIMS%20work\TBI_analysis\TBI%20ECONOMIC%20COST_Calcul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0"/>
  <c:chart>
    <c:title>
      <c:tx>
        <c:rich>
          <a:bodyPr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Age distribution of TBI patients</a:t>
            </a:r>
          </a:p>
        </c:rich>
      </c:tx>
    </c:title>
    <c:plotArea>
      <c:layout/>
      <c:doughnutChart>
        <c:varyColors val="1"/>
        <c:ser>
          <c:idx val="0"/>
          <c:order val="0"/>
          <c:dLbls>
            <c:showPercent val="1"/>
          </c:dLbls>
          <c:cat>
            <c:strRef>
              <c:f>RESULTS!$K$3:$K$6</c:f>
              <c:strCache>
                <c:ptCount val="4"/>
                <c:pt idx="0">
                  <c:v>11 - 20</c:v>
                </c:pt>
                <c:pt idx="1">
                  <c:v>21 - 30</c:v>
                </c:pt>
                <c:pt idx="2">
                  <c:v>31 - 40</c:v>
                </c:pt>
                <c:pt idx="3">
                  <c:v>41 - 50</c:v>
                </c:pt>
              </c:strCache>
            </c:strRef>
          </c:cat>
          <c:val>
            <c:numRef>
              <c:f>RESULTS!$L$3:$L$6</c:f>
              <c:numCache>
                <c:formatCode>General</c:formatCode>
                <c:ptCount val="4"/>
                <c:pt idx="0">
                  <c:v>14</c:v>
                </c:pt>
                <c:pt idx="1">
                  <c:v>61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</c:ser>
        <c:dLbls>
          <c:showPercent val="1"/>
        </c:dLbls>
        <c:firstSliceAng val="0"/>
        <c:holeSize val="50"/>
      </c:doughnutChart>
    </c:plotArea>
    <c:legend>
      <c:legendPos val="t"/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dc:description/>
  <cp:lastModifiedBy>Deepak Sharma</cp:lastModifiedBy>
  <cp:revision>10</cp:revision>
  <dcterms:created xsi:type="dcterms:W3CDTF">2017-04-18T07:22:00Z</dcterms:created>
  <dcterms:modified xsi:type="dcterms:W3CDTF">2017-04-25T07:33:00Z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