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25" w:rsidRPr="00B42125" w:rsidRDefault="00B42125" w:rsidP="00B4212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b/>
          <w:sz w:val="30"/>
          <w:szCs w:val="30"/>
        </w:rPr>
        <w:t>Economic &amp; social burden of managing traumatic brain injuries (TBI) in adult aged 18-50 years in India</w:t>
      </w:r>
    </w:p>
    <w:p w:rsid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B4212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Data analysis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From an initial sample of 128 TBI patients, 79 (61.71%) were part of follow up study of remaining 40 (31.25%) were declared dead post hospital discharge, rest of 9 (7.01%) didn't participated in follow up study. Of 128 patients 111 () were male and 17 () were female.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Of 128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patients 20 (15.62%) were uneducated, 85 (66.40%) were only high school educated, 16 (12.5%) were graduate and 7 (5.4%) were post graduate. More than half (71.09%) were married and remaining 37 (28.90%) were unmarried. 8 cases (6.25%) belonged to age range between 10-19, 55 patients cases (42.96%) belonged to age range between 20 -29. 29 cases (22.65%) belonged to age range 30-39, 26 (20.31%) belonged 40-49 age range, 10 (7.81%) cases belonged to 50-59 age range.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Majority of cases 96 (75%) belonged to RTA injuries, 3 (2.34%) cases had assault as a reason for their traumatic brain injury, 2 (1.56%) cases reported with railway track injuries, 2 (1.56%) with other reasons and 25 (19.53%) reported injuries due to fall injuries. 121 cases (94.53%) had injury in one eye, 7 (5.46%) cases were reported with injuries in both eyes.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Post hospitalization discharge report shows that 16 (12.5%) cases reported with GCS score 3, 26 (20.31%) cases were reported with GCS score 4, 10 (7.81%) cases reported GCS score 5, 18 (14.06%) cases reported GCS score 6, 49 (38.28%) cases reported GCS score 7, rest of 9 (7.03%) people reported GCS score 8.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Of 128 cases 76 (59.37%) were non alcoholic and rest of 52 (40.62%) were alcoholic. Out of 128 patients 101 (78.90%) were non-smokers and 27 (21.09%) were smokers. Of 128 cases 121 (94.53%) reported no drug abuse rest </w:t>
      </w:r>
      <w:proofErr w:type="gramStart"/>
      <w:r w:rsidRPr="00B42125">
        <w:rPr>
          <w:rFonts w:ascii="Times New Roman" w:eastAsia="Times New Roman" w:hAnsi="Times New Roman" w:cs="Times New Roman"/>
          <w:sz w:val="30"/>
          <w:szCs w:val="30"/>
        </w:rPr>
        <w:t>of  7</w:t>
      </w:r>
      <w:proofErr w:type="gramEnd"/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cases (5.46%) reported drug abuse.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All 128 patients (100%) underwent CT scan of head, 3 cases (2.34%) underwent X-ray diagnosis, for 1 case (0.78%) USG was performed and there wasn't any case (0%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) of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CT cervical.  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To study the health status of TBI patients Barthel and GOSE index were inquired using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questionnaires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. Modified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Barthel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index was used for post hospitalization health status check of TBI patients. Of 125 studied cases 19 (15.2%) were totally dependent, 6 (4.8%) were severely dependent, 82 cases (65.6%) were moderately dependent, 2 cases (1.6%) reported mild dependence and rest of 16 cases (12.8%) reported total independence.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Follow up study reveals continuous growth in number of patients with total independence, for 1st follow up after discharge 12.5% cases reported total independence which increased to 27.5% cases in 2nd follow up, increased to 53.24% in 3rd follow up, increased to 62.33% in 4th follow up and increased to 71.42% in 5th follow up.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On the other hand number of totally dependent cases show gradual decrease with 31.25% in first follow up, 15% in 2nd follow up, 10.38% in 3rd follow up, 7.79% in 4th follow up which continued in 5th follow up with same number of cases 7.79% which indicates recovery from traumatic brain injuries.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146B7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Gradual increment of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Barthel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index of severely dependent TBI patients shows that these injuries can be recovered over time as number of cases 32.5% (1st follow up) decreased to 30% in 2nd follow up, which further decreased to 15.58% in 3rd follow up and then decreased to 14.28% in 4th follow up and continued to be 14.28% in 5th follow up. Same was observed for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moderately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dependent TBI patients.</w:t>
      </w:r>
    </w:p>
    <w:p w:rsidR="00B343B6" w:rsidRDefault="00B343B6" w:rsidP="00B343B6">
      <w:r w:rsidRPr="009903F7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419475"/>
            <wp:effectExtent l="0" t="0" r="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43B6" w:rsidRPr="00B343B6" w:rsidRDefault="00B343B6" w:rsidP="00B343B6">
      <w:pPr>
        <w:rPr>
          <w:rFonts w:ascii="Times New Roman" w:eastAsia="Times New Roman" w:hAnsi="Times New Roman" w:cs="Times New Roman"/>
          <w:sz w:val="30"/>
          <w:szCs w:val="30"/>
        </w:rPr>
      </w:pPr>
      <w:r w:rsidRPr="00B343B6">
        <w:rPr>
          <w:rFonts w:ascii="Times New Roman" w:eastAsia="Times New Roman" w:hAnsi="Times New Roman" w:cs="Times New Roman"/>
          <w:b/>
          <w:sz w:val="30"/>
          <w:szCs w:val="30"/>
        </w:rPr>
        <w:t>Age distribution:</w:t>
      </w:r>
    </w:p>
    <w:p w:rsidR="00B343B6" w:rsidRDefault="00B343B6" w:rsidP="00B343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study focused on TBI patients whose age lie within 18-50 range, Out of 128 patients 14 (11%) TBI patients belong to age category 11-20, 61 (48%) belong to age category 21-30, 23 (18%) TBI patients belong to age category 31-40, rest of 30 (23%) patients belong to 41-50 age category. </w:t>
      </w:r>
    </w:p>
    <w:p w:rsidR="00B343B6" w:rsidRDefault="00B343B6" w:rsidP="00B343B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146B7" w:rsidRDefault="000146B7"/>
    <w:sectPr w:rsidR="000146B7" w:rsidSect="000146B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146B7"/>
    <w:rsid w:val="000146B7"/>
    <w:rsid w:val="00AD1A01"/>
    <w:rsid w:val="00B343B6"/>
    <w:rsid w:val="00B42125"/>
    <w:rsid w:val="00C2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26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3A212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3A2120"/>
    <w:pPr>
      <w:spacing w:after="140" w:line="288" w:lineRule="auto"/>
    </w:pPr>
  </w:style>
  <w:style w:type="paragraph" w:styleId="List">
    <w:name w:val="List"/>
    <w:basedOn w:val="BodyText"/>
    <w:rsid w:val="003A2120"/>
    <w:rPr>
      <w:rFonts w:cs="Lucida Sans"/>
    </w:rPr>
  </w:style>
  <w:style w:type="paragraph" w:styleId="Caption">
    <w:name w:val="caption"/>
    <w:basedOn w:val="Normal"/>
    <w:qFormat/>
    <w:rsid w:val="003A212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A2120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03EA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268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pth\Documents\AIIMS%20work\TBI_analysis\TBI%20ECONOMIC%20COST_Calcul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0"/>
  <c:chart>
    <c:title>
      <c:tx>
        <c:rich>
          <a:bodyPr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Age distribution of TBI patients</a:t>
            </a:r>
          </a:p>
        </c:rich>
      </c:tx>
    </c:title>
    <c:plotArea>
      <c:layout/>
      <c:doughnutChart>
        <c:varyColors val="1"/>
        <c:ser>
          <c:idx val="0"/>
          <c:order val="0"/>
          <c:dLbls>
            <c:showPercent val="1"/>
          </c:dLbls>
          <c:cat>
            <c:strRef>
              <c:f>RESULTS!$K$3:$K$6</c:f>
              <c:strCache>
                <c:ptCount val="4"/>
                <c:pt idx="0">
                  <c:v>11 - 20</c:v>
                </c:pt>
                <c:pt idx="1">
                  <c:v>21 - 30</c:v>
                </c:pt>
                <c:pt idx="2">
                  <c:v>31 - 40</c:v>
                </c:pt>
                <c:pt idx="3">
                  <c:v>41 - 50</c:v>
                </c:pt>
              </c:strCache>
            </c:strRef>
          </c:cat>
          <c:val>
            <c:numRef>
              <c:f>RESULTS!$L$3:$L$6</c:f>
              <c:numCache>
                <c:formatCode>General</c:formatCode>
                <c:ptCount val="4"/>
                <c:pt idx="0">
                  <c:v>14</c:v>
                </c:pt>
                <c:pt idx="1">
                  <c:v>61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</c:ser>
        <c:dLbls>
          <c:showPercent val="1"/>
        </c:dLbls>
        <c:firstSliceAng val="0"/>
        <c:holeSize val="50"/>
      </c:doughnutChart>
    </c:plotArea>
    <c:legend>
      <c:legendPos val="t"/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dc:description/>
  <cp:lastModifiedBy>Deepak Sharma</cp:lastModifiedBy>
  <cp:revision>9</cp:revision>
  <dcterms:created xsi:type="dcterms:W3CDTF">2017-04-18T07:22:00Z</dcterms:created>
  <dcterms:modified xsi:type="dcterms:W3CDTF">2017-04-20T11:25:00Z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