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7F7EE" w14:textId="77777777" w:rsidR="008C7E0F" w:rsidRPr="00B253E0" w:rsidRDefault="008C7E0F" w:rsidP="008C7E0F">
      <w:pPr>
        <w:pStyle w:val="Title"/>
        <w:rPr>
          <w:sz w:val="48"/>
        </w:rPr>
      </w:pPr>
      <w:r w:rsidRPr="00B253E0">
        <w:rPr>
          <w:rFonts w:hint="eastAsia"/>
          <w:sz w:val="48"/>
        </w:rPr>
        <w:t>Jiale Liu</w:t>
      </w:r>
    </w:p>
    <w:p w14:paraId="080F4346" w14:textId="77777777" w:rsidR="008C7E0F" w:rsidRPr="00B253E0" w:rsidRDefault="00DF0D49" w:rsidP="008C7E0F">
      <w:pPr>
        <w:pStyle w:val="Title"/>
        <w:rPr>
          <w:sz w:val="48"/>
        </w:rPr>
      </w:pPr>
      <w:hyperlink r:id="rId7" w:history="1">
        <w:r w:rsidR="008C7E0F" w:rsidRPr="00B253E0">
          <w:rPr>
            <w:rFonts w:hint="eastAsia"/>
            <w:sz w:val="48"/>
          </w:rPr>
          <w:t>liujial@oregonstate.edu</w:t>
        </w:r>
      </w:hyperlink>
    </w:p>
    <w:p w14:paraId="5DDF1E3D" w14:textId="7F64C3E0" w:rsidR="008C7E0F" w:rsidRPr="00B253E0" w:rsidRDefault="00B253E0" w:rsidP="00B253E0">
      <w:pPr>
        <w:pStyle w:val="Title"/>
        <w:rPr>
          <w:sz w:val="48"/>
        </w:rPr>
      </w:pPr>
      <w:r w:rsidRPr="00B253E0">
        <w:rPr>
          <w:rFonts w:hint="eastAsia"/>
          <w:sz w:val="48"/>
        </w:rPr>
        <w:t>Project#4</w:t>
      </w:r>
      <w:r w:rsidR="008C7E0F" w:rsidRPr="00B253E0">
        <w:rPr>
          <w:rFonts w:hint="eastAsia"/>
          <w:sz w:val="48"/>
        </w:rPr>
        <w:t xml:space="preserve">: </w:t>
      </w:r>
      <w:r w:rsidRPr="00B253E0">
        <w:rPr>
          <w:sz w:val="48"/>
        </w:rPr>
        <w:t>Vectorized Array Multiplication and Reduction using SSE</w:t>
      </w:r>
    </w:p>
    <w:p w14:paraId="3915906A" w14:textId="77777777" w:rsidR="00F81A73" w:rsidRDefault="00F81A73" w:rsidP="00F81A73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177C29ED" w14:textId="77777777" w:rsidR="00B253E0" w:rsidRDefault="00B253E0" w:rsidP="00B253E0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B253E0">
        <w:rPr>
          <w:rFonts w:ascii="Helvetica Neue" w:eastAsia="Times New Roman" w:hAnsi="Helvetica Neue" w:cs="Times New Roman"/>
          <w:color w:val="2D3B45"/>
          <w:sz w:val="27"/>
          <w:szCs w:val="27"/>
        </w:rPr>
        <w:t>What machine you ran this on</w:t>
      </w:r>
    </w:p>
    <w:p w14:paraId="28861345" w14:textId="058E97C3" w:rsidR="00B253E0" w:rsidRDefault="004C1C07" w:rsidP="00B253E0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 code was ran on </w:t>
      </w:r>
      <w:r w:rsidR="00B253E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Flip1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.</w:t>
      </w:r>
    </w:p>
    <w:p w14:paraId="549A28A1" w14:textId="77777777" w:rsidR="00F81A73" w:rsidRPr="00B253E0" w:rsidRDefault="00F81A73" w:rsidP="00B253E0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1161214C" w14:textId="77777777" w:rsidR="00B253E0" w:rsidRDefault="00B253E0" w:rsidP="00B253E0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B253E0">
        <w:rPr>
          <w:rFonts w:ascii="Helvetica Neue" w:eastAsia="Times New Roman" w:hAnsi="Helvetica Neue" w:cs="Times New Roman"/>
          <w:color w:val="2D3B45"/>
          <w:sz w:val="27"/>
          <w:szCs w:val="27"/>
        </w:rPr>
        <w:t>Show the table and graph</w:t>
      </w:r>
    </w:p>
    <w:tbl>
      <w:tblPr>
        <w:tblStyle w:val="TableGrid"/>
        <w:tblW w:w="5662" w:type="dxa"/>
        <w:jc w:val="center"/>
        <w:tblLook w:val="04A0" w:firstRow="1" w:lastRow="0" w:firstColumn="1" w:lastColumn="0" w:noHBand="0" w:noVBand="1"/>
      </w:tblPr>
      <w:tblGrid>
        <w:gridCol w:w="1300"/>
        <w:gridCol w:w="2014"/>
        <w:gridCol w:w="2442"/>
      </w:tblGrid>
      <w:tr w:rsidR="00B253E0" w:rsidRPr="00B253E0" w14:paraId="163C7EE8" w14:textId="77777777" w:rsidTr="00C336AC">
        <w:trPr>
          <w:trHeight w:val="320"/>
          <w:jc w:val="center"/>
        </w:trPr>
        <w:tc>
          <w:tcPr>
            <w:tcW w:w="1300" w:type="dxa"/>
            <w:noWrap/>
            <w:hideMark/>
          </w:tcPr>
          <w:p w14:paraId="1CDADDA5" w14:textId="77777777" w:rsidR="00B253E0" w:rsidRPr="00B253E0" w:rsidRDefault="00B253E0" w:rsidP="00B253E0">
            <w:pPr>
              <w:rPr>
                <w:rFonts w:ascii="Calibri" w:eastAsia="Times New Roman" w:hAnsi="Calibri" w:cs="Times New Roman"/>
                <w:color w:val="000000"/>
              </w:rPr>
            </w:pPr>
            <w:r w:rsidRPr="00B253E0">
              <w:rPr>
                <w:rFonts w:ascii="Calibri" w:eastAsia="Times New Roman" w:hAnsi="Calibri" w:cs="Times New Roman"/>
                <w:color w:val="000000"/>
              </w:rPr>
              <w:t>ArraySize</w:t>
            </w:r>
          </w:p>
        </w:tc>
        <w:tc>
          <w:tcPr>
            <w:tcW w:w="1967" w:type="dxa"/>
            <w:noWrap/>
            <w:hideMark/>
          </w:tcPr>
          <w:p w14:paraId="1375B718" w14:textId="102FFC4D" w:rsidR="00B253E0" w:rsidRPr="00B253E0" w:rsidRDefault="00AC38E6" w:rsidP="00B253E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Array</w:t>
            </w:r>
            <w:r w:rsidR="00B253E0" w:rsidRPr="00B253E0">
              <w:rPr>
                <w:rFonts w:ascii="Calibri" w:eastAsia="Times New Roman" w:hAnsi="Calibri" w:cs="Times New Roman"/>
                <w:color w:val="000000"/>
              </w:rPr>
              <w:t>MulSpeedUp</w:t>
            </w:r>
          </w:p>
        </w:tc>
        <w:tc>
          <w:tcPr>
            <w:tcW w:w="2395" w:type="dxa"/>
            <w:noWrap/>
            <w:hideMark/>
          </w:tcPr>
          <w:p w14:paraId="25FDD762" w14:textId="1F14B216" w:rsidR="00B253E0" w:rsidRPr="00B253E0" w:rsidRDefault="00AC38E6" w:rsidP="00B253E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Array</w:t>
            </w:r>
            <w:r w:rsidR="00B253E0" w:rsidRPr="00B253E0">
              <w:rPr>
                <w:rFonts w:ascii="Calibri" w:eastAsia="Times New Roman" w:hAnsi="Calibri" w:cs="Times New Roman"/>
                <w:color w:val="000000"/>
              </w:rPr>
              <w:t>MulSumSpeedUp</w:t>
            </w:r>
          </w:p>
        </w:tc>
      </w:tr>
      <w:tr w:rsidR="000C5C74" w:rsidRPr="00B253E0" w14:paraId="13DA8A17" w14:textId="77777777" w:rsidTr="00C336AC">
        <w:trPr>
          <w:trHeight w:val="320"/>
          <w:jc w:val="center"/>
        </w:trPr>
        <w:tc>
          <w:tcPr>
            <w:tcW w:w="1300" w:type="dxa"/>
            <w:noWrap/>
            <w:vAlign w:val="bottom"/>
          </w:tcPr>
          <w:p w14:paraId="29DD3584" w14:textId="4A60D6FA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</w:p>
        </w:tc>
        <w:tc>
          <w:tcPr>
            <w:tcW w:w="1967" w:type="dxa"/>
            <w:noWrap/>
            <w:vAlign w:val="bottom"/>
            <w:hideMark/>
          </w:tcPr>
          <w:p w14:paraId="265ADB60" w14:textId="28D8C0F3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8.21</w:t>
            </w:r>
          </w:p>
        </w:tc>
        <w:tc>
          <w:tcPr>
            <w:tcW w:w="2395" w:type="dxa"/>
            <w:noWrap/>
            <w:vAlign w:val="bottom"/>
            <w:hideMark/>
          </w:tcPr>
          <w:p w14:paraId="069EC43A" w14:textId="223D58BF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8.02</w:t>
            </w:r>
          </w:p>
        </w:tc>
      </w:tr>
      <w:tr w:rsidR="000C5C74" w:rsidRPr="00B253E0" w14:paraId="4168CEC7" w14:textId="77777777" w:rsidTr="00C336AC">
        <w:trPr>
          <w:trHeight w:val="320"/>
          <w:jc w:val="center"/>
        </w:trPr>
        <w:tc>
          <w:tcPr>
            <w:tcW w:w="1300" w:type="dxa"/>
            <w:noWrap/>
            <w:vAlign w:val="bottom"/>
            <w:hideMark/>
          </w:tcPr>
          <w:p w14:paraId="41F03D7E" w14:textId="00240513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</w:p>
        </w:tc>
        <w:tc>
          <w:tcPr>
            <w:tcW w:w="1967" w:type="dxa"/>
            <w:noWrap/>
            <w:vAlign w:val="bottom"/>
            <w:hideMark/>
          </w:tcPr>
          <w:p w14:paraId="3873D9E6" w14:textId="5D3C0772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8.46</w:t>
            </w:r>
          </w:p>
        </w:tc>
        <w:tc>
          <w:tcPr>
            <w:tcW w:w="2395" w:type="dxa"/>
            <w:noWrap/>
            <w:vAlign w:val="bottom"/>
            <w:hideMark/>
          </w:tcPr>
          <w:p w14:paraId="4F7B1F33" w14:textId="290CAFA0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8.32</w:t>
            </w:r>
          </w:p>
        </w:tc>
      </w:tr>
      <w:tr w:rsidR="000C5C74" w:rsidRPr="00B253E0" w14:paraId="79DD957D" w14:textId="77777777" w:rsidTr="00C336AC">
        <w:trPr>
          <w:trHeight w:val="320"/>
          <w:jc w:val="center"/>
        </w:trPr>
        <w:tc>
          <w:tcPr>
            <w:tcW w:w="1300" w:type="dxa"/>
            <w:noWrap/>
            <w:vAlign w:val="bottom"/>
            <w:hideMark/>
          </w:tcPr>
          <w:p w14:paraId="6CD18DAB" w14:textId="00E34BA0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</w:p>
        </w:tc>
        <w:tc>
          <w:tcPr>
            <w:tcW w:w="1967" w:type="dxa"/>
            <w:noWrap/>
            <w:vAlign w:val="bottom"/>
            <w:hideMark/>
          </w:tcPr>
          <w:p w14:paraId="3E34D01C" w14:textId="2FE53B41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8.52</w:t>
            </w:r>
          </w:p>
        </w:tc>
        <w:tc>
          <w:tcPr>
            <w:tcW w:w="2395" w:type="dxa"/>
            <w:noWrap/>
            <w:vAlign w:val="bottom"/>
            <w:hideMark/>
          </w:tcPr>
          <w:p w14:paraId="0B2086BC" w14:textId="28E5A636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8.43</w:t>
            </w:r>
          </w:p>
        </w:tc>
      </w:tr>
      <w:tr w:rsidR="000C5C74" w:rsidRPr="00B253E0" w14:paraId="06FCC83F" w14:textId="77777777" w:rsidTr="00C336AC">
        <w:trPr>
          <w:trHeight w:val="320"/>
          <w:jc w:val="center"/>
        </w:trPr>
        <w:tc>
          <w:tcPr>
            <w:tcW w:w="1300" w:type="dxa"/>
            <w:noWrap/>
            <w:vAlign w:val="bottom"/>
            <w:hideMark/>
          </w:tcPr>
          <w:p w14:paraId="44BCC948" w14:textId="2AD8E290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</w:p>
        </w:tc>
        <w:tc>
          <w:tcPr>
            <w:tcW w:w="1967" w:type="dxa"/>
            <w:noWrap/>
            <w:vAlign w:val="bottom"/>
            <w:hideMark/>
          </w:tcPr>
          <w:p w14:paraId="1982A627" w14:textId="64153B93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8.53</w:t>
            </w:r>
          </w:p>
        </w:tc>
        <w:tc>
          <w:tcPr>
            <w:tcW w:w="2395" w:type="dxa"/>
            <w:noWrap/>
            <w:vAlign w:val="bottom"/>
            <w:hideMark/>
          </w:tcPr>
          <w:p w14:paraId="442CD539" w14:textId="6D648989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8.46</w:t>
            </w:r>
          </w:p>
        </w:tc>
      </w:tr>
      <w:tr w:rsidR="000C5C74" w:rsidRPr="00B253E0" w14:paraId="0E4B3348" w14:textId="77777777" w:rsidTr="00C336AC">
        <w:trPr>
          <w:trHeight w:val="320"/>
          <w:jc w:val="center"/>
        </w:trPr>
        <w:tc>
          <w:tcPr>
            <w:tcW w:w="1300" w:type="dxa"/>
            <w:noWrap/>
            <w:vAlign w:val="bottom"/>
            <w:hideMark/>
          </w:tcPr>
          <w:p w14:paraId="2A9AD8E1" w14:textId="5D788152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</w:p>
        </w:tc>
        <w:tc>
          <w:tcPr>
            <w:tcW w:w="1967" w:type="dxa"/>
            <w:noWrap/>
            <w:vAlign w:val="bottom"/>
            <w:hideMark/>
          </w:tcPr>
          <w:p w14:paraId="117EE7DD" w14:textId="568B3B38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8.52</w:t>
            </w:r>
          </w:p>
        </w:tc>
        <w:tc>
          <w:tcPr>
            <w:tcW w:w="2395" w:type="dxa"/>
            <w:noWrap/>
            <w:vAlign w:val="bottom"/>
            <w:hideMark/>
          </w:tcPr>
          <w:p w14:paraId="4C91BEA2" w14:textId="5D7AC340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8.49</w:t>
            </w:r>
          </w:p>
        </w:tc>
      </w:tr>
      <w:tr w:rsidR="000C5C74" w:rsidRPr="00B253E0" w14:paraId="28705211" w14:textId="77777777" w:rsidTr="00C336AC">
        <w:trPr>
          <w:trHeight w:val="320"/>
          <w:jc w:val="center"/>
        </w:trPr>
        <w:tc>
          <w:tcPr>
            <w:tcW w:w="1300" w:type="dxa"/>
            <w:noWrap/>
            <w:vAlign w:val="bottom"/>
            <w:hideMark/>
          </w:tcPr>
          <w:p w14:paraId="75FB103E" w14:textId="7305FF20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</w:p>
        </w:tc>
        <w:tc>
          <w:tcPr>
            <w:tcW w:w="1967" w:type="dxa"/>
            <w:noWrap/>
            <w:vAlign w:val="bottom"/>
            <w:hideMark/>
          </w:tcPr>
          <w:p w14:paraId="3BAB187A" w14:textId="684B2D23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8.51</w:t>
            </w:r>
          </w:p>
        </w:tc>
        <w:tc>
          <w:tcPr>
            <w:tcW w:w="2395" w:type="dxa"/>
            <w:noWrap/>
            <w:vAlign w:val="bottom"/>
            <w:hideMark/>
          </w:tcPr>
          <w:p w14:paraId="2DD6E733" w14:textId="17787B45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8.57</w:t>
            </w:r>
          </w:p>
        </w:tc>
      </w:tr>
      <w:tr w:rsidR="000C5C74" w:rsidRPr="00B253E0" w14:paraId="7BDF426C" w14:textId="77777777" w:rsidTr="00C336AC">
        <w:trPr>
          <w:trHeight w:val="320"/>
          <w:jc w:val="center"/>
        </w:trPr>
        <w:tc>
          <w:tcPr>
            <w:tcW w:w="1300" w:type="dxa"/>
            <w:noWrap/>
            <w:vAlign w:val="bottom"/>
            <w:hideMark/>
          </w:tcPr>
          <w:p w14:paraId="7809150A" w14:textId="481974BF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</w:p>
        </w:tc>
        <w:tc>
          <w:tcPr>
            <w:tcW w:w="1967" w:type="dxa"/>
            <w:noWrap/>
            <w:vAlign w:val="bottom"/>
            <w:hideMark/>
          </w:tcPr>
          <w:p w14:paraId="0F7909B0" w14:textId="09F98A39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8.61</w:t>
            </w:r>
          </w:p>
        </w:tc>
        <w:tc>
          <w:tcPr>
            <w:tcW w:w="2395" w:type="dxa"/>
            <w:noWrap/>
            <w:vAlign w:val="bottom"/>
            <w:hideMark/>
          </w:tcPr>
          <w:p w14:paraId="31754B87" w14:textId="46E632D1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8.61</w:t>
            </w:r>
          </w:p>
        </w:tc>
      </w:tr>
      <w:tr w:rsidR="000C5C74" w:rsidRPr="00B253E0" w14:paraId="1F8A1D1F" w14:textId="77777777" w:rsidTr="00C336AC">
        <w:trPr>
          <w:trHeight w:val="320"/>
          <w:jc w:val="center"/>
        </w:trPr>
        <w:tc>
          <w:tcPr>
            <w:tcW w:w="1300" w:type="dxa"/>
            <w:noWrap/>
            <w:vAlign w:val="bottom"/>
            <w:hideMark/>
          </w:tcPr>
          <w:p w14:paraId="3F0414E8" w14:textId="13A0A2A0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</w:p>
        </w:tc>
        <w:tc>
          <w:tcPr>
            <w:tcW w:w="1967" w:type="dxa"/>
            <w:noWrap/>
            <w:vAlign w:val="bottom"/>
            <w:hideMark/>
          </w:tcPr>
          <w:p w14:paraId="1AA2E2DF" w14:textId="03FA6333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8.34</w:t>
            </w:r>
          </w:p>
        </w:tc>
        <w:tc>
          <w:tcPr>
            <w:tcW w:w="2395" w:type="dxa"/>
            <w:noWrap/>
            <w:vAlign w:val="bottom"/>
            <w:hideMark/>
          </w:tcPr>
          <w:p w14:paraId="75E64FA3" w14:textId="4C807E6F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8.6</w:t>
            </w:r>
          </w:p>
        </w:tc>
      </w:tr>
      <w:tr w:rsidR="000C5C74" w:rsidRPr="00B253E0" w14:paraId="1DAB1F06" w14:textId="77777777" w:rsidTr="00C336AC">
        <w:trPr>
          <w:trHeight w:val="320"/>
          <w:jc w:val="center"/>
        </w:trPr>
        <w:tc>
          <w:tcPr>
            <w:tcW w:w="1300" w:type="dxa"/>
            <w:noWrap/>
            <w:vAlign w:val="bottom"/>
            <w:hideMark/>
          </w:tcPr>
          <w:p w14:paraId="108C0050" w14:textId="148B826F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</w:p>
        </w:tc>
        <w:tc>
          <w:tcPr>
            <w:tcW w:w="1967" w:type="dxa"/>
            <w:noWrap/>
            <w:vAlign w:val="bottom"/>
            <w:hideMark/>
          </w:tcPr>
          <w:p w14:paraId="65F4AC91" w14:textId="487E60B5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8.19</w:t>
            </w:r>
          </w:p>
        </w:tc>
        <w:tc>
          <w:tcPr>
            <w:tcW w:w="2395" w:type="dxa"/>
            <w:noWrap/>
            <w:vAlign w:val="bottom"/>
            <w:hideMark/>
          </w:tcPr>
          <w:p w14:paraId="768D16A8" w14:textId="3DB3052B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8.61</w:t>
            </w:r>
          </w:p>
        </w:tc>
      </w:tr>
      <w:tr w:rsidR="000C5C74" w:rsidRPr="00B253E0" w14:paraId="248E9D8A" w14:textId="77777777" w:rsidTr="00C336AC">
        <w:trPr>
          <w:trHeight w:val="320"/>
          <w:jc w:val="center"/>
        </w:trPr>
        <w:tc>
          <w:tcPr>
            <w:tcW w:w="1300" w:type="dxa"/>
            <w:noWrap/>
            <w:vAlign w:val="bottom"/>
            <w:hideMark/>
          </w:tcPr>
          <w:p w14:paraId="48D1E38C" w14:textId="4717998A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</w:p>
        </w:tc>
        <w:tc>
          <w:tcPr>
            <w:tcW w:w="1967" w:type="dxa"/>
            <w:noWrap/>
            <w:vAlign w:val="bottom"/>
            <w:hideMark/>
          </w:tcPr>
          <w:p w14:paraId="37135ECE" w14:textId="5469FB90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7.93</w:t>
            </w:r>
          </w:p>
        </w:tc>
        <w:tc>
          <w:tcPr>
            <w:tcW w:w="2395" w:type="dxa"/>
            <w:noWrap/>
            <w:vAlign w:val="bottom"/>
            <w:hideMark/>
          </w:tcPr>
          <w:p w14:paraId="7D28E2B8" w14:textId="5FB258B7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8.61</w:t>
            </w:r>
          </w:p>
        </w:tc>
      </w:tr>
      <w:tr w:rsidR="000C5C74" w:rsidRPr="00B253E0" w14:paraId="4BE1441D" w14:textId="77777777" w:rsidTr="00C336AC">
        <w:trPr>
          <w:trHeight w:val="320"/>
          <w:jc w:val="center"/>
        </w:trPr>
        <w:tc>
          <w:tcPr>
            <w:tcW w:w="1300" w:type="dxa"/>
            <w:noWrap/>
            <w:vAlign w:val="bottom"/>
            <w:hideMark/>
          </w:tcPr>
          <w:p w14:paraId="0E3E71CE" w14:textId="6F6A2C54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</w:p>
        </w:tc>
        <w:tc>
          <w:tcPr>
            <w:tcW w:w="1967" w:type="dxa"/>
            <w:noWrap/>
            <w:vAlign w:val="bottom"/>
            <w:hideMark/>
          </w:tcPr>
          <w:p w14:paraId="0CA0A7EF" w14:textId="54B22AA2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7.68</w:t>
            </w:r>
          </w:p>
        </w:tc>
        <w:tc>
          <w:tcPr>
            <w:tcW w:w="2395" w:type="dxa"/>
            <w:noWrap/>
            <w:vAlign w:val="bottom"/>
            <w:hideMark/>
          </w:tcPr>
          <w:p w14:paraId="0A5722DE" w14:textId="58BEF82E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8.61</w:t>
            </w:r>
          </w:p>
        </w:tc>
      </w:tr>
      <w:tr w:rsidR="000C5C74" w:rsidRPr="00B253E0" w14:paraId="37D5E8D2" w14:textId="77777777" w:rsidTr="00C336AC">
        <w:trPr>
          <w:trHeight w:val="320"/>
          <w:jc w:val="center"/>
        </w:trPr>
        <w:tc>
          <w:tcPr>
            <w:tcW w:w="1300" w:type="dxa"/>
            <w:noWrap/>
            <w:vAlign w:val="bottom"/>
            <w:hideMark/>
          </w:tcPr>
          <w:p w14:paraId="1BFEDF7C" w14:textId="70B2ED09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200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</w:p>
        </w:tc>
        <w:tc>
          <w:tcPr>
            <w:tcW w:w="1967" w:type="dxa"/>
            <w:noWrap/>
            <w:vAlign w:val="bottom"/>
            <w:hideMark/>
          </w:tcPr>
          <w:p w14:paraId="1BD04E73" w14:textId="3264C35C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7.48</w:t>
            </w:r>
          </w:p>
        </w:tc>
        <w:tc>
          <w:tcPr>
            <w:tcW w:w="2395" w:type="dxa"/>
            <w:noWrap/>
            <w:vAlign w:val="bottom"/>
            <w:hideMark/>
          </w:tcPr>
          <w:p w14:paraId="215E404F" w14:textId="591E789D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8.6</w:t>
            </w:r>
          </w:p>
        </w:tc>
      </w:tr>
      <w:tr w:rsidR="000C5C74" w:rsidRPr="00B253E0" w14:paraId="654E8E5A" w14:textId="77777777" w:rsidTr="00C336AC">
        <w:trPr>
          <w:trHeight w:val="320"/>
          <w:jc w:val="center"/>
        </w:trPr>
        <w:tc>
          <w:tcPr>
            <w:tcW w:w="1300" w:type="dxa"/>
            <w:noWrap/>
            <w:vAlign w:val="bottom"/>
            <w:hideMark/>
          </w:tcPr>
          <w:p w14:paraId="24519D21" w14:textId="5733939E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</w:p>
        </w:tc>
        <w:tc>
          <w:tcPr>
            <w:tcW w:w="1967" w:type="dxa"/>
            <w:noWrap/>
            <w:vAlign w:val="bottom"/>
            <w:hideMark/>
          </w:tcPr>
          <w:p w14:paraId="6A05B07C" w14:textId="67F9F62A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7.39</w:t>
            </w:r>
          </w:p>
        </w:tc>
        <w:tc>
          <w:tcPr>
            <w:tcW w:w="2395" w:type="dxa"/>
            <w:noWrap/>
            <w:vAlign w:val="bottom"/>
            <w:hideMark/>
          </w:tcPr>
          <w:p w14:paraId="77507968" w14:textId="05F7C77C" w:rsidR="000C5C74" w:rsidRPr="00B253E0" w:rsidRDefault="000C5C74" w:rsidP="005959FD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7.98</w:t>
            </w:r>
          </w:p>
        </w:tc>
      </w:tr>
      <w:tr w:rsidR="000C5C74" w:rsidRPr="00B253E0" w14:paraId="2706C765" w14:textId="77777777" w:rsidTr="00C336AC">
        <w:trPr>
          <w:trHeight w:val="320"/>
          <w:jc w:val="center"/>
        </w:trPr>
        <w:tc>
          <w:tcPr>
            <w:tcW w:w="1300" w:type="dxa"/>
            <w:noWrap/>
            <w:vAlign w:val="bottom"/>
          </w:tcPr>
          <w:p w14:paraId="073CC31A" w14:textId="785105AA" w:rsidR="000C5C74" w:rsidRDefault="000C5C74" w:rsidP="005959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</w:p>
        </w:tc>
        <w:tc>
          <w:tcPr>
            <w:tcW w:w="1967" w:type="dxa"/>
            <w:noWrap/>
            <w:vAlign w:val="bottom"/>
          </w:tcPr>
          <w:p w14:paraId="4115795D" w14:textId="2C6EE3DB" w:rsidR="000C5C74" w:rsidRDefault="000C5C74" w:rsidP="005959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5.52</w:t>
            </w:r>
          </w:p>
        </w:tc>
        <w:tc>
          <w:tcPr>
            <w:tcW w:w="2395" w:type="dxa"/>
            <w:noWrap/>
            <w:vAlign w:val="bottom"/>
          </w:tcPr>
          <w:p w14:paraId="6FDDB21C" w14:textId="5C0D9F25" w:rsidR="000C5C74" w:rsidRDefault="000C5C74" w:rsidP="005959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7.67</w:t>
            </w:r>
          </w:p>
        </w:tc>
      </w:tr>
      <w:tr w:rsidR="000C5C74" w:rsidRPr="00B253E0" w14:paraId="66218FAE" w14:textId="77777777" w:rsidTr="00C336AC">
        <w:trPr>
          <w:trHeight w:val="305"/>
          <w:jc w:val="center"/>
        </w:trPr>
        <w:tc>
          <w:tcPr>
            <w:tcW w:w="1300" w:type="dxa"/>
            <w:noWrap/>
            <w:vAlign w:val="bottom"/>
          </w:tcPr>
          <w:p w14:paraId="60532AE0" w14:textId="30E2B787" w:rsidR="000C5C74" w:rsidRDefault="000C5C74" w:rsidP="005959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</w:p>
        </w:tc>
        <w:tc>
          <w:tcPr>
            <w:tcW w:w="1967" w:type="dxa"/>
            <w:noWrap/>
            <w:vAlign w:val="bottom"/>
          </w:tcPr>
          <w:p w14:paraId="71A0B1A2" w14:textId="1114FC20" w:rsidR="000C5C74" w:rsidRDefault="000C5C74" w:rsidP="005959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5.31</w:t>
            </w:r>
          </w:p>
        </w:tc>
        <w:tc>
          <w:tcPr>
            <w:tcW w:w="2395" w:type="dxa"/>
            <w:noWrap/>
            <w:vAlign w:val="bottom"/>
          </w:tcPr>
          <w:p w14:paraId="3CCB8106" w14:textId="75C2EAFE" w:rsidR="000C5C74" w:rsidRDefault="000C5C74" w:rsidP="005959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7.59</w:t>
            </w:r>
          </w:p>
        </w:tc>
      </w:tr>
      <w:tr w:rsidR="000C5C74" w:rsidRPr="00B253E0" w14:paraId="1D717EF8" w14:textId="77777777" w:rsidTr="00C336AC">
        <w:trPr>
          <w:trHeight w:val="305"/>
          <w:jc w:val="center"/>
        </w:trPr>
        <w:tc>
          <w:tcPr>
            <w:tcW w:w="1300" w:type="dxa"/>
            <w:noWrap/>
            <w:vAlign w:val="bottom"/>
          </w:tcPr>
          <w:p w14:paraId="3EF999F5" w14:textId="29115C41" w:rsidR="000C5C74" w:rsidRDefault="000C5C74" w:rsidP="005959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  <w:r w:rsidR="004C1C07">
              <w:rPr>
                <w:rFonts w:ascii="Calibri" w:eastAsia="Times New Roman" w:hAnsi="Calibri" w:hint="eastAsia"/>
                <w:color w:val="000000"/>
              </w:rPr>
              <w:t>,</w:t>
            </w:r>
            <w:r>
              <w:rPr>
                <w:rFonts w:ascii="Calibri" w:eastAsia="Times New Roman" w:hAnsi="Calibri"/>
                <w:color w:val="000000"/>
              </w:rPr>
              <w:t>000</w:t>
            </w:r>
          </w:p>
        </w:tc>
        <w:tc>
          <w:tcPr>
            <w:tcW w:w="1967" w:type="dxa"/>
            <w:noWrap/>
            <w:vAlign w:val="bottom"/>
          </w:tcPr>
          <w:p w14:paraId="08942373" w14:textId="27FF37EC" w:rsidR="000C5C74" w:rsidRDefault="000C5C74" w:rsidP="005959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4.85</w:t>
            </w:r>
          </w:p>
        </w:tc>
        <w:tc>
          <w:tcPr>
            <w:tcW w:w="2395" w:type="dxa"/>
            <w:noWrap/>
            <w:vAlign w:val="bottom"/>
          </w:tcPr>
          <w:p w14:paraId="3620A548" w14:textId="7FC28397" w:rsidR="000C5C74" w:rsidRDefault="000C5C74" w:rsidP="005959FD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7.54</w:t>
            </w:r>
          </w:p>
        </w:tc>
      </w:tr>
    </w:tbl>
    <w:p w14:paraId="590E8A3E" w14:textId="24271E0E" w:rsidR="00B253E0" w:rsidRDefault="00B253E0" w:rsidP="00B253E0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6EC4EBB0" w14:textId="4D2FC901" w:rsidR="00C336AC" w:rsidRDefault="00AC38E6" w:rsidP="00B253E0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D3EFAF0" wp14:editId="572427F6">
            <wp:extent cx="5943600" cy="2557145"/>
            <wp:effectExtent l="0" t="0" r="0" b="825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B81167" w14:textId="77777777" w:rsidR="00B253E0" w:rsidRPr="00B253E0" w:rsidRDefault="00B253E0" w:rsidP="00B253E0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5500AF10" w14:textId="6113C998" w:rsidR="00CA00D6" w:rsidRPr="00CA00D6" w:rsidRDefault="00B253E0" w:rsidP="009A7F47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B253E0">
        <w:rPr>
          <w:rFonts w:ascii="Helvetica Neue" w:eastAsia="Times New Roman" w:hAnsi="Helvetica Neue" w:cs="Times New Roman"/>
          <w:color w:val="2D3B45"/>
          <w:sz w:val="27"/>
          <w:szCs w:val="27"/>
        </w:rPr>
        <w:t>What patterns are you seeing in the speedups?</w:t>
      </w:r>
    </w:p>
    <w:p w14:paraId="09E80943" w14:textId="6C32C569" w:rsidR="009A7F47" w:rsidRDefault="009A7F47" w:rsidP="009A7F47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For both array-multiply and array-multiply-reduction experiments, the speed-up increases and reaches at 8.6</w:t>
      </w:r>
      <w:r w:rsidR="00B54ADD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1</w:t>
      </w:r>
      <w:r w:rsidR="006D615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when the array size increases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. </w:t>
      </w:r>
      <w:r w:rsidR="006D615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When the array size is more than 20,000, the speed up for both experiments start to decrease. The speed up of the array-multiply drops faster than </w:t>
      </w:r>
      <w:r w:rsidR="00B54E79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the speed up of the array-multiply-reduction experiment.</w:t>
      </w:r>
    </w:p>
    <w:p w14:paraId="7A09450E" w14:textId="77777777" w:rsidR="00C81B50" w:rsidRPr="00B253E0" w:rsidRDefault="00C81B50" w:rsidP="009A7F47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0354C19C" w14:textId="77777777" w:rsidR="00B253E0" w:rsidRDefault="00B253E0" w:rsidP="00B253E0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B253E0">
        <w:rPr>
          <w:rFonts w:ascii="Helvetica Neue" w:eastAsia="Times New Roman" w:hAnsi="Helvetica Neue" w:cs="Times New Roman"/>
          <w:color w:val="2D3B45"/>
          <w:sz w:val="27"/>
          <w:szCs w:val="27"/>
        </w:rPr>
        <w:t>Are they consistent across a variety of array sizes?</w:t>
      </w:r>
    </w:p>
    <w:p w14:paraId="4F29A874" w14:textId="184C2A03" w:rsidR="00CA00D6" w:rsidRDefault="00CA00D6" w:rsidP="00CA00D6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For</w:t>
      </w:r>
      <w:r w:rsidR="00BB6296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both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the array-multiply</w:t>
      </w:r>
      <w:r w:rsidR="00BB6296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and the array-multiply-reduction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experiment, the speed-up rises and </w:t>
      </w:r>
      <w:r w:rsidR="00BB6296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reaches the top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when the array size is 20,000</w:t>
      </w:r>
      <w:r w:rsidR="00BB6296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, then it begins to drop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.</w:t>
      </w:r>
    </w:p>
    <w:p w14:paraId="0881E3B5" w14:textId="087327CF" w:rsidR="00C81B50" w:rsidRDefault="00BB6296" w:rsidP="00CA00D6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When the array size is more than 20,000, the speed up of the array-multiply drops faster than the speed up of the array-multiply-reduction.</w:t>
      </w:r>
    </w:p>
    <w:p w14:paraId="3CF46FD6" w14:textId="77777777" w:rsidR="00BB6296" w:rsidRPr="00B253E0" w:rsidRDefault="00BB6296" w:rsidP="00CA00D6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65942FCC" w14:textId="77777777" w:rsidR="00B253E0" w:rsidRDefault="00B253E0" w:rsidP="00B253E0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B253E0">
        <w:rPr>
          <w:rFonts w:ascii="Helvetica Neue" w:eastAsia="Times New Roman" w:hAnsi="Helvetica Neue" w:cs="Times New Roman"/>
          <w:color w:val="2D3B45"/>
          <w:sz w:val="27"/>
          <w:szCs w:val="27"/>
        </w:rPr>
        <w:t>Why or why not, do you think?</w:t>
      </w:r>
    </w:p>
    <w:p w14:paraId="2E46F510" w14:textId="77777777" w:rsidR="00B55773" w:rsidRDefault="00BB6296" w:rsidP="00440201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When the array size 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is small, the </w:t>
      </w:r>
      <w:r w:rsidR="001E11FA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SIMD is so fast and the speed up can reaches more than 8. </w:t>
      </w:r>
    </w:p>
    <w:p w14:paraId="163C1CE8" w14:textId="4C4C83A7" w:rsidR="00440201" w:rsidRDefault="0054560E" w:rsidP="00440201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When the array size is getting larger, </w:t>
      </w:r>
      <w:r w:rsidR="00B55773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there will be more overhead and the </w:t>
      </w:r>
      <w:r w:rsidR="00B55773">
        <w:rPr>
          <w:rFonts w:ascii="Helvetica Neue" w:eastAsia="Times New Roman" w:hAnsi="Helvetica Neue" w:cs="Times New Roman"/>
          <w:color w:val="2D3B45"/>
          <w:sz w:val="27"/>
          <w:szCs w:val="27"/>
        </w:rPr>
        <w:t>possibility</w:t>
      </w:r>
      <w:r w:rsidR="00B55773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of c</w:t>
      </w:r>
      <w:r w:rsidR="00AF17CB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ache missing will also increase</w:t>
      </w:r>
      <w:bookmarkStart w:id="0" w:name="_GoBack"/>
      <w:bookmarkEnd w:id="0"/>
      <w:r w:rsidR="00B55773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. So the speed up will drop when the array size is too large.</w:t>
      </w:r>
    </w:p>
    <w:p w14:paraId="1B2D9BF8" w14:textId="77777777" w:rsidR="00440201" w:rsidRPr="00B253E0" w:rsidRDefault="00440201" w:rsidP="00440201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00FA92D0" w14:textId="6DAC5920" w:rsidR="00B253E0" w:rsidRDefault="00B253E0" w:rsidP="00B253E0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 w:rsidRPr="00B253E0">
        <w:rPr>
          <w:rFonts w:ascii="Helvetica Neue" w:eastAsia="Times New Roman" w:hAnsi="Helvetica Neue" w:cs="Times New Roman"/>
          <w:color w:val="2D3B45"/>
          <w:sz w:val="27"/>
          <w:szCs w:val="27"/>
        </w:rPr>
        <w:lastRenderedPageBreak/>
        <w:t>Knowing that SSE SIMD is 4-floats-at-a-time, why could you get a speed-up of &lt; 4.0 or &gt; 4.0 in the array-</w:t>
      </w:r>
      <w:r w:rsidR="0054560E" w:rsidRPr="00B253E0">
        <w:rPr>
          <w:rFonts w:ascii="Helvetica Neue" w:eastAsia="Times New Roman" w:hAnsi="Helvetica Neue" w:cs="Times New Roman"/>
          <w:color w:val="2D3B45"/>
          <w:sz w:val="27"/>
          <w:szCs w:val="27"/>
        </w:rPr>
        <w:t>multiplication</w:t>
      </w:r>
      <w:r w:rsidRPr="00B253E0">
        <w:rPr>
          <w:rFonts w:ascii="Helvetica Neue" w:eastAsia="Times New Roman" w:hAnsi="Helvetica Neue" w:cs="Times New Roman"/>
          <w:color w:val="2D3B45"/>
          <w:sz w:val="27"/>
          <w:szCs w:val="27"/>
        </w:rPr>
        <w:t>?</w:t>
      </w:r>
    </w:p>
    <w:p w14:paraId="50C05FF9" w14:textId="567723C7" w:rsidR="00B55773" w:rsidRDefault="00B55773" w:rsidP="00B55773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The speed up can reach at 8.6</w:t>
      </w:r>
      <w:r w:rsidR="00157867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1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when the array size is 20,000. The speed up </w:t>
      </w:r>
      <w:r w:rsidR="00721E7F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starts to drop and </w:t>
      </w:r>
      <w:r w:rsidR="00B54ADD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reaches 4.85 when the array size is 5,000,000.</w:t>
      </w:r>
    </w:p>
    <w:p w14:paraId="3639FD86" w14:textId="5ED73ECA" w:rsidR="00B54ADD" w:rsidRDefault="007E1001" w:rsidP="00B55773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One of the reason</w:t>
      </w:r>
      <w:r w:rsidR="00D823B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s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</w:t>
      </w:r>
      <w:r w:rsidR="00D823B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that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the speed-up is more than 4.0 is that the none SIMD version is not well optimized by complier. </w:t>
      </w:r>
      <w:r w:rsidR="00D823B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But the SIMD version is using assembly language and all the potential speedup are investigated.</w:t>
      </w:r>
    </w:p>
    <w:p w14:paraId="0E5E3FC0" w14:textId="77777777" w:rsidR="00B55773" w:rsidRPr="00B253E0" w:rsidRDefault="00B55773" w:rsidP="00B55773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2ADEB5FE" w14:textId="73C3A38B" w:rsidR="00B253E0" w:rsidRPr="00B54ADD" w:rsidRDefault="00B253E0" w:rsidP="00B253E0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 w:hint="eastAsia"/>
          <w:color w:val="000000"/>
          <w:sz w:val="27"/>
          <w:szCs w:val="27"/>
        </w:rPr>
      </w:pPr>
      <w:r w:rsidRPr="00B253E0">
        <w:rPr>
          <w:rFonts w:ascii="Helvetica Neue" w:eastAsia="Times New Roman" w:hAnsi="Helvetica Neue" w:cs="Times New Roman"/>
          <w:color w:val="2D3B45"/>
          <w:sz w:val="27"/>
          <w:szCs w:val="27"/>
        </w:rPr>
        <w:t>Knowing that SSE SIMD is 4-floats-at-a-time, why could you get a speed-up of &lt; 4.0 or &gt; 4.0 in the array-mu</w:t>
      </w:r>
      <w:r w:rsidR="007C3982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l</w:t>
      </w:r>
      <w:r w:rsidRPr="00B253E0">
        <w:rPr>
          <w:rFonts w:ascii="Helvetica Neue" w:eastAsia="Times New Roman" w:hAnsi="Helvetica Neue" w:cs="Times New Roman"/>
          <w:color w:val="2D3B45"/>
          <w:sz w:val="27"/>
          <w:szCs w:val="27"/>
        </w:rPr>
        <w:t>tiplication-reduction?</w:t>
      </w:r>
    </w:p>
    <w:p w14:paraId="71CCE50C" w14:textId="3DE8346A" w:rsidR="00B54ADD" w:rsidRDefault="00B54ADD" w:rsidP="00B54ADD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 w:rsidRPr="00B54ADD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The speed up can reach at 8.6</w:t>
      </w:r>
      <w:r w:rsidR="00157867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1</w:t>
      </w:r>
      <w:r w:rsidRPr="00B54ADD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when the array size is 20,000. The speed up starts to drop and reaches </w:t>
      </w:r>
      <w:r w:rsidR="00157867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7.54</w:t>
      </w:r>
      <w:r w:rsidRPr="00B54ADD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when the array size is 5,000,000.</w:t>
      </w:r>
    </w:p>
    <w:p w14:paraId="2BFA2FDE" w14:textId="33660B7A" w:rsidR="00D823B4" w:rsidRDefault="00D823B4" w:rsidP="00D823B4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One of the reasons that the speed-up is more than 4.0 is that the none SIMD version is not well optimized by complier. But the SIMD version is using assembly language and all the potential speedup are investigated.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Especially the 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‘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adding to the xmm register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’</w:t>
      </w:r>
      <w:r w:rsidR="003947E7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is very efficient, so the speed up drops slower than the array-mult</w:t>
      </w:r>
      <w:r w:rsidR="007C3982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iplication experiment.</w:t>
      </w:r>
    </w:p>
    <w:p w14:paraId="2EA25E99" w14:textId="6EB79D85" w:rsidR="00CC2377" w:rsidRPr="004C1C07" w:rsidRDefault="00CC2377" w:rsidP="004C1C07">
      <w:pPr>
        <w:shd w:val="clear" w:color="auto" w:fill="FFFFFF"/>
        <w:spacing w:before="120" w:after="120"/>
        <w:rPr>
          <w:rFonts w:ascii="Helvetica Neue" w:eastAsia="Times New Roman" w:hAnsi="Helvetica Neue" w:cs="Times New Roman" w:hint="eastAsia"/>
          <w:color w:val="2D3B45"/>
          <w:sz w:val="27"/>
          <w:szCs w:val="27"/>
        </w:rPr>
      </w:pPr>
    </w:p>
    <w:sectPr w:rsidR="00CC2377" w:rsidRPr="004C1C07" w:rsidSect="00153B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B4B3A" w14:textId="77777777" w:rsidR="00C94769" w:rsidRDefault="00C94769">
      <w:r>
        <w:separator/>
      </w:r>
    </w:p>
  </w:endnote>
  <w:endnote w:type="continuationSeparator" w:id="0">
    <w:p w14:paraId="6A3EFC75" w14:textId="77777777" w:rsidR="00C94769" w:rsidRDefault="00C94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1F77C" w14:textId="77777777" w:rsidR="00C94769" w:rsidRDefault="00C94769">
      <w:r>
        <w:separator/>
      </w:r>
    </w:p>
  </w:footnote>
  <w:footnote w:type="continuationSeparator" w:id="0">
    <w:p w14:paraId="6BC022D2" w14:textId="77777777" w:rsidR="00C94769" w:rsidRDefault="00C94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F6758"/>
    <w:multiLevelType w:val="multilevel"/>
    <w:tmpl w:val="39F60C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(%2)"/>
      <w:lvlJc w:val="left"/>
      <w:pPr>
        <w:ind w:left="72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13"/>
    <w:rsid w:val="000003A1"/>
    <w:rsid w:val="00060A82"/>
    <w:rsid w:val="00073F27"/>
    <w:rsid w:val="000A0327"/>
    <w:rsid w:val="000C37ED"/>
    <w:rsid w:val="000C5695"/>
    <w:rsid w:val="000C5C74"/>
    <w:rsid w:val="000D12FB"/>
    <w:rsid w:val="000F5434"/>
    <w:rsid w:val="001057C1"/>
    <w:rsid w:val="00116658"/>
    <w:rsid w:val="00133B09"/>
    <w:rsid w:val="00135485"/>
    <w:rsid w:val="00144F39"/>
    <w:rsid w:val="0015249D"/>
    <w:rsid w:val="0015267A"/>
    <w:rsid w:val="00153B6B"/>
    <w:rsid w:val="00157867"/>
    <w:rsid w:val="001820BF"/>
    <w:rsid w:val="001B2874"/>
    <w:rsid w:val="001C1FA4"/>
    <w:rsid w:val="001D4FBD"/>
    <w:rsid w:val="001E11FA"/>
    <w:rsid w:val="00222CFE"/>
    <w:rsid w:val="00236C71"/>
    <w:rsid w:val="002A4B0E"/>
    <w:rsid w:val="002D5964"/>
    <w:rsid w:val="00302E38"/>
    <w:rsid w:val="00315168"/>
    <w:rsid w:val="00317AF0"/>
    <w:rsid w:val="00341B50"/>
    <w:rsid w:val="00353A09"/>
    <w:rsid w:val="00362D97"/>
    <w:rsid w:val="003820ED"/>
    <w:rsid w:val="003947E7"/>
    <w:rsid w:val="00397AD1"/>
    <w:rsid w:val="003B4E95"/>
    <w:rsid w:val="003D7C60"/>
    <w:rsid w:val="003E784C"/>
    <w:rsid w:val="00427BA5"/>
    <w:rsid w:val="00432E82"/>
    <w:rsid w:val="00440201"/>
    <w:rsid w:val="00453169"/>
    <w:rsid w:val="004566F1"/>
    <w:rsid w:val="00457D7F"/>
    <w:rsid w:val="004952B6"/>
    <w:rsid w:val="004B1F94"/>
    <w:rsid w:val="004C1C07"/>
    <w:rsid w:val="004D240F"/>
    <w:rsid w:val="004F6F89"/>
    <w:rsid w:val="005256ED"/>
    <w:rsid w:val="0054560E"/>
    <w:rsid w:val="0056215B"/>
    <w:rsid w:val="005823AA"/>
    <w:rsid w:val="00585BD4"/>
    <w:rsid w:val="005959FD"/>
    <w:rsid w:val="005B0B54"/>
    <w:rsid w:val="005B6324"/>
    <w:rsid w:val="005E4C21"/>
    <w:rsid w:val="00601777"/>
    <w:rsid w:val="00605FD9"/>
    <w:rsid w:val="006571A0"/>
    <w:rsid w:val="00660F59"/>
    <w:rsid w:val="006848E5"/>
    <w:rsid w:val="006C2B13"/>
    <w:rsid w:val="006D6151"/>
    <w:rsid w:val="00721E7F"/>
    <w:rsid w:val="007C3982"/>
    <w:rsid w:val="007E1001"/>
    <w:rsid w:val="007E7363"/>
    <w:rsid w:val="007F6CA5"/>
    <w:rsid w:val="007F7321"/>
    <w:rsid w:val="00853D36"/>
    <w:rsid w:val="00884790"/>
    <w:rsid w:val="008944D6"/>
    <w:rsid w:val="008C7E0F"/>
    <w:rsid w:val="00915FAC"/>
    <w:rsid w:val="00956AC4"/>
    <w:rsid w:val="009A54DD"/>
    <w:rsid w:val="009A7F47"/>
    <w:rsid w:val="009B15CC"/>
    <w:rsid w:val="009B17ED"/>
    <w:rsid w:val="009C0C5C"/>
    <w:rsid w:val="009C70A5"/>
    <w:rsid w:val="009F2260"/>
    <w:rsid w:val="00A30949"/>
    <w:rsid w:val="00A36B42"/>
    <w:rsid w:val="00A76D9E"/>
    <w:rsid w:val="00A76E1E"/>
    <w:rsid w:val="00AB5B15"/>
    <w:rsid w:val="00AC38E6"/>
    <w:rsid w:val="00AD3A38"/>
    <w:rsid w:val="00AF17CB"/>
    <w:rsid w:val="00AF387C"/>
    <w:rsid w:val="00B253E0"/>
    <w:rsid w:val="00B54ADD"/>
    <w:rsid w:val="00B54E79"/>
    <w:rsid w:val="00B55773"/>
    <w:rsid w:val="00B629B2"/>
    <w:rsid w:val="00B6479F"/>
    <w:rsid w:val="00B7554E"/>
    <w:rsid w:val="00B84C36"/>
    <w:rsid w:val="00BA2403"/>
    <w:rsid w:val="00BA5473"/>
    <w:rsid w:val="00BB6296"/>
    <w:rsid w:val="00BC005A"/>
    <w:rsid w:val="00BC6A6F"/>
    <w:rsid w:val="00C058FB"/>
    <w:rsid w:val="00C336AC"/>
    <w:rsid w:val="00C81B50"/>
    <w:rsid w:val="00C912B2"/>
    <w:rsid w:val="00C94769"/>
    <w:rsid w:val="00CA00D6"/>
    <w:rsid w:val="00CC2377"/>
    <w:rsid w:val="00D1644E"/>
    <w:rsid w:val="00D164AA"/>
    <w:rsid w:val="00D23D66"/>
    <w:rsid w:val="00D823B4"/>
    <w:rsid w:val="00DA58A4"/>
    <w:rsid w:val="00DD0420"/>
    <w:rsid w:val="00DF0D49"/>
    <w:rsid w:val="00E00DE5"/>
    <w:rsid w:val="00E0685B"/>
    <w:rsid w:val="00E60E4F"/>
    <w:rsid w:val="00E73A79"/>
    <w:rsid w:val="00EC42E4"/>
    <w:rsid w:val="00EE6C9B"/>
    <w:rsid w:val="00F1280A"/>
    <w:rsid w:val="00F35496"/>
    <w:rsid w:val="00F66F08"/>
    <w:rsid w:val="00F8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2E1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2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2B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B13"/>
  </w:style>
  <w:style w:type="paragraph" w:styleId="ListParagraph">
    <w:name w:val="List Paragraph"/>
    <w:basedOn w:val="Normal"/>
    <w:uiPriority w:val="34"/>
    <w:qFormat/>
    <w:rsid w:val="006C2B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17ED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8C7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E0F"/>
  </w:style>
  <w:style w:type="paragraph" w:styleId="Title">
    <w:name w:val="Title"/>
    <w:basedOn w:val="Normal"/>
    <w:next w:val="Normal"/>
    <w:link w:val="TitleChar"/>
    <w:uiPriority w:val="10"/>
    <w:qFormat/>
    <w:rsid w:val="008C7E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E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ujial@oregonstate.edu" TargetMode="External"/><Relationship Id="rId8" Type="http://schemas.openxmlformats.org/officeDocument/2006/relationships/chart" Target="charts/chart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alex/Desktop/CS575/Work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Array</a:t>
            </a:r>
            <a:r>
              <a:rPr lang="zh-CN" altLang="en-US"/>
              <a:t> </a:t>
            </a:r>
            <a:r>
              <a:rPr lang="en-US" altLang="zh-CN"/>
              <a:t>Size</a:t>
            </a:r>
            <a:r>
              <a:rPr lang="zh-CN" altLang="en-US"/>
              <a:t> </a:t>
            </a:r>
            <a:r>
              <a:rPr lang="en-US" altLang="zh-CN"/>
              <a:t>vs</a:t>
            </a:r>
            <a:r>
              <a:rPr lang="zh-CN" altLang="en-US"/>
              <a:t> </a:t>
            </a:r>
            <a:r>
              <a:rPr lang="en-US" altLang="zh-CN"/>
              <a:t>SIMD</a:t>
            </a:r>
            <a:r>
              <a:rPr lang="zh-CN" altLang="en-US"/>
              <a:t> </a:t>
            </a:r>
            <a:r>
              <a:rPr lang="en-US" altLang="zh-CN"/>
              <a:t>-</a:t>
            </a:r>
            <a:r>
              <a:rPr lang="zh-CN" altLang="en-US"/>
              <a:t> </a:t>
            </a:r>
            <a:r>
              <a:rPr lang="en-US" altLang="zh-CN"/>
              <a:t>NonSIMD</a:t>
            </a:r>
            <a:r>
              <a:rPr lang="zh-CN" altLang="en-US"/>
              <a:t> </a:t>
            </a:r>
            <a:r>
              <a:rPr lang="en-US" altLang="zh-CN"/>
              <a:t>Speed</a:t>
            </a:r>
            <a:r>
              <a:rPr lang="zh-CN" altLang="en-US"/>
              <a:t> </a:t>
            </a:r>
            <a:r>
              <a:rPr lang="en-US" altLang="zh-CN"/>
              <a:t>Up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ArrayMul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Sheet1!$A$4:$A$19</c:f>
              <c:numCache>
                <c:formatCode>General</c:formatCode>
                <c:ptCount val="16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10000.0</c:v>
                </c:pt>
                <c:pt idx="6">
                  <c:v>20000.0</c:v>
                </c:pt>
                <c:pt idx="7">
                  <c:v>40000.0</c:v>
                </c:pt>
                <c:pt idx="8">
                  <c:v>60000.0</c:v>
                </c:pt>
                <c:pt idx="9">
                  <c:v>80000.0</c:v>
                </c:pt>
                <c:pt idx="10">
                  <c:v>100000.0</c:v>
                </c:pt>
                <c:pt idx="11">
                  <c:v>200000.0</c:v>
                </c:pt>
                <c:pt idx="12">
                  <c:v>500000.0</c:v>
                </c:pt>
                <c:pt idx="13">
                  <c:v>1.0E6</c:v>
                </c:pt>
                <c:pt idx="14">
                  <c:v>2.0E6</c:v>
                </c:pt>
                <c:pt idx="15">
                  <c:v>5.0E6</c:v>
                </c:pt>
              </c:numCache>
            </c:numRef>
          </c:cat>
          <c:val>
            <c:numRef>
              <c:f>Sheet1!$B$4:$B$19</c:f>
              <c:numCache>
                <c:formatCode>General</c:formatCode>
                <c:ptCount val="16"/>
                <c:pt idx="0">
                  <c:v>8.210000000000001</c:v>
                </c:pt>
                <c:pt idx="1">
                  <c:v>8.46</c:v>
                </c:pt>
                <c:pt idx="2">
                  <c:v>8.52</c:v>
                </c:pt>
                <c:pt idx="3">
                  <c:v>8.53</c:v>
                </c:pt>
                <c:pt idx="4">
                  <c:v>8.52</c:v>
                </c:pt>
                <c:pt idx="5">
                  <c:v>8.51</c:v>
                </c:pt>
                <c:pt idx="6">
                  <c:v>8.639999999999998</c:v>
                </c:pt>
                <c:pt idx="7">
                  <c:v>8.34</c:v>
                </c:pt>
                <c:pt idx="8">
                  <c:v>8.19</c:v>
                </c:pt>
                <c:pt idx="9">
                  <c:v>7.93</c:v>
                </c:pt>
                <c:pt idx="10">
                  <c:v>7.68</c:v>
                </c:pt>
                <c:pt idx="11">
                  <c:v>7.48</c:v>
                </c:pt>
                <c:pt idx="12">
                  <c:v>7.39</c:v>
                </c:pt>
                <c:pt idx="13">
                  <c:v>5.52</c:v>
                </c:pt>
                <c:pt idx="14">
                  <c:v>5.31</c:v>
                </c:pt>
                <c:pt idx="15">
                  <c:v>4.85</c:v>
                </c:pt>
              </c:numCache>
            </c:numRef>
          </c:val>
          <c:smooth val="0"/>
        </c:ser>
        <c:ser>
          <c:idx val="1"/>
          <c:order val="1"/>
          <c:tx>
            <c:v>ArrayMulSum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Sheet1!$A$4:$A$19</c:f>
              <c:numCache>
                <c:formatCode>General</c:formatCode>
                <c:ptCount val="16"/>
                <c:pt idx="0">
                  <c:v>1000.0</c:v>
                </c:pt>
                <c:pt idx="1">
                  <c:v>2000.0</c:v>
                </c:pt>
                <c:pt idx="2">
                  <c:v>3000.0</c:v>
                </c:pt>
                <c:pt idx="3">
                  <c:v>4000.0</c:v>
                </c:pt>
                <c:pt idx="4">
                  <c:v>5000.0</c:v>
                </c:pt>
                <c:pt idx="5">
                  <c:v>10000.0</c:v>
                </c:pt>
                <c:pt idx="6">
                  <c:v>20000.0</c:v>
                </c:pt>
                <c:pt idx="7">
                  <c:v>40000.0</c:v>
                </c:pt>
                <c:pt idx="8">
                  <c:v>60000.0</c:v>
                </c:pt>
                <c:pt idx="9">
                  <c:v>80000.0</c:v>
                </c:pt>
                <c:pt idx="10">
                  <c:v>100000.0</c:v>
                </c:pt>
                <c:pt idx="11">
                  <c:v>200000.0</c:v>
                </c:pt>
                <c:pt idx="12">
                  <c:v>500000.0</c:v>
                </c:pt>
                <c:pt idx="13">
                  <c:v>1.0E6</c:v>
                </c:pt>
                <c:pt idx="14">
                  <c:v>2.0E6</c:v>
                </c:pt>
                <c:pt idx="15">
                  <c:v>5.0E6</c:v>
                </c:pt>
              </c:numCache>
            </c:numRef>
          </c:cat>
          <c:val>
            <c:numRef>
              <c:f>Sheet1!$C$4:$C$19</c:f>
              <c:numCache>
                <c:formatCode>General</c:formatCode>
                <c:ptCount val="16"/>
                <c:pt idx="0">
                  <c:v>8.02</c:v>
                </c:pt>
                <c:pt idx="1">
                  <c:v>8.32</c:v>
                </c:pt>
                <c:pt idx="2">
                  <c:v>8.43</c:v>
                </c:pt>
                <c:pt idx="3">
                  <c:v>8.46</c:v>
                </c:pt>
                <c:pt idx="4">
                  <c:v>8.49</c:v>
                </c:pt>
                <c:pt idx="5">
                  <c:v>8.57</c:v>
                </c:pt>
                <c:pt idx="6">
                  <c:v>8.61</c:v>
                </c:pt>
                <c:pt idx="7">
                  <c:v>8.6</c:v>
                </c:pt>
                <c:pt idx="8">
                  <c:v>8.61</c:v>
                </c:pt>
                <c:pt idx="9">
                  <c:v>8.61</c:v>
                </c:pt>
                <c:pt idx="10">
                  <c:v>8.61</c:v>
                </c:pt>
                <c:pt idx="11">
                  <c:v>8.6</c:v>
                </c:pt>
                <c:pt idx="12">
                  <c:v>7.98</c:v>
                </c:pt>
                <c:pt idx="13">
                  <c:v>7.67</c:v>
                </c:pt>
                <c:pt idx="14">
                  <c:v>7.59</c:v>
                </c:pt>
                <c:pt idx="15">
                  <c:v>7.54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1990256"/>
        <c:axId val="2122107424"/>
      </c:lineChart>
      <c:catAx>
        <c:axId val="2121990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Array</a:t>
                </a:r>
                <a:r>
                  <a:rPr lang="zh-CN" altLang="en-US"/>
                  <a:t> </a:t>
                </a:r>
                <a:r>
                  <a:rPr lang="en-US" altLang="zh-CN"/>
                  <a:t>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2107424"/>
        <c:crosses val="autoZero"/>
        <c:auto val="1"/>
        <c:lblAlgn val="ctr"/>
        <c:lblOffset val="100"/>
        <c:noMultiLvlLbl val="0"/>
      </c:catAx>
      <c:valAx>
        <c:axId val="212210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1990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408</Words>
  <Characters>2326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2018-05-07T21:36:00Z</dcterms:created>
  <dcterms:modified xsi:type="dcterms:W3CDTF">2019-05-14T04:30:00Z</dcterms:modified>
</cp:coreProperties>
</file>