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[22 - 07 - 2026]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Complejidad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de Tecnologías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Firebase Spark - (Nicolás Muñoz)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Sprints - Historias de Usuarios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la priorización y comprometer historias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de Colab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635"/>
        <w:gridCol w:w="2130"/>
        <w:gridCol w:w="3300"/>
        <w:tblGridChange w:id="0">
          <w:tblGrid>
            <w:gridCol w:w="4245"/>
            <w:gridCol w:w="1635"/>
            <w:gridCol w:w="2130"/>
            <w:gridCol w:w="33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Comprometer historias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Se revisó el Colab con el proceso actual.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sdt>
    <w:sdtPr>
      <w:lock w:val="contentLocked"/>
      <w:id w:val="720079354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4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5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pTtCbLfh/MXpBjvWi5Fn2gO/g==">CgMxLjAaHwoBMBIaChgICVIUChJ0YWJsZS5oMzJiMjNlYXE0ZmgyDmgua216b2NzamU4OGVqMg5oLnFldnAydjV6amVuODgAciExbEhHLUtRLTBQUHI3Ti1fZW9QUVFqN1FDUnFiNTJ0VU0=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