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99F5" wp14:editId="5EA61D73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99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AFA1" wp14:editId="059267B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B14AC1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MOD02</w:t>
                            </w:r>
                            <w:r w:rsidR="008A5693"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 w:rsidR="008A5693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Expert-         User Mode</w:t>
                            </w:r>
                          </w:p>
                          <w:p w:rsidR="008A5693" w:rsidRPr="0013423E" w:rsidRDefault="008A5693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AFA1" id="Textfeld 2" o:spid="_x0000_s1027" type="#_x0000_t202" style="position:absolute;margin-left:88.15pt;margin-top:15.1pt;width:301.95pt;height:10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 stroked="f">
                <v:textbox style="mso-fit-shape-to-text:t">
                  <w:txbxContent>
                    <w:p w:rsidR="008A5693" w:rsidRPr="0013423E" w:rsidRDefault="00B14AC1" w:rsidP="008A569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MOD02</w:t>
                      </w:r>
                      <w:r w:rsidR="008A5693"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 w:rsidR="008A5693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Expert-         User Mode</w:t>
                      </w:r>
                    </w:p>
                    <w:p w:rsidR="008A5693" w:rsidRPr="0013423E" w:rsidRDefault="008A5693" w:rsidP="008A5693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1A21C" wp14:editId="3FD4E2B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57910"/>
                <wp:effectExtent l="0" t="0" r="0" b="889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A21C" id="Textfeld 5" o:spid="_x0000_s1028" type="#_x0000_t202" style="position:absolute;margin-left:-3.55pt;margin-top:13.6pt;width:298.7pt;height:8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</w:t>
                      </w: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>
                        <w:rPr>
                          <w:rFonts w:ascii="Segoe UI" w:hAnsi="Segoe UI" w:cs="Segoe UI"/>
                        </w:rPr>
                        <w:t>,</w:t>
                      </w:r>
                      <w:r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0A5873" wp14:editId="58F0290A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8A5693" w:rsidRPr="0013423E" w:rsidRDefault="008A5693" w:rsidP="008A569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>
                            <w:r w:rsidRPr="003B273C">
                              <w:t xml:space="preserve">                     </w:t>
                            </w:r>
                          </w:p>
                          <w:p w:rsidR="008A5693" w:rsidRDefault="008A5693" w:rsidP="008A5693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873" id="Textfeld 6" o:spid="_x0000_s1029" type="#_x0000_t202" style="position:absolute;margin-left:-3.55pt;margin-top:26.25pt;width:512.05pt;height:2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8A5693" w:rsidRPr="0013423E" w:rsidRDefault="008A5693" w:rsidP="008A569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Kyle </w:t>
                      </w:r>
                      <w:proofErr w:type="spellStart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Zieher</w:t>
                      </w:r>
                      <w:proofErr w:type="spellEnd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 (Test Manager)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>
                      <w:r w:rsidRPr="003B273C">
                        <w:t xml:space="preserve">                     </w:t>
                      </w:r>
                    </w:p>
                    <w:p w:rsidR="008A5693" w:rsidRDefault="008A5693" w:rsidP="008A5693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Default="008A5693" w:rsidP="008A5693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:rsidR="008A5693" w:rsidRPr="0013423E" w:rsidRDefault="008A5693" w:rsidP="008A5693">
      <w:pPr>
        <w:rPr>
          <w:rFonts w:ascii="Segoe UI" w:hAnsi="Segoe UI" w:cs="Segoe UI"/>
        </w:rPr>
      </w:pPr>
      <w:r>
        <w:rPr>
          <w:rFonts w:ascii="Segoe UI" w:hAnsi="Segoe UI" w:cs="Segoe UI"/>
        </w:rPr>
        <w:t>Rafael Sancho Pernas 06.05.2024</w:t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A5693" w:rsidRPr="00965729" w:rsidRDefault="008A5693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</w:rPr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8A5693" w:rsidRPr="00965729">
          <w:rPr>
            <w:rStyle w:val="Hyperlink"/>
            <w:rFonts w:ascii="Segoe UI" w:hAnsi="Segoe UI" w:cs="Segoe UI"/>
            <w:noProof/>
          </w:rPr>
          <w:t>2 Glossary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8A5693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8A5693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8A5693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_Toc134696485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8A5693" w:rsidRPr="00965729">
          <w:rPr>
            <w:rStyle w:val="Hyperlink"/>
            <w:rFonts w:ascii="Segoe UI" w:hAnsi="Segoe UI" w:cs="Segoe UI"/>
            <w:noProof/>
          </w:rPr>
          <w:t>4 Analysis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_Toc134696491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8A5693" w:rsidRPr="00965729">
          <w:rPr>
            <w:rStyle w:val="Hyperlink"/>
            <w:rFonts w:ascii="Segoe UI" w:hAnsi="Segoe UI" w:cs="Segoe UI"/>
            <w:noProof/>
          </w:rPr>
          <w:t>5 Design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8A5693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94D0F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8A5693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5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7D5F2F" w:rsidRPr="007D5F2F" w:rsidRDefault="008A5693" w:rsidP="007D5F2F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:rsidR="007D5F2F" w:rsidRPr="007D5F2F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According to User Case 3.1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and User Case 3.2, the AAS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</w:t>
      </w: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client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provide a mode with limited information for users without expertise, and a mode with detailed view for users with extensive expertise.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:rsidR="008A5693" w:rsidRPr="00965729" w:rsidRDefault="008A5693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007D5F2F" w:rsidRPr="00924F5D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user has the ability to switch between modes using a switch. In the User Mode, they have a view with limited information. By clicking the switch, the mode changes to Expert Mode. When the user clicks on an asset in Expert Mode, they receive a detailed view including ID,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globalAssetId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and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submodels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.</w:t>
      </w:r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00B14AC1" w:rsidRPr="0013423E" w:rsidRDefault="008679C7" w:rsidP="008679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GB" w:eastAsia="en-GB"/>
        </w:rPr>
      </w:pPr>
      <w:r>
        <w:rPr>
          <w:rFonts w:ascii="Segoe UI" w:hAnsi="Segoe UI" w:cs="Segoe UI"/>
          <w:lang w:val="en-US"/>
        </w:rPr>
        <w:t>FR02: User can switch between “</w:t>
      </w:r>
      <w:proofErr w:type="gramStart"/>
      <w:r>
        <w:rPr>
          <w:rFonts w:ascii="Segoe UI" w:hAnsi="Segoe UI" w:cs="Segoe UI"/>
          <w:lang w:val="en-US"/>
        </w:rPr>
        <w:t>expert</w:t>
      </w:r>
      <w:proofErr w:type="gramEnd"/>
      <w:r>
        <w:rPr>
          <w:rFonts w:ascii="Segoe UI" w:hAnsi="Segoe UI" w:cs="Segoe UI"/>
          <w:lang w:val="en-US"/>
        </w:rPr>
        <w:t>” an “default” mode.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0022269D" w:rsidRPr="0022269D" w:rsidRDefault="0022269D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mode switch between the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2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modes must occur using a variable in the background. When the switch is pressed, the variable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must be changed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. Depending on which mode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selected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, the React component for the assets must be filled accordingly with either a lot or a little information.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The design of the mode switcher is a toggle button. By clicking on the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toggle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the toggle moves to the other side and the color switches. The text below the toggle Button shows in which mode the user is.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user mode: 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883997" cy="6096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46" w:rsidRDefault="00C71546" w:rsidP="00C71546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expert mode: </w:t>
      </w:r>
    </w:p>
    <w:p w:rsidR="008A5693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975445" cy="61727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ertm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C7" w:rsidRPr="00C71546" w:rsidRDefault="008679C7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7" w:name="_Toc134696493"/>
      <w:r w:rsidRPr="00965729">
        <w:rPr>
          <w:rFonts w:ascii="Segoe UI" w:hAnsi="Segoe UI" w:cs="Segoe UI"/>
          <w:color w:val="auto"/>
          <w:lang w:val="en-GB"/>
        </w:rPr>
        <w:lastRenderedPageBreak/>
        <w:t>6 Implementation</w:t>
      </w:r>
      <w:bookmarkEnd w:id="7"/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As in the server connection, the function </w:t>
      </w:r>
      <w:proofErr w:type="spell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getFullShellData</w:t>
      </w:r>
      <w:proofErr w:type="spell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needs to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be modified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.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But first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the mode switch must be implemented through the toggle button. This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is achieved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by storing the mode as a variable named "mode" in the session storage.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toggle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switch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toggleMode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 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state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proofErr w:type="spellEnd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2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1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setState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({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});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sessionStorage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setItem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'mode'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proofErr w:type="gramStart"/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'user'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</w:t>
      </w:r>
      <w:proofErr w:type="gram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'expert'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This switch of the mode 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processed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filter.js file.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getFullShellData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function of the backend.js there are now two returns implemented for the assets. An if-statement checks if the variable “mode” 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sessionstorage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is “user” or “expert”. For the case it is “expert” the function returns:</w:t>
      </w:r>
    </w:p>
    <w:p w:rsidR="008A5693" w:rsidRPr="00924F5D" w:rsidRDefault="008A5693" w:rsidP="008A56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idEncoded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btoa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element.assetInformation.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Assetsubmodels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submodelIds</w:t>
      </w:r>
      <w:proofErr w:type="spellEnd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8A5693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bookmarkStart w:id="8" w:name="_GoBack"/>
      <w:bookmarkEnd w:id="8"/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If the mode is “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user”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the function returns:</w:t>
      </w:r>
    </w:p>
    <w:p w:rsidR="00C94D0F" w:rsidRDefault="00A31766" w:rsidP="00C94D0F">
      <w:pPr>
        <w:pStyle w:val="HTMLVorformatiert"/>
        <w:shd w:val="clear" w:color="auto" w:fill="1E1F22"/>
        <w:rPr>
          <w:color w:val="BCBEC4"/>
          <w:lang w:val="en-GB" w:eastAsia="en-GB"/>
        </w:rPr>
      </w:pPr>
      <w:proofErr w:type="gramStart"/>
      <w:r w:rsidRPr="00A31766">
        <w:rPr>
          <w:color w:val="CF8E6D"/>
          <w:lang w:val="en-GB" w:eastAsia="en-GB"/>
        </w:rPr>
        <w:t>return</w:t>
      </w:r>
      <w:proofErr w:type="gramEnd"/>
      <w:r w:rsidRPr="00A31766">
        <w:rPr>
          <w:color w:val="CF8E6D"/>
          <w:lang w:val="en-GB" w:eastAsia="en-GB"/>
        </w:rPr>
        <w:t xml:space="preserve"> </w:t>
      </w:r>
      <w:r w:rsidRPr="00A31766">
        <w:rPr>
          <w:color w:val="BCBEC4"/>
          <w:lang w:val="en-GB" w:eastAsia="en-GB"/>
        </w:rPr>
        <w:t>{</w:t>
      </w:r>
      <w:r w:rsidRPr="00A31766">
        <w:rPr>
          <w:color w:val="BCBEC4"/>
          <w:lang w:val="en-GB" w:eastAsia="en-GB"/>
        </w:rPr>
        <w:br/>
        <w:t xml:space="preserve">    </w:t>
      </w:r>
      <w:proofErr w:type="spellStart"/>
      <w:r w:rsidR="00C94D0F" w:rsidRPr="00C94D0F">
        <w:rPr>
          <w:color w:val="C77DBB"/>
          <w:lang w:val="en-GB" w:eastAsia="en-GB"/>
        </w:rPr>
        <w:t>idShort</w:t>
      </w:r>
      <w:proofErr w:type="spellEnd"/>
      <w:r w:rsidR="00C94D0F" w:rsidRPr="00C94D0F">
        <w:rPr>
          <w:color w:val="BCBEC4"/>
          <w:lang w:val="en-GB" w:eastAsia="en-GB"/>
        </w:rPr>
        <w:t xml:space="preserve">: </w:t>
      </w:r>
      <w:proofErr w:type="spellStart"/>
      <w:r w:rsidR="00C94D0F" w:rsidRPr="00C94D0F">
        <w:rPr>
          <w:color w:val="BCBEC4"/>
          <w:lang w:val="en-GB" w:eastAsia="en-GB"/>
        </w:rPr>
        <w:t>element.</w:t>
      </w:r>
      <w:r w:rsidR="00C94D0F" w:rsidRPr="00C94D0F">
        <w:rPr>
          <w:color w:val="C77DBB"/>
          <w:lang w:val="en-GB" w:eastAsia="en-GB"/>
        </w:rPr>
        <w:t>idShort</w:t>
      </w:r>
      <w:r w:rsidR="00C94D0F" w:rsidRPr="00C94D0F">
        <w:rPr>
          <w:color w:val="BCBEC4"/>
          <w:lang w:val="en-GB" w:eastAsia="en-GB"/>
        </w:rPr>
        <w:t>,</w:t>
      </w:r>
    </w:p>
    <w:p w:rsidR="00C94D0F" w:rsidRPr="00C94D0F" w:rsidRDefault="00C94D0F" w:rsidP="00C94D0F">
      <w:pPr>
        <w:pStyle w:val="HTMLVorformatiert"/>
        <w:shd w:val="clear" w:color="auto" w:fill="1E1F22"/>
        <w:rPr>
          <w:color w:val="BCBEC4"/>
          <w:lang w:val="en-GB" w:eastAsia="en-GB"/>
        </w:rPr>
      </w:pPr>
      <w:proofErr w:type="spellEnd"/>
      <w:r>
        <w:rPr>
          <w:color w:val="BCBEC4"/>
          <w:lang w:val="en-GB" w:eastAsia="en-GB"/>
        </w:rPr>
        <w:t xml:space="preserve">    </w:t>
      </w:r>
      <w:proofErr w:type="gramStart"/>
      <w:r w:rsidRPr="00C94D0F">
        <w:rPr>
          <w:color w:val="C77DBB"/>
          <w:lang w:val="en-GB" w:eastAsia="en-GB"/>
        </w:rPr>
        <w:t>id</w:t>
      </w:r>
      <w:proofErr w:type="gramEnd"/>
      <w:r w:rsidRPr="00C94D0F">
        <w:rPr>
          <w:color w:val="BCBEC4"/>
          <w:lang w:val="en-GB" w:eastAsia="en-GB"/>
        </w:rPr>
        <w:t xml:space="preserve">: </w:t>
      </w:r>
      <w:r w:rsidRPr="00C94D0F">
        <w:rPr>
          <w:color w:val="A9B7C6"/>
          <w:lang w:val="en-GB" w:eastAsia="en-GB"/>
        </w:rPr>
        <w:t>id</w:t>
      </w:r>
      <w:r w:rsidRPr="00C94D0F">
        <w:rPr>
          <w:color w:val="BCBEC4"/>
          <w:lang w:val="en-GB" w:eastAsia="en-GB"/>
        </w:rPr>
        <w:t>,</w:t>
      </w:r>
      <w:r w:rsidRPr="00C94D0F">
        <w:rPr>
          <w:color w:val="BCBEC4"/>
          <w:lang w:val="en-GB" w:eastAsia="en-GB"/>
        </w:rPr>
        <w:br/>
      </w:r>
      <w:r>
        <w:rPr>
          <w:color w:val="C77DBB"/>
          <w:lang w:val="en-GB" w:eastAsia="en-GB"/>
        </w:rPr>
        <w:t xml:space="preserve">    </w:t>
      </w:r>
      <w:proofErr w:type="spellStart"/>
      <w:r w:rsidRPr="00C94D0F">
        <w:rPr>
          <w:color w:val="C77DBB"/>
          <w:lang w:val="en-GB" w:eastAsia="en-GB"/>
        </w:rPr>
        <w:t>globalAssetId</w:t>
      </w:r>
      <w:proofErr w:type="spellEnd"/>
      <w:r w:rsidRPr="00C94D0F">
        <w:rPr>
          <w:color w:val="BCBEC4"/>
          <w:lang w:val="en-GB" w:eastAsia="en-GB"/>
        </w:rPr>
        <w:t xml:space="preserve">: </w:t>
      </w:r>
      <w:proofErr w:type="spellStart"/>
      <w:r w:rsidRPr="00C94D0F">
        <w:rPr>
          <w:color w:val="BCBEC4"/>
          <w:lang w:val="en-GB" w:eastAsia="en-GB"/>
        </w:rPr>
        <w:t>element.assetInformation.</w:t>
      </w:r>
      <w:r w:rsidRPr="00C94D0F">
        <w:rPr>
          <w:color w:val="C77DBB"/>
          <w:lang w:val="en-GB" w:eastAsia="en-GB"/>
        </w:rPr>
        <w:t>globalAssetId</w:t>
      </w:r>
      <w:proofErr w:type="spellEnd"/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8A5693" w:rsidRPr="00C94D0F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React component for the assets takes the returned JSON and fills </w:t>
      </w:r>
      <w:r w:rsidR="0069270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it with the information.</w:t>
      </w:r>
      <w:r w:rsidR="00C94D0F" w:rsidRPr="00C94D0F">
        <w:rPr>
          <w:lang w:val="en-GB"/>
        </w:rPr>
        <w:br/>
      </w:r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 xml:space="preserve">The selection of attributes was based on how specific or general this information appeared. </w:t>
      </w:r>
      <w:proofErr w:type="spellStart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>Submodels</w:t>
      </w:r>
      <w:proofErr w:type="spellEnd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 xml:space="preserve"> or </w:t>
      </w:r>
      <w:proofErr w:type="spellStart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>idEncoded</w:t>
      </w:r>
      <w:proofErr w:type="spellEnd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 xml:space="preserve"> seemed very specific, whereas id and </w:t>
      </w:r>
      <w:proofErr w:type="spellStart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>globalAssetId</w:t>
      </w:r>
      <w:proofErr w:type="spellEnd"/>
      <w:r w:rsidR="00C94D0F" w:rsidRPr="00C94D0F">
        <w:rPr>
          <w:rFonts w:ascii="Segoe UI" w:hAnsi="Segoe UI" w:cs="Segoe UI"/>
          <w:color w:val="0D0D0D"/>
          <w:sz w:val="22"/>
          <w:shd w:val="clear" w:color="auto" w:fill="FFFFFF"/>
          <w:lang w:val="en-GB"/>
        </w:rPr>
        <w:t xml:space="preserve"> seemed like general information that belongs in the user mode.</w:t>
      </w:r>
    </w:p>
    <w:p w:rsidR="008A5693" w:rsidRPr="00965729" w:rsidRDefault="008A5693" w:rsidP="008A5693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9" w:name="_Toc134696494"/>
      <w:r w:rsidRPr="00965729">
        <w:rPr>
          <w:rFonts w:ascii="Segoe UI" w:hAnsi="Segoe UI" w:cs="Segoe UI"/>
          <w:color w:val="auto"/>
          <w:lang w:val="en-GB"/>
        </w:rPr>
        <w:t>7 Module Tests</w:t>
      </w:r>
      <w:bookmarkEnd w:id="9"/>
    </w:p>
    <w:p w:rsidR="00A30B54" w:rsidRDefault="00A30B54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A30B54">
        <w:rPr>
          <w:rFonts w:ascii="Segoe UI" w:eastAsia="Times New Roman" w:hAnsi="Segoe UI" w:cs="Segoe UI"/>
          <w:lang w:val="en-US" w:eastAsia="de-DE"/>
        </w:rPr>
        <w:t xml:space="preserve">The testing of this module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carried out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through usability tests. The user mode is set to default, so the output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checked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by clicking on the asset buttons. The expected outcome is less detailed information in the asset body.</w:t>
      </w:r>
    </w:p>
    <w:p w:rsidR="00A30B54" w:rsidRDefault="00A30B54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A30B54">
        <w:rPr>
          <w:rFonts w:ascii="Segoe UI" w:eastAsia="Times New Roman" w:hAnsi="Segoe UI" w:cs="Segoe UI"/>
          <w:lang w:val="en-US" w:eastAsia="de-DE"/>
        </w:rPr>
        <w:t xml:space="preserve">The toggle button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tested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by verifying whether a module change occurs after toggling. The expected outcome is that upon pressing the asset button again, detailed output with </w:t>
      </w:r>
      <w:proofErr w:type="spellStart"/>
      <w:r w:rsidRPr="00A30B54">
        <w:rPr>
          <w:rFonts w:ascii="Segoe UI" w:eastAsia="Times New Roman" w:hAnsi="Segoe UI" w:cs="Segoe UI"/>
          <w:lang w:val="en-US" w:eastAsia="de-DE"/>
        </w:rPr>
        <w:t>submodels</w:t>
      </w:r>
      <w:proofErr w:type="spellEnd"/>
      <w:r w:rsidRPr="00A30B54">
        <w:rPr>
          <w:rFonts w:ascii="Segoe UI" w:eastAsia="Times New Roman" w:hAnsi="Segoe UI" w:cs="Segoe UI"/>
          <w:lang w:val="en-US" w:eastAsia="de-DE"/>
        </w:rPr>
        <w:t xml:space="preserve"> and other information appears.</w:t>
      </w:r>
    </w:p>
    <w:p w:rsidR="00C81952" w:rsidRDefault="00C81952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C81952">
        <w:rPr>
          <w:rFonts w:ascii="Segoe UI" w:eastAsia="Times New Roman" w:hAnsi="Segoe UI" w:cs="Segoe UI"/>
          <w:lang w:val="en-US" w:eastAsia="de-DE"/>
        </w:rPr>
        <w:t>The expected outcome upon clicking again is a return to the default mode and the corresponding output.</w:t>
      </w:r>
    </w:p>
    <w:p w:rsidR="00C81952" w:rsidRPr="00A30B54" w:rsidRDefault="00C81952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A30B54" w:rsidRDefault="008A5693" w:rsidP="008A5693">
      <w:pPr>
        <w:rPr>
          <w:rFonts w:ascii="Segoe UI" w:hAnsi="Segoe UI" w:cs="Segoe UI"/>
          <w:lang w:val="en-GB"/>
        </w:rPr>
      </w:pPr>
    </w:p>
    <w:p w:rsidR="009B2932" w:rsidRPr="00A30B54" w:rsidRDefault="009B2932">
      <w:pPr>
        <w:rPr>
          <w:lang w:val="en-GB"/>
        </w:rPr>
      </w:pPr>
    </w:p>
    <w:sectPr w:rsidR="009B2932" w:rsidRPr="00A30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93"/>
    <w:rsid w:val="0022269D"/>
    <w:rsid w:val="00231C3B"/>
    <w:rsid w:val="0069270E"/>
    <w:rsid w:val="0075481D"/>
    <w:rsid w:val="007D5F2F"/>
    <w:rsid w:val="008679C7"/>
    <w:rsid w:val="008A5693"/>
    <w:rsid w:val="009B2932"/>
    <w:rsid w:val="00A30B54"/>
    <w:rsid w:val="00A31766"/>
    <w:rsid w:val="00B14AC1"/>
    <w:rsid w:val="00C1084A"/>
    <w:rsid w:val="00C71546"/>
    <w:rsid w:val="00C81952"/>
    <w:rsid w:val="00C9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CD80"/>
  <w15:chartTrackingRefBased/>
  <w15:docId w15:val="{4F23F4B3-CB10-4A21-83BB-673258D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6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A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A5693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569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8A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A569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A56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5693"/>
    <w:pPr>
      <w:spacing w:after="0"/>
      <w:ind w:left="44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sanchora\Downloads\TINF21C_MOD01_Team_1_1v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Sancho Pernas, Rafael</cp:lastModifiedBy>
  <cp:revision>11</cp:revision>
  <dcterms:created xsi:type="dcterms:W3CDTF">2024-05-06T19:18:00Z</dcterms:created>
  <dcterms:modified xsi:type="dcterms:W3CDTF">2024-05-27T10:43:00Z</dcterms:modified>
</cp:coreProperties>
</file>