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C00000"/>
          <w:sz w:val="20"/>
          <w:szCs w:val="20"/>
        </w:rPr>
        <w:t xml:space="preserve">EMBARGOED UNTIL 09:00 CEST, 29 SEPTEMBER 2026</w:t>
      </w:r>
    </w:p>
    <w:p>
      <w:pPr>
        <w:spacing w:after="120"/>
      </w:pPr>
      <w:r>
        <w:rPr>
          <w:b/>
          <w:bCs/>
          <w:color w:val="386AFF"/>
          <w:sz w:val="18"/>
          <w:szCs w:val="18"/>
        </w:rPr>
        <w:t xml:space="preserve">THE ROAD TO THE AGENTIC FINANCE ERA</w:t>
      </w:r>
    </w:p>
    <w:p>
      <w:pPr>
        <w:spacing w:after="200"/>
      </w:pPr>
      <w:r>
        <w:rPr>
          <w:b/>
          <w:bCs/>
          <w:sz w:val="34"/>
          <w:szCs w:val="34"/>
        </w:rPr>
        <w:t xml:space="preserve">AMINA Bank, Solana, Cardano, TensorX and APEX:E3 set out what it takes to let AI agents run institutional money</w:t>
      </w:r>
    </w:p>
    <w:p>
      <w:pPr>
        <w:spacing w:after="280"/>
      </w:pPr>
      <w:r>
        <w:rPr>
          <w:b/>
          <w:bCs/>
          <w:sz w:val="24"/>
          <w:szCs w:val="24"/>
        </w:rPr>
        <w:t xml:space="preserve">Machines already settled 176 million payments between themselves in a year. A Swiss bank, two blockchain foundations and two AI companies publish the Agentic Finance Report today at CV Summit in Zurich, mapping the road for institutional capital managed by AI agents.</w:t>
      </w:r>
    </w:p>
    <w:p>
      <w:pPr>
        <w:spacing w:after="180"/>
      </w:pPr>
      <w:r>
        <w:rPr>
          <w:b/>
          <w:bCs/>
        </w:rPr>
        <w:t xml:space="preserve">ZURICH, 29 September 2026. </w:t>
      </w:r>
      <w:r>
        <w:t xml:space="preserve">Software has started to pay software. In the twelve months to April 2026, agents settled roughly 176 million transactions on public blockchains, most worth between one and ten cents. The value is trivial. The count is not, and it marks the start of an era in which capital is managed continuously by software that decides and acts inside mandates written by people, on rails that settle in seconds.</w:t>
      </w:r>
    </w:p>
    <w:p>
      <w:pPr>
        <w:spacing w:after="180"/>
      </w:pPr>
      <w:r>
        <w:t xml:space="preserve">The </w:t>
      </w:r>
      <w:r>
        <w:rPr>
          <w:i/>
          <w:iCs/>
        </w:rPr>
        <w:t xml:space="preserve">Agentic Finance Report</w:t>
      </w:r>
      <w:r>
        <w:t xml:space="preserve">, published today at CV Summit in Zurich, is the first time the institutions building that infrastructure have set out the conditions together. </w:t>
      </w:r>
      <w:r>
        <w:rPr>
          <w:b/>
          <w:bCs/>
        </w:rPr>
        <w:t xml:space="preserve">Five organisations co-authored it</w:t>
      </w:r>
      <w:r>
        <w:t xml:space="preserve">, a line-up that spans regulated banking, public blockchains and AI:</w:t>
      </w:r>
    </w:p>
    <w:p>
      <w:pPr>
        <w:pStyle w:val="ListParagraph"/>
        <w:numPr>
          <w:ilvl w:val="0"/>
          <w:numId w:val="1"/>
        </w:numPr>
        <w:spacing w:after="120"/>
      </w:pPr>
      <w:r>
        <w:rPr>
          <w:b w:val="AMINA Bank"/>
          <w:bCs w:val="AMINA Bank"/>
        </w:rPr>
        <w:t xml:space="preserve">AMINA Bank</w:t>
      </w:r>
      <w:r>
        <w:t xml:space="preserve">, the FINMA-regulated Swiss bank for digital assets, on custody, fiat rails and the balance sheet behind settled tokens.</w:t>
      </w:r>
    </w:p>
    <w:p>
      <w:pPr>
        <w:pStyle w:val="ListParagraph"/>
        <w:numPr>
          <w:ilvl w:val="0"/>
          <w:numId w:val="1"/>
        </w:numPr>
        <w:spacing w:after="120"/>
      </w:pPr>
      <w:r>
        <w:rPr>
          <w:b w:val="Solana Foundation"/>
          <w:bCs w:val="Solana Foundation"/>
        </w:rPr>
        <w:t xml:space="preserve">Solana Foundation</w:t>
      </w:r>
      <w:r>
        <w:t xml:space="preserve"> on settlement inside the decision cycle, sub-cent fees, and x402, the standard that lets software pay software.</w:t>
      </w:r>
    </w:p>
    <w:p>
      <w:pPr>
        <w:pStyle w:val="ListParagraph"/>
        <w:numPr>
          <w:ilvl w:val="0"/>
          <w:numId w:val="1"/>
        </w:numPr>
        <w:spacing w:after="120"/>
      </w:pPr>
      <w:r>
        <w:rPr>
          <w:b w:val="TensorX"/>
          <w:bCs w:val="TensorX"/>
        </w:rPr>
        <w:t xml:space="preserve">TensorX</w:t>
      </w:r>
      <w:r>
        <w:t xml:space="preserve"> on sovereign AI: why an institution has to own the inference its agents reason on, inside its own jurisdiction.</w:t>
      </w:r>
    </w:p>
    <w:p>
      <w:pPr>
        <w:pStyle w:val="ListParagraph"/>
        <w:numPr>
          <w:ilvl w:val="0"/>
          <w:numId w:val="1"/>
        </w:numPr>
        <w:spacing w:after="120"/>
      </w:pPr>
      <w:r>
        <w:rPr>
          <w:b w:val="APEX:E3"/>
          <w:bCs w:val="APEX:E3"/>
        </w:rPr>
        <w:t xml:space="preserve">APEX:E3</w:t>
      </w:r>
      <w:r>
        <w:t xml:space="preserve"> on orchestration: turning many narrow agents into one decision a committee can take apart.</w:t>
      </w:r>
    </w:p>
    <w:p>
      <w:pPr>
        <w:pStyle w:val="ListParagraph"/>
        <w:numPr>
          <w:ilvl w:val="0"/>
          <w:numId w:val="1"/>
        </w:numPr>
        <w:spacing w:after="120"/>
      </w:pPr>
      <w:r>
        <w:rPr>
          <w:b w:val="Cardano Foundation"/>
          <w:bCs w:val="Cardano Foundation"/>
        </w:rPr>
        <w:t xml:space="preserve">Cardano Foundation</w:t>
      </w:r>
      <w:r>
        <w:t xml:space="preserve"> on verifiable identity: the vLEI, which proves which legal entity an agent acts for, and under whose authority.</w:t>
      </w:r>
    </w:p>
    <w:p>
      <w:pPr>
        <w:spacing w:after="200"/>
      </w:pPr>
      <w:r>
        <w:t xml:space="preserve">Their shared conclusion is blunt. Once software can decide and act, accountability cannot rest on review after the fact. It has to hold before the agent moves: a mandate that says what it may do, an identity that says whom it acts for, and rails it cannot step outside.</w:t>
      </w:r>
    </w:p>
    <w:p>
      <w:pPr>
        <w:pBdr>
          <w:left w:val="single" w:color="386AFF" w:sz="12" w:space="12"/>
        </w:pBdr>
        <w:spacing w:after="80" w:before="160"/>
        <w:ind w:left="567"/>
      </w:pPr>
      <w:r>
        <w:rPr>
          <w:i/>
          <w:iCs/>
          <w:sz w:val="24"/>
          <w:szCs w:val="24"/>
        </w:rPr>
        <w:t xml:space="preserve">‘The firms getting the most out of AI are the ones who worked out what they could safely let it do, and then let it.’</w:t>
      </w:r>
    </w:p>
    <w:p>
      <w:pPr>
        <w:spacing w:after="220"/>
        <w:ind w:left="567"/>
      </w:pPr>
      <w:r>
        <w:rPr>
          <w:color w:val="444444"/>
          <w:sz w:val="20"/>
          <w:szCs w:val="20"/>
        </w:rPr>
        <w:t xml:space="preserve">Tim Grant, Executive Chairman, TensorX, from his foreword to the report</w:t>
      </w:r>
    </w:p>
    <w:p>
      <w:pPr>
        <w:spacing w:after="180"/>
      </w:pPr>
      <w:r>
        <w:t xml:space="preserve">The report is candid about what is missing. Four layers of the stack run in production with clients today. Verifiable agent identity, the part that proves whom an agent acts for, is further along in standards than in deployment, and the report says so rather than describing a finished system. What is at stake is large: on APEX:E3’s own model, more than $4.8 trillion of capital could be managed this way within five years.</w:t>
      </w:r>
    </w:p>
    <w:p>
      <w:pPr>
        <w:pBdr>
          <w:left w:val="single" w:color="386AFF" w:sz="12" w:space="12"/>
        </w:pBdr>
        <w:spacing w:after="80" w:before="160"/>
        <w:ind w:left="567"/>
      </w:pPr>
      <w:r>
        <w:rPr>
          <w:i/>
          <w:iCs/>
          <w:sz w:val="24"/>
          <w:szCs w:val="24"/>
        </w:rPr>
        <w:t xml:space="preserve">‘The technology exists, and most of it is already in production. What an institution has to write for itself is the mandate: what the agent may do, who it acts for, and the line it cannot cross. That is the part that decides who moves first.’</w:t>
      </w:r>
    </w:p>
    <w:p>
      <w:pPr>
        <w:spacing w:after="220"/>
        <w:ind w:left="567"/>
      </w:pPr>
      <w:r>
        <w:rPr>
          <w:color w:val="444444"/>
          <w:sz w:val="20"/>
          <w:szCs w:val="20"/>
        </w:rPr>
        <w:t xml:space="preserve">Marcus Maute, lead author, TensorX Swiss Representative</w:t>
      </w:r>
    </w:p>
    <w:p>
      <w:pPr>
        <w:spacing w:after="180"/>
      </w:pPr>
      <w:r>
        <w:t xml:space="preserve">The </w:t>
      </w:r>
      <w:r>
        <w:rPr>
          <w:i/>
          <w:iCs/>
        </w:rPr>
        <w:t xml:space="preserve">Agentic Finance Report</w:t>
      </w:r>
      <w:r>
        <w:t xml:space="preserve"> (edition 1.0, 59 pages) is available from www.agenticfinancereport.com, with a machine-readable edition alongside the PDF. It carries a foreword by Tim Grant and guest contributions from Blindsight on securing agents at runtime and from CV VC, the report’s co-publishing partner, on early-stage investing in the AI-native transition.</w:t>
      </w:r>
    </w:p>
    <w:p>
      <w:pPr>
        <w:spacing w:after="200" w:before="200"/>
        <w:jc w:val="center"/>
      </w:pPr>
      <w:r>
        <w:rPr>
          <w:b/>
          <w:bCs/>
        </w:rPr>
        <w:t xml:space="preserve">Ends</w:t>
      </w:r>
    </w:p>
    <w:p>
      <w:pPr>
        <w:spacing w:after="180"/>
      </w:pPr>
      <w:r>
        <w:rPr>
          <w:b/>
          <w:bCs/>
        </w:rPr>
        <w:t xml:space="preserve">Media contact: </w:t>
      </w:r>
      <w:r>
        <w:t xml:space="preserve">Marcus Maute, lead author · research@agenticfinancereport.com · marcusmaute.com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Finance Report — press release</dc:title>
  <dc:creator>Marcus Maute</dc:creator>
  <dc:description>Press release, embargoed until 29 September 2026</dc:description>
  <cp:lastModifiedBy>Un-named</cp:lastModifiedBy>
  <cp:revision>1</cp:revision>
  <dcterms:created xsi:type="dcterms:W3CDTF">2026-09-25T14:25:11.306Z</dcterms:created>
  <dcterms:modified xsi:type="dcterms:W3CDTF">2026-09-25T14:25:11.308Z</dcterms:modified>
</cp:coreProperties>
</file>

<file path=docProps/custom.xml><?xml version="1.0" encoding="utf-8"?>
<Properties xmlns="http://schemas.openxmlformats.org/officeDocument/2006/custom-properties" xmlns:vt="http://schemas.openxmlformats.org/officeDocument/2006/docPropsVTypes"/>
</file>