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5174" w:tblpY="-10"/>
        <w:tblW w:w="6091" w:type="dxa"/>
        <w:tblLayout w:type="fixed"/>
        <w:tblLook w:val="0000" w:firstRow="0" w:lastRow="0" w:firstColumn="0" w:lastColumn="0" w:noHBand="0" w:noVBand="0"/>
      </w:tblPr>
      <w:tblGrid>
        <w:gridCol w:w="2122"/>
        <w:gridCol w:w="3969"/>
      </w:tblGrid>
      <w:tr w:rsidR="00E215A4" w:rsidRPr="00E215A4" w14:paraId="46D7DA59" w14:textId="77777777" w:rsidTr="006F3439">
        <w:trPr>
          <w:trHeight w:val="81"/>
        </w:trPr>
        <w:tc>
          <w:tcPr>
            <w:tcW w:w="2122" w:type="dxa"/>
            <w:tcBorders>
              <w:top w:val="single" w:sz="4" w:space="0" w:color="000000"/>
              <w:left w:val="single" w:sz="4" w:space="0" w:color="000000"/>
              <w:bottom w:val="single" w:sz="4" w:space="0" w:color="000000"/>
            </w:tcBorders>
            <w:vAlign w:val="center"/>
          </w:tcPr>
          <w:p w14:paraId="5FE098AF" w14:textId="77777777" w:rsidR="00E215A4" w:rsidRPr="00E215A4" w:rsidRDefault="00E215A4" w:rsidP="006F3439">
            <w:pPr>
              <w:spacing w:after="0" w:line="240" w:lineRule="auto"/>
              <w:rPr>
                <w:rFonts w:ascii="Tahoma" w:eastAsia="Arial Narrow" w:hAnsi="Tahoma" w:cs="Tahoma"/>
                <w:b/>
                <w:bCs/>
                <w:sz w:val="20"/>
                <w:szCs w:val="20"/>
              </w:rPr>
            </w:pPr>
            <w:bookmarkStart w:id="0" w:name="_Hlk141857321"/>
            <w:r w:rsidRPr="00E215A4">
              <w:rPr>
                <w:rFonts w:ascii="Tahoma" w:eastAsia="Arial Narrow" w:hAnsi="Tahoma" w:cs="Tahoma"/>
                <w:b/>
                <w:bCs/>
                <w:sz w:val="20"/>
                <w:szCs w:val="20"/>
              </w:rPr>
              <w:t>Carpeta Fiscal</w:t>
            </w:r>
          </w:p>
        </w:tc>
        <w:tc>
          <w:tcPr>
            <w:tcW w:w="3969" w:type="dxa"/>
            <w:tcBorders>
              <w:top w:val="single" w:sz="4" w:space="0" w:color="000000"/>
              <w:left w:val="single" w:sz="4" w:space="0" w:color="000000"/>
              <w:bottom w:val="single" w:sz="4" w:space="0" w:color="000000"/>
              <w:right w:val="single" w:sz="4" w:space="0" w:color="000000"/>
            </w:tcBorders>
            <w:vAlign w:val="center"/>
          </w:tcPr>
          <w:p w14:paraId="464E59CD" w14:textId="3C9312D0" w:rsidR="00E215A4" w:rsidRPr="00E215A4" w:rsidRDefault="004C23A4" w:rsidP="006F3439">
            <w:pPr>
              <w:spacing w:after="0" w:line="240" w:lineRule="auto"/>
              <w:ind w:right="1183"/>
              <w:rPr>
                <w:rFonts w:ascii="Tahoma" w:eastAsia="Arial Narrow" w:hAnsi="Tahoma" w:cs="Tahoma"/>
                <w:bCs/>
                <w:sz w:val="20"/>
                <w:szCs w:val="20"/>
              </w:rPr>
            </w:pPr>
            <w:r w:rsidRPr="004C23A4">
              <w:rPr>
                <w:rFonts w:ascii="Tahoma" w:eastAsia="Arial Narrow" w:hAnsi="Tahoma" w:cs="Tahoma"/>
                <w:bCs/>
                <w:sz w:val="20"/>
                <w:szCs w:val="20"/>
              </w:rPr>
              <w:t>&lt;&lt;caso&gt;&gt;</w:t>
            </w:r>
          </w:p>
        </w:tc>
      </w:tr>
      <w:tr w:rsidR="00E215A4" w:rsidRPr="00E215A4" w14:paraId="11790D16" w14:textId="77777777" w:rsidTr="006F3439">
        <w:trPr>
          <w:trHeight w:val="58"/>
        </w:trPr>
        <w:tc>
          <w:tcPr>
            <w:tcW w:w="2122" w:type="dxa"/>
            <w:tcBorders>
              <w:left w:val="single" w:sz="4" w:space="0" w:color="000000"/>
              <w:bottom w:val="single" w:sz="4" w:space="0" w:color="000000"/>
            </w:tcBorders>
            <w:vAlign w:val="center"/>
          </w:tcPr>
          <w:p w14:paraId="61E0701B"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bookmarkStart w:id="1" w:name="_30j0zll" w:colFirst="0" w:colLast="0"/>
            <w:bookmarkEnd w:id="1"/>
            <w:r w:rsidRPr="00E215A4">
              <w:rPr>
                <w:rFonts w:ascii="Tahoma" w:eastAsia="Arial Narrow" w:hAnsi="Tahoma" w:cs="Tahoma"/>
                <w:b/>
                <w:bCs/>
                <w:color w:val="000000"/>
                <w:sz w:val="20"/>
                <w:szCs w:val="20"/>
              </w:rPr>
              <w:t>Investigados</w:t>
            </w:r>
          </w:p>
        </w:tc>
        <w:tc>
          <w:tcPr>
            <w:tcW w:w="3969" w:type="dxa"/>
            <w:tcBorders>
              <w:left w:val="single" w:sz="4" w:space="0" w:color="000000"/>
              <w:bottom w:val="single" w:sz="4" w:space="0" w:color="000000"/>
              <w:right w:val="single" w:sz="4" w:space="0" w:color="000000"/>
            </w:tcBorders>
            <w:vAlign w:val="center"/>
          </w:tcPr>
          <w:p w14:paraId="7A39AB99"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sidRPr="00E215A4">
              <w:rPr>
                <w:rFonts w:ascii="Tahoma" w:hAnsi="Tahoma" w:cs="Tahoma"/>
                <w:sz w:val="20"/>
                <w:szCs w:val="20"/>
              </w:rPr>
              <w:t>L</w:t>
            </w:r>
            <w:r w:rsidRPr="00E215A4">
              <w:rPr>
                <w:rFonts w:ascii="Tahoma" w:eastAsia="Arial Narrow" w:hAnsi="Tahoma" w:cs="Tahoma"/>
                <w:bCs/>
                <w:color w:val="000000"/>
                <w:sz w:val="20"/>
                <w:szCs w:val="20"/>
              </w:rPr>
              <w:t>os que resulten responsables</w:t>
            </w:r>
          </w:p>
        </w:tc>
      </w:tr>
      <w:tr w:rsidR="00E215A4" w:rsidRPr="00E215A4" w14:paraId="30AA2E61" w14:textId="77777777" w:rsidTr="006F3439">
        <w:trPr>
          <w:trHeight w:val="159"/>
        </w:trPr>
        <w:tc>
          <w:tcPr>
            <w:tcW w:w="2122" w:type="dxa"/>
            <w:tcBorders>
              <w:top w:val="single" w:sz="4" w:space="0" w:color="000000"/>
              <w:left w:val="single" w:sz="4" w:space="0" w:color="000000"/>
              <w:bottom w:val="single" w:sz="4" w:space="0" w:color="000000"/>
            </w:tcBorders>
            <w:vAlign w:val="center"/>
          </w:tcPr>
          <w:p w14:paraId="6BF7CC3F"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Arial Narrow" w:hAnsi="Tahoma" w:cs="Tahoma"/>
                <w:b/>
                <w:bCs/>
                <w:color w:val="000000"/>
                <w:sz w:val="20"/>
                <w:szCs w:val="20"/>
              </w:rPr>
              <w:t>Agraviado</w:t>
            </w:r>
          </w:p>
        </w:tc>
        <w:tc>
          <w:tcPr>
            <w:tcW w:w="3969" w:type="dxa"/>
            <w:tcBorders>
              <w:left w:val="single" w:sz="4" w:space="0" w:color="000000"/>
              <w:bottom w:val="single" w:sz="4" w:space="0" w:color="auto"/>
              <w:right w:val="single" w:sz="4" w:space="0" w:color="000000"/>
            </w:tcBorders>
            <w:vAlign w:val="center"/>
          </w:tcPr>
          <w:p w14:paraId="1C638320" w14:textId="3AE1DD43" w:rsidR="00E215A4" w:rsidRPr="00E215A4" w:rsidRDefault="004C23A4" w:rsidP="006F3439">
            <w:pPr>
              <w:widowControl w:val="0"/>
              <w:pBdr>
                <w:top w:val="nil"/>
                <w:left w:val="nil"/>
                <w:bottom w:val="nil"/>
                <w:right w:val="nil"/>
                <w:between w:val="nil"/>
              </w:pBdr>
              <w:spacing w:after="0" w:line="240" w:lineRule="auto"/>
              <w:ind w:left="33" w:hanging="33"/>
              <w:jc w:val="both"/>
              <w:rPr>
                <w:rFonts w:ascii="Tahoma" w:eastAsia="Arial Narrow" w:hAnsi="Tahoma" w:cs="Tahoma"/>
                <w:bCs/>
                <w:color w:val="000000"/>
                <w:sz w:val="20"/>
                <w:szCs w:val="20"/>
              </w:rPr>
            </w:pPr>
            <w:r w:rsidRPr="004C23A4">
              <w:rPr>
                <w:rFonts w:ascii="Tahoma" w:eastAsia="Arial Narrow" w:hAnsi="Tahoma" w:cs="Tahoma"/>
                <w:bCs/>
                <w:color w:val="000000"/>
                <w:sz w:val="20"/>
                <w:szCs w:val="20"/>
              </w:rPr>
              <w:t>&lt;&lt;agraviado&gt;&gt;</w:t>
            </w:r>
          </w:p>
        </w:tc>
      </w:tr>
      <w:tr w:rsidR="00E215A4" w:rsidRPr="00E215A4" w14:paraId="46C77BCE" w14:textId="77777777" w:rsidTr="006F3439">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0BC20B38"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Arial Narrow" w:hAnsi="Tahoma" w:cs="Tahoma"/>
                <w:b/>
                <w:bCs/>
                <w:color w:val="000000"/>
                <w:sz w:val="20"/>
                <w:szCs w:val="20"/>
              </w:rPr>
              <w:t>Delito</w:t>
            </w:r>
          </w:p>
        </w:tc>
        <w:tc>
          <w:tcPr>
            <w:tcW w:w="3969" w:type="dxa"/>
            <w:tcBorders>
              <w:top w:val="single" w:sz="4" w:space="0" w:color="auto"/>
              <w:left w:val="single" w:sz="4" w:space="0" w:color="auto"/>
              <w:bottom w:val="single" w:sz="4" w:space="0" w:color="auto"/>
              <w:right w:val="single" w:sz="4" w:space="0" w:color="auto"/>
            </w:tcBorders>
            <w:vAlign w:val="center"/>
          </w:tcPr>
          <w:p w14:paraId="2E351DDD"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sidRPr="00E215A4">
              <w:rPr>
                <w:rFonts w:ascii="Tahoma" w:eastAsia="Arial Narrow" w:hAnsi="Tahoma" w:cs="Tahoma"/>
                <w:bCs/>
                <w:color w:val="000000"/>
                <w:sz w:val="20"/>
                <w:szCs w:val="20"/>
              </w:rPr>
              <w:t>Fraude Informático</w:t>
            </w:r>
          </w:p>
        </w:tc>
      </w:tr>
      <w:tr w:rsidR="00E215A4" w:rsidRPr="00E215A4" w14:paraId="182982FB" w14:textId="77777777" w:rsidTr="006F3439">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6DE5637A"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Palatino Linotype" w:hAnsi="Tahoma" w:cs="Tahoma"/>
                <w:b/>
                <w:kern w:val="1"/>
                <w:sz w:val="20"/>
                <w:szCs w:val="20"/>
                <w:lang w:eastAsia="hi-IN" w:bidi="hi-IN"/>
                <w14:ligatures w14:val="none"/>
              </w:rPr>
              <w:t>Fiscal Responsable</w:t>
            </w:r>
          </w:p>
        </w:tc>
        <w:tc>
          <w:tcPr>
            <w:tcW w:w="3969" w:type="dxa"/>
            <w:tcBorders>
              <w:top w:val="single" w:sz="4" w:space="0" w:color="auto"/>
              <w:left w:val="single" w:sz="4" w:space="0" w:color="auto"/>
              <w:bottom w:val="single" w:sz="4" w:space="0" w:color="auto"/>
              <w:right w:val="single" w:sz="4" w:space="0" w:color="auto"/>
            </w:tcBorders>
            <w:vAlign w:val="center"/>
          </w:tcPr>
          <w:p w14:paraId="142630C4" w14:textId="23D65A75" w:rsidR="00E215A4" w:rsidRPr="00E215A4" w:rsidRDefault="001A13E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Pr>
                <w:rFonts w:ascii="Tahoma" w:eastAsia="Arial Narrow" w:hAnsi="Tahoma" w:cs="Tahoma"/>
                <w:bCs/>
                <w:color w:val="000000"/>
                <w:sz w:val="20"/>
                <w:szCs w:val="20"/>
              </w:rPr>
              <w:t>&lt;&lt;fiscal_responsable&gt;&gt;</w:t>
            </w:r>
          </w:p>
        </w:tc>
      </w:tr>
    </w:tbl>
    <w:p w14:paraId="0B929E5E"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12D2450F"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7AFF9D0"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50F5E3B"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599EC3B7"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3AC72BDB" w14:textId="77777777" w:rsidR="00E215A4" w:rsidRPr="00E215A4" w:rsidRDefault="00E215A4" w:rsidP="00E215A4">
      <w:pPr>
        <w:spacing w:line="240" w:lineRule="auto"/>
        <w:jc w:val="center"/>
        <w:rPr>
          <w:rFonts w:ascii="Tahoma" w:eastAsia="Arial Narrow" w:hAnsi="Tahoma" w:cs="Tahoma"/>
          <w:b/>
          <w:sz w:val="20"/>
          <w:szCs w:val="20"/>
        </w:rPr>
      </w:pPr>
    </w:p>
    <w:p w14:paraId="05EA4B60" w14:textId="77777777" w:rsidR="00E215A4" w:rsidRPr="00E215A4" w:rsidRDefault="00E215A4" w:rsidP="00E215A4">
      <w:pPr>
        <w:spacing w:line="240" w:lineRule="auto"/>
        <w:jc w:val="center"/>
        <w:rPr>
          <w:rFonts w:ascii="Tahoma" w:hAnsi="Tahoma" w:cs="Tahoma"/>
          <w:sz w:val="20"/>
          <w:szCs w:val="20"/>
        </w:rPr>
      </w:pPr>
      <w:r w:rsidRPr="00E215A4">
        <w:rPr>
          <w:rFonts w:ascii="Tahoma" w:eastAsia="Arial Narrow" w:hAnsi="Tahoma" w:cs="Tahoma"/>
          <w:b/>
          <w:sz w:val="20"/>
          <w:szCs w:val="20"/>
        </w:rPr>
        <w:t>DISPOSICIÓN DE INICIO DE DILIGENCIAS PRELIMINARES</w:t>
      </w:r>
    </w:p>
    <w:p w14:paraId="085A5B0D"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lang w:val="es-ES" w:eastAsia="es-PE" w:bidi="hi-IN"/>
          <w14:ligatures w14:val="none"/>
        </w:rPr>
      </w:pPr>
      <w:r w:rsidRPr="00E215A4">
        <w:rPr>
          <w:rFonts w:ascii="Tahoma" w:eastAsia="Times New Roman" w:hAnsi="Tahoma" w:cs="Tahoma"/>
          <w:b/>
          <w:kern w:val="1"/>
          <w:sz w:val="20"/>
          <w:szCs w:val="20"/>
          <w:lang w:eastAsia="es-PE" w:bidi="hi-IN"/>
          <w14:ligatures w14:val="none"/>
        </w:rPr>
        <w:t>Disposición N.º 0</w:t>
      </w:r>
      <w:r w:rsidRPr="00E215A4">
        <w:rPr>
          <w:rFonts w:ascii="Tahoma" w:eastAsia="Times New Roman" w:hAnsi="Tahoma" w:cs="Tahoma"/>
          <w:b/>
          <w:kern w:val="1"/>
          <w:sz w:val="20"/>
          <w:szCs w:val="20"/>
          <w:lang w:val="es-ES" w:eastAsia="es-PE" w:bidi="hi-IN"/>
          <w14:ligatures w14:val="none"/>
        </w:rPr>
        <w:t>1</w:t>
      </w:r>
    </w:p>
    <w:p w14:paraId="0D63A58B" w14:textId="612C3766" w:rsidR="00E215A4" w:rsidRPr="00E215A4" w:rsidRDefault="00E215A4" w:rsidP="00E215A4">
      <w:pPr>
        <w:widowControl w:val="0"/>
        <w:suppressAutoHyphens/>
        <w:spacing w:after="0" w:line="240" w:lineRule="auto"/>
        <w:jc w:val="both"/>
        <w:rPr>
          <w:rFonts w:ascii="Tahoma" w:eastAsia="Arial Unicode MS" w:hAnsi="Tahoma" w:cs="Tahoma"/>
          <w:kern w:val="1"/>
          <w:sz w:val="20"/>
          <w:szCs w:val="20"/>
          <w:lang w:eastAsia="hi-IN" w:bidi="hi-IN"/>
          <w14:ligatures w14:val="none"/>
        </w:rPr>
      </w:pPr>
      <w:r w:rsidRPr="00E215A4">
        <w:rPr>
          <w:rFonts w:ascii="Tahoma" w:eastAsia="Arial Unicode MS" w:hAnsi="Tahoma" w:cs="Tahoma"/>
          <w:kern w:val="1"/>
          <w:sz w:val="20"/>
          <w:szCs w:val="20"/>
          <w:lang w:eastAsia="hi-IN" w:bidi="hi-IN"/>
          <w14:ligatures w14:val="none"/>
        </w:rPr>
        <w:t xml:space="preserve">Santiago de Surco, </w:t>
      </w:r>
      <w:bookmarkStart w:id="2" w:name="_Hlk219917716"/>
      <w:r w:rsidR="004C23A4" w:rsidRPr="004C23A4">
        <w:rPr>
          <w:rFonts w:ascii="Tahoma" w:eastAsia="Arial Unicode MS" w:hAnsi="Tahoma" w:cs="Tahoma"/>
          <w:kern w:val="1"/>
          <w:sz w:val="20"/>
          <w:szCs w:val="20"/>
          <w:lang w:eastAsia="hi-IN" w:bidi="hi-IN"/>
          <w14:ligatures w14:val="none"/>
        </w:rPr>
        <w:t>&lt;&lt;fecha_actual&gt;&gt;</w:t>
      </w:r>
      <w:bookmarkEnd w:id="2"/>
    </w:p>
    <w:p w14:paraId="42D2723A" w14:textId="77777777" w:rsidR="00E215A4" w:rsidRPr="00E215A4" w:rsidRDefault="00E215A4" w:rsidP="00E215A4">
      <w:pPr>
        <w:widowControl w:val="0"/>
        <w:suppressAutoHyphens/>
        <w:spacing w:after="0" w:line="240" w:lineRule="auto"/>
        <w:jc w:val="both"/>
        <w:rPr>
          <w:rFonts w:ascii="Tahoma" w:eastAsia="Arial Unicode MS" w:hAnsi="Tahoma" w:cs="Tahoma"/>
          <w:kern w:val="1"/>
          <w:sz w:val="20"/>
          <w:szCs w:val="20"/>
          <w:lang w:eastAsia="hi-IN" w:bidi="hi-IN"/>
          <w14:ligatures w14:val="none"/>
        </w:rPr>
      </w:pPr>
    </w:p>
    <w:p w14:paraId="1E7505C5"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VISTO.</w:t>
      </w:r>
    </w:p>
    <w:p w14:paraId="0A6B2339" w14:textId="3B2030C7" w:rsidR="00E215A4" w:rsidRPr="00E215A4" w:rsidRDefault="00E215A4" w:rsidP="00E215A4">
      <w:pPr>
        <w:widowControl w:val="0"/>
        <w:suppressAutoHyphens/>
        <w:overflowPunct w:val="0"/>
        <w:autoSpaceDE w:val="0"/>
        <w:autoSpaceDN w:val="0"/>
        <w:spacing w:after="0" w:line="240" w:lineRule="auto"/>
        <w:jc w:val="both"/>
        <w:textAlignment w:val="baseline"/>
        <w:rPr>
          <w:rFonts w:ascii="Tahoma" w:eastAsia="SimSun" w:hAnsi="Tahoma" w:cs="Tahoma"/>
          <w:b/>
          <w:kern w:val="3"/>
          <w:sz w:val="20"/>
          <w:szCs w:val="20"/>
          <w:u w:val="single"/>
          <w:lang w:eastAsia="zh-CN" w:bidi="hi-IN"/>
          <w14:ligatures w14:val="none"/>
        </w:rPr>
      </w:pPr>
      <w:r w:rsidRPr="00E215A4">
        <w:rPr>
          <w:rFonts w:ascii="Tahoma" w:eastAsia="SimSun" w:hAnsi="Tahoma" w:cs="Tahoma"/>
          <w:kern w:val="3"/>
          <w:sz w:val="20"/>
          <w:szCs w:val="20"/>
          <w:lang w:eastAsia="zh-CN" w:bidi="hi-IN"/>
          <w14:ligatures w14:val="none"/>
        </w:rPr>
        <w:t xml:space="preserve">El Oficio N° </w:t>
      </w:r>
      <w:bookmarkStart w:id="3" w:name="_Hlk219917741"/>
      <w:r w:rsidR="004C23A4" w:rsidRPr="004C23A4">
        <w:rPr>
          <w:rFonts w:ascii="Tahoma" w:eastAsia="SimSun" w:hAnsi="Tahoma" w:cs="Tahoma"/>
          <w:kern w:val="3"/>
          <w:sz w:val="20"/>
          <w:szCs w:val="20"/>
          <w:lang w:eastAsia="zh-CN" w:bidi="hi-IN"/>
          <w14:ligatures w14:val="none"/>
        </w:rPr>
        <w:t>&lt;&lt;oficio&gt;&gt;</w:t>
      </w:r>
      <w:bookmarkEnd w:id="3"/>
      <w:r w:rsidRPr="00E215A4">
        <w:rPr>
          <w:rFonts w:ascii="Tahoma" w:eastAsia="SimSun" w:hAnsi="Tahoma" w:cs="Tahoma"/>
          <w:kern w:val="3"/>
          <w:sz w:val="20"/>
          <w:szCs w:val="20"/>
          <w:lang w:eastAsia="zh-CN" w:bidi="hi-IN"/>
          <w14:ligatures w14:val="none"/>
        </w:rPr>
        <w:t>, a través del cual</w:t>
      </w:r>
      <w:r w:rsidR="00CD30D8">
        <w:rPr>
          <w:rFonts w:ascii="Tahoma" w:eastAsia="SimSun" w:hAnsi="Tahoma" w:cs="Tahoma"/>
          <w:kern w:val="3"/>
          <w:sz w:val="20"/>
          <w:szCs w:val="20"/>
          <w:lang w:eastAsia="zh-CN" w:bidi="hi-IN"/>
          <w14:ligatures w14:val="none"/>
        </w:rPr>
        <w:t xml:space="preserve"> el </w:t>
      </w:r>
      <w:bookmarkStart w:id="4" w:name="_Hlk219917754"/>
      <w:r w:rsidR="004C23A4" w:rsidRPr="004C23A4">
        <w:rPr>
          <w:rFonts w:ascii="Tahoma" w:eastAsia="SimSun" w:hAnsi="Tahoma" w:cs="Tahoma"/>
          <w:kern w:val="3"/>
          <w:sz w:val="20"/>
          <w:szCs w:val="20"/>
          <w:lang w:eastAsia="zh-CN" w:bidi="hi-IN"/>
          <w14:ligatures w14:val="none"/>
        </w:rPr>
        <w:t>&lt;&lt;remitente&gt;&gt;</w:t>
      </w:r>
      <w:bookmarkEnd w:id="4"/>
      <w:r w:rsidRPr="00E215A4">
        <w:rPr>
          <w:rFonts w:ascii="Tahoma" w:eastAsia="SimSun" w:hAnsi="Tahoma" w:cs="Tahoma"/>
          <w:kern w:val="3"/>
          <w:sz w:val="20"/>
          <w:szCs w:val="20"/>
          <w:lang w:eastAsia="zh-CN" w:bidi="hi-IN"/>
          <w14:ligatures w14:val="none"/>
        </w:rPr>
        <w:t xml:space="preserve">, remite la denuncia </w:t>
      </w:r>
      <w:r w:rsidRPr="00E215A4">
        <w:rPr>
          <w:rFonts w:ascii="Tahoma" w:eastAsia="Arial Unicode MS" w:hAnsi="Tahoma" w:cs="Tahoma"/>
          <w:bCs/>
          <w:kern w:val="1"/>
          <w:sz w:val="20"/>
          <w:szCs w:val="20"/>
          <w:lang w:eastAsia="hi-IN" w:bidi="hi-IN"/>
          <w14:ligatures w14:val="none"/>
        </w:rPr>
        <w:t xml:space="preserve">de parte interpuesta por </w:t>
      </w:r>
      <w:r w:rsidR="004C23A4" w:rsidRPr="004C23A4">
        <w:rPr>
          <w:rFonts w:ascii="Tahoma" w:eastAsia="SimSun" w:hAnsi="Tahoma" w:cs="Tahoma"/>
          <w:bCs/>
          <w:kern w:val="3"/>
          <w:sz w:val="20"/>
          <w:szCs w:val="20"/>
          <w:lang w:eastAsia="zh-CN" w:bidi="hi-IN"/>
          <w14:ligatures w14:val="none"/>
        </w:rPr>
        <w:t>&lt;&lt;agraviado&gt;&gt;</w:t>
      </w:r>
      <w:r w:rsidRPr="004B2E96">
        <w:rPr>
          <w:rFonts w:ascii="Tahoma" w:eastAsia="Arial Unicode MS" w:hAnsi="Tahoma" w:cs="Tahoma"/>
          <w:bCs/>
          <w:kern w:val="1"/>
          <w:sz w:val="20"/>
          <w:szCs w:val="20"/>
          <w:lang w:eastAsia="hi-IN" w:bidi="hi-IN"/>
          <w14:ligatures w14:val="none"/>
        </w:rPr>
        <w:t>,</w:t>
      </w:r>
      <w:r w:rsidRPr="00E215A4">
        <w:rPr>
          <w:rFonts w:ascii="Tahoma" w:eastAsia="Arial Unicode MS" w:hAnsi="Tahoma" w:cs="Tahoma"/>
          <w:bCs/>
          <w:kern w:val="1"/>
          <w:sz w:val="20"/>
          <w:szCs w:val="20"/>
          <w:lang w:eastAsia="hi-IN" w:bidi="hi-IN"/>
          <w14:ligatures w14:val="none"/>
        </w:rPr>
        <w:t xml:space="preserve"> contra </w:t>
      </w:r>
      <w:r w:rsidRPr="00E215A4">
        <w:rPr>
          <w:rFonts w:ascii="Tahoma" w:eastAsia="Arial Unicode MS" w:hAnsi="Tahoma" w:cs="Tahoma"/>
          <w:b/>
          <w:kern w:val="1"/>
          <w:sz w:val="20"/>
          <w:szCs w:val="20"/>
          <w:lang w:eastAsia="hi-IN" w:bidi="hi-IN"/>
          <w14:ligatures w14:val="none"/>
        </w:rPr>
        <w:t>LOS QUE RESULTEN RESPONSABLES</w:t>
      </w:r>
      <w:r w:rsidRPr="00E215A4">
        <w:rPr>
          <w:rFonts w:ascii="Tahoma" w:eastAsia="Arial Unicode MS" w:hAnsi="Tahoma" w:cs="Tahoma"/>
          <w:bCs/>
          <w:kern w:val="1"/>
          <w:sz w:val="20"/>
          <w:szCs w:val="20"/>
          <w:lang w:eastAsia="hi-IN" w:bidi="hi-IN"/>
          <w14:ligatures w14:val="none"/>
        </w:rPr>
        <w:t xml:space="preserve"> (sujetos en vías de identificación) por</w:t>
      </w:r>
      <w:r w:rsidRPr="00E215A4">
        <w:rPr>
          <w:rFonts w:ascii="Tahoma" w:eastAsia="Arial Unicode MS" w:hAnsi="Tahoma" w:cs="Tahoma"/>
          <w:kern w:val="1"/>
          <w:sz w:val="20"/>
          <w:szCs w:val="20"/>
          <w:lang w:eastAsia="hi-IN" w:bidi="hi-IN"/>
          <w14:ligatures w14:val="none"/>
        </w:rPr>
        <w:t xml:space="preserve"> la presunta comisión del delito contra el patrimonio, en la modalidad de </w:t>
      </w:r>
      <w:r w:rsidRPr="00E215A4">
        <w:rPr>
          <w:rFonts w:ascii="Tahoma" w:eastAsia="Arial Unicode MS" w:hAnsi="Tahoma" w:cs="Tahoma"/>
          <w:b/>
          <w:bCs/>
          <w:kern w:val="1"/>
          <w:sz w:val="20"/>
          <w:szCs w:val="20"/>
          <w:lang w:eastAsia="hi-IN" w:bidi="hi-IN"/>
          <w14:ligatures w14:val="none"/>
        </w:rPr>
        <w:t>FRAUDE INFORMÁTICO</w:t>
      </w:r>
      <w:r w:rsidRPr="00E215A4">
        <w:rPr>
          <w:rFonts w:ascii="Tahoma" w:hAnsi="Tahoma" w:cs="Tahoma"/>
          <w:color w:val="000000"/>
          <w:sz w:val="20"/>
          <w:szCs w:val="20"/>
        </w:rPr>
        <w:t>; y,</w:t>
      </w:r>
    </w:p>
    <w:p w14:paraId="4B32EE37" w14:textId="77777777" w:rsidR="00E215A4" w:rsidRPr="00E215A4" w:rsidRDefault="00E215A4" w:rsidP="00E215A4">
      <w:pPr>
        <w:widowControl w:val="0"/>
        <w:tabs>
          <w:tab w:val="left" w:pos="360"/>
          <w:tab w:val="left" w:pos="720"/>
        </w:tabs>
        <w:suppressAutoHyphens/>
        <w:overflowPunct w:val="0"/>
        <w:autoSpaceDE w:val="0"/>
        <w:spacing w:after="0" w:line="240" w:lineRule="auto"/>
        <w:jc w:val="both"/>
        <w:textAlignment w:val="baseline"/>
        <w:rPr>
          <w:rFonts w:ascii="Tahoma" w:eastAsia="Arial Unicode MS" w:hAnsi="Tahoma" w:cs="Tahoma"/>
          <w:kern w:val="1"/>
          <w:sz w:val="20"/>
          <w:szCs w:val="20"/>
          <w:lang w:eastAsia="hi-IN" w:bidi="hi-IN"/>
          <w14:ligatures w14:val="none"/>
        </w:rPr>
      </w:pPr>
    </w:p>
    <w:p w14:paraId="7BE989C5"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 xml:space="preserve">CONSIDERANDO: </w:t>
      </w:r>
    </w:p>
    <w:p w14:paraId="495749F2"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34BC9AA9" w14:textId="77777777" w:rsidR="00E215A4" w:rsidRPr="00E215A4" w:rsidRDefault="00E215A4" w:rsidP="00E215A4">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PRIMERO: HECHOS DENUNCIADOS</w:t>
      </w:r>
      <w:bookmarkStart w:id="5" w:name="_Hlk211864982"/>
    </w:p>
    <w:p w14:paraId="428625C1" w14:textId="77777777" w:rsidR="00E215A4" w:rsidRPr="00E215A4" w:rsidRDefault="00E215A4" w:rsidP="00E215A4">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p>
    <w:p w14:paraId="1895F96A" w14:textId="540ED809" w:rsidR="00E215A4" w:rsidRPr="00E215A4" w:rsidRDefault="004C23A4" w:rsidP="00E215A4">
      <w:pPr>
        <w:pStyle w:val="Prrafodelista"/>
        <w:numPr>
          <w:ilvl w:val="0"/>
          <w:numId w:val="4"/>
        </w:numPr>
        <w:jc w:val="both"/>
        <w:rPr>
          <w:rFonts w:ascii="Tahoma" w:eastAsia="Arial MT" w:hAnsi="Tahoma" w:cs="Tahoma"/>
          <w:sz w:val="20"/>
          <w:szCs w:val="20"/>
        </w:rPr>
      </w:pPr>
      <w:bookmarkStart w:id="6" w:name="_Hlk219917778"/>
      <w:bookmarkEnd w:id="5"/>
      <w:r w:rsidRPr="004C23A4">
        <w:rPr>
          <w:rFonts w:ascii="Tahoma" w:eastAsia="Arial MT" w:hAnsi="Tahoma" w:cs="Tahoma"/>
          <w:sz w:val="20"/>
          <w:szCs w:val="20"/>
        </w:rPr>
        <w:t>&lt;&lt;hechos&gt;&gt;</w:t>
      </w:r>
    </w:p>
    <w:p w14:paraId="4C8E23C9" w14:textId="77777777" w:rsidR="00E215A4" w:rsidRPr="00E215A4" w:rsidRDefault="00E215A4" w:rsidP="00E215A4">
      <w:pPr>
        <w:widowControl w:val="0"/>
        <w:tabs>
          <w:tab w:val="center" w:pos="4252"/>
          <w:tab w:val="right" w:pos="8504"/>
        </w:tabs>
        <w:suppressAutoHyphens/>
        <w:spacing w:after="0" w:line="240" w:lineRule="auto"/>
        <w:ind w:left="1134" w:hanging="1134"/>
        <w:jc w:val="both"/>
        <w:rPr>
          <w:rFonts w:ascii="Tahoma" w:eastAsia="Arial Unicode MS" w:hAnsi="Tahoma" w:cs="Tahoma"/>
          <w:b/>
          <w:kern w:val="1"/>
          <w:sz w:val="20"/>
          <w:szCs w:val="20"/>
          <w:lang w:eastAsia="hi-IN" w:bidi="hi-IN"/>
          <w14:ligatures w14:val="none"/>
        </w:rPr>
      </w:pPr>
      <w:bookmarkStart w:id="7" w:name="_Hlk107485330"/>
      <w:bookmarkEnd w:id="6"/>
      <w:r w:rsidRPr="00E215A4">
        <w:rPr>
          <w:rFonts w:ascii="Tahoma" w:eastAsia="Arial Unicode MS" w:hAnsi="Tahoma" w:cs="Tahoma"/>
          <w:b/>
          <w:kern w:val="1"/>
          <w:sz w:val="20"/>
          <w:szCs w:val="20"/>
          <w:lang w:eastAsia="hi-IN" w:bidi="hi-IN"/>
          <w14:ligatures w14:val="none"/>
        </w:rPr>
        <w:t>SEGUNDO: COMPETENCIA DE LAS FISCALÍAS CORPORATIVAS ESPECIALIZADAS EN        CIBERDELINCUENCIA DE LIMA</w:t>
      </w:r>
    </w:p>
    <w:p w14:paraId="03FFAC6A" w14:textId="77777777" w:rsidR="00E215A4" w:rsidRPr="00E215A4" w:rsidRDefault="00E215A4" w:rsidP="00E215A4">
      <w:pPr>
        <w:widowControl w:val="0"/>
        <w:tabs>
          <w:tab w:val="center" w:pos="4252"/>
          <w:tab w:val="right" w:pos="8504"/>
        </w:tabs>
        <w:suppressAutoHyphens/>
        <w:spacing w:after="0" w:line="240" w:lineRule="auto"/>
        <w:ind w:left="284"/>
        <w:jc w:val="both"/>
        <w:rPr>
          <w:rFonts w:ascii="Tahoma" w:eastAsia="Arial Unicode MS" w:hAnsi="Tahoma" w:cs="Tahoma"/>
          <w:b/>
          <w:kern w:val="1"/>
          <w:sz w:val="20"/>
          <w:szCs w:val="20"/>
          <w:lang w:eastAsia="hi-IN" w:bidi="hi-IN"/>
          <w14:ligatures w14:val="none"/>
        </w:rPr>
      </w:pPr>
    </w:p>
    <w:p w14:paraId="0286228C" w14:textId="77777777" w:rsidR="00E215A4" w:rsidRP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Arial Unicode MS" w:hAnsi="Tahoma" w:cs="Tahoma"/>
          <w:color w:val="000000"/>
          <w:kern w:val="1"/>
          <w:sz w:val="20"/>
          <w:szCs w:val="20"/>
          <w:lang w:eastAsia="hi-IN" w:bidi="hi-IN"/>
          <w14:ligatures w14:val="none"/>
        </w:rPr>
      </w:pPr>
      <w:r w:rsidRPr="00E215A4">
        <w:rPr>
          <w:rFonts w:ascii="Tahoma" w:eastAsia="Arial Unicode MS" w:hAnsi="Tahoma" w:cs="Tahoma"/>
          <w:color w:val="000000"/>
          <w:kern w:val="1"/>
          <w:sz w:val="20"/>
          <w:szCs w:val="20"/>
          <w:lang w:eastAsia="hi-IN" w:bidi="hi-IN"/>
          <w14:ligatures w14:val="none"/>
        </w:rPr>
        <w:t xml:space="preserve">Mediante Resolución de la Fiscalía de la Nación N.º 843-2021-MP-FN, del 08 de junio del 2021 y modificatoria (denominación) Resolución N.º 848-2021-MP-FN, del 11 de junio del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N.º 30096 - Ley de Delitos Informáticos, del 22 de octubre de 2013 y modificatoria establecida en la Ley N.º 30171; así como, </w:t>
      </w:r>
      <w:r w:rsidRPr="00E215A4">
        <w:rPr>
          <w:rFonts w:ascii="Tahoma" w:eastAsia="Arial Unicode MS" w:hAnsi="Tahoma" w:cs="Tahoma"/>
          <w:kern w:val="1"/>
          <w:sz w:val="20"/>
          <w:szCs w:val="20"/>
          <w:lang w:eastAsia="hi-IN" w:bidi="hi-IN"/>
          <w14:ligatures w14:val="none"/>
        </w:rPr>
        <w:t xml:space="preserve">el artículo 196°-A, numeral 5, del Código Penal, debiendo dichas </w:t>
      </w:r>
      <w:r w:rsidRPr="00E215A4">
        <w:rPr>
          <w:rFonts w:ascii="Tahoma" w:eastAsia="Arial Unicode MS" w:hAnsi="Tahoma" w:cs="Tahoma"/>
          <w:color w:val="000000"/>
          <w:kern w:val="1"/>
          <w:sz w:val="20"/>
          <w:szCs w:val="20"/>
          <w:lang w:eastAsia="hi-IN" w:bidi="hi-IN"/>
          <w14:ligatures w14:val="none"/>
        </w:rPr>
        <w:t>modalidades ser conocidas por este Subsistema Especializado en Ciberdelincuencia de Lima Centro (competencia territorial y especial).</w:t>
      </w:r>
    </w:p>
    <w:p w14:paraId="6EE805A3" w14:textId="77777777" w:rsidR="00E215A4" w:rsidRPr="00E215A4" w:rsidRDefault="00E215A4" w:rsidP="00E215A4">
      <w:pPr>
        <w:pStyle w:val="Prrafodelista"/>
        <w:widowControl w:val="0"/>
        <w:tabs>
          <w:tab w:val="center" w:pos="4252"/>
          <w:tab w:val="right" w:pos="8504"/>
        </w:tabs>
        <w:suppressAutoHyphens/>
        <w:spacing w:after="0" w:line="240" w:lineRule="auto"/>
        <w:ind w:left="426"/>
        <w:jc w:val="both"/>
        <w:rPr>
          <w:rFonts w:ascii="Tahoma" w:eastAsia="Arial Unicode MS" w:hAnsi="Tahoma" w:cs="Tahoma"/>
          <w:color w:val="000000"/>
          <w:kern w:val="1"/>
          <w:sz w:val="20"/>
          <w:szCs w:val="20"/>
          <w:lang w:eastAsia="hi-IN" w:bidi="hi-IN"/>
          <w14:ligatures w14:val="none"/>
        </w:rPr>
      </w:pPr>
    </w:p>
    <w:p w14:paraId="562D2192"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TERCERO: CALIFICACION JURÍDICA PRELIMINAR</w:t>
      </w:r>
    </w:p>
    <w:p w14:paraId="1C6DC96A" w14:textId="77777777" w:rsidR="00E215A4" w:rsidRPr="00E215A4" w:rsidRDefault="00E215A4" w:rsidP="00E215A4">
      <w:pPr>
        <w:widowControl w:val="0"/>
        <w:tabs>
          <w:tab w:val="center" w:pos="4252"/>
          <w:tab w:val="right" w:pos="8504"/>
        </w:tabs>
        <w:suppressAutoHyphens/>
        <w:spacing w:after="0" w:line="240" w:lineRule="auto"/>
        <w:ind w:left="284"/>
        <w:jc w:val="both"/>
        <w:rPr>
          <w:rFonts w:ascii="Tahoma" w:eastAsia="Arial Unicode MS" w:hAnsi="Tahoma" w:cs="Tahoma"/>
          <w:color w:val="000000"/>
          <w:kern w:val="1"/>
          <w:sz w:val="20"/>
          <w:szCs w:val="20"/>
          <w:lang w:eastAsia="hi-IN" w:bidi="hi-IN"/>
          <w14:ligatures w14:val="none"/>
        </w:rPr>
      </w:pPr>
    </w:p>
    <w:p w14:paraId="3AD4A626" w14:textId="77777777" w:rsidR="00E215A4" w:rsidRP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r w:rsidRPr="00E215A4">
        <w:rPr>
          <w:rFonts w:ascii="Tahoma" w:eastAsia="Palatino Linotype" w:hAnsi="Tahoma" w:cs="Tahoma"/>
          <w:kern w:val="1"/>
          <w:sz w:val="20"/>
          <w:szCs w:val="20"/>
          <w:lang w:eastAsia="hi-IN" w:bidi="hi-IN"/>
          <w14:ligatures w14:val="none"/>
        </w:rPr>
        <w:t xml:space="preserve">Conforme se desprende de lo establecido en el inciso 1 del artículo 328° e inciso 2 del artículo 332° del Código Procesal Penal, la calificación jurídica del hecho denunciado le corresponde a la Fiscalía. En ese orden de ideas, estando a que nos encontramos en una etapa preliminar donde se iniciará la realización de actos de investigación, corresponde realizar la calificación preliminar del hecho comunicado a este despacho fiscal, el cual después del avance de las diligencias podrá ser recalificado o ampliado. </w:t>
      </w:r>
    </w:p>
    <w:p w14:paraId="0AF6D3F4" w14:textId="77777777" w:rsidR="00E215A4" w:rsidRPr="00E215A4" w:rsidRDefault="00E215A4" w:rsidP="00E215A4">
      <w:pPr>
        <w:pStyle w:val="Prrafodelista"/>
        <w:widowControl w:val="0"/>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p>
    <w:p w14:paraId="3A2DEA71" w14:textId="7D80A5FD" w:rsid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r w:rsidRPr="00E215A4">
        <w:rPr>
          <w:rFonts w:ascii="Tahoma" w:eastAsia="Palatino Linotype" w:hAnsi="Tahoma" w:cs="Tahoma"/>
          <w:kern w:val="1"/>
          <w:sz w:val="20"/>
          <w:szCs w:val="20"/>
          <w:lang w:eastAsia="hi-IN" w:bidi="hi-IN"/>
          <w14:ligatures w14:val="none"/>
        </w:rPr>
        <w:lastRenderedPageBreak/>
        <w:t>En el caso concreto, al realizar el análisis de tipicidad</w:t>
      </w:r>
      <w:r w:rsidRPr="00E215A4">
        <w:rPr>
          <w:rStyle w:val="Refdenotaalpie"/>
          <w:rFonts w:ascii="Tahoma" w:eastAsia="Palatino Linotype" w:hAnsi="Tahoma" w:cs="Tahoma"/>
          <w:kern w:val="1"/>
          <w:sz w:val="20"/>
          <w:szCs w:val="20"/>
          <w:lang w:eastAsia="hi-IN" w:bidi="hi-IN"/>
          <w14:ligatures w14:val="none"/>
        </w:rPr>
        <w:footnoteReference w:id="1"/>
      </w:r>
      <w:r w:rsidRPr="00E215A4">
        <w:rPr>
          <w:rFonts w:ascii="Tahoma" w:eastAsia="Palatino Linotype" w:hAnsi="Tahoma" w:cs="Tahoma"/>
          <w:kern w:val="1"/>
          <w:sz w:val="20"/>
          <w:szCs w:val="20"/>
          <w:lang w:eastAsia="hi-IN" w:bidi="hi-IN"/>
          <w14:ligatures w14:val="none"/>
        </w:rPr>
        <w:t xml:space="preserve">, los hechos puestos en conocimiento </w:t>
      </w:r>
      <w:r w:rsidRPr="00E215A4">
        <w:rPr>
          <w:rFonts w:ascii="Tahoma" w:eastAsia="Arial Narrow" w:hAnsi="Tahoma" w:cs="Tahoma"/>
          <w:bCs/>
          <w:color w:val="000000"/>
          <w:sz w:val="20"/>
          <w:szCs w:val="20"/>
        </w:rPr>
        <w:t xml:space="preserve">permiten advertir una </w:t>
      </w:r>
      <w:r w:rsidRPr="00E215A4">
        <w:rPr>
          <w:rFonts w:ascii="Tahoma" w:eastAsia="Arial Narrow" w:hAnsi="Tahoma" w:cs="Tahoma"/>
          <w:b/>
          <w:color w:val="000000"/>
          <w:sz w:val="20"/>
          <w:szCs w:val="20"/>
        </w:rPr>
        <w:t>sospecha inicial simple</w:t>
      </w:r>
      <w:r w:rsidRPr="00E215A4">
        <w:rPr>
          <w:rStyle w:val="Refdenotaalpie"/>
          <w:rFonts w:ascii="Tahoma" w:eastAsia="Arial Narrow" w:hAnsi="Tahoma" w:cs="Tahoma"/>
          <w:b/>
          <w:color w:val="000000"/>
          <w:sz w:val="20"/>
          <w:szCs w:val="20"/>
        </w:rPr>
        <w:footnoteReference w:id="2"/>
      </w:r>
      <w:r w:rsidRPr="00E215A4">
        <w:rPr>
          <w:rFonts w:ascii="Tahoma" w:eastAsia="Arial Narrow" w:hAnsi="Tahoma" w:cs="Tahoma"/>
          <w:b/>
          <w:color w:val="000000"/>
          <w:sz w:val="20"/>
          <w:szCs w:val="20"/>
        </w:rPr>
        <w:t xml:space="preserve">, </w:t>
      </w:r>
      <w:r w:rsidRPr="00E215A4">
        <w:rPr>
          <w:rFonts w:ascii="Tahoma" w:eastAsia="Arial Narrow" w:hAnsi="Tahoma" w:cs="Tahoma"/>
          <w:bCs/>
          <w:color w:val="000000"/>
          <w:sz w:val="20"/>
          <w:szCs w:val="20"/>
        </w:rPr>
        <w:t>del hecho incriminado</w:t>
      </w:r>
      <w:r w:rsidRPr="00E215A4">
        <w:rPr>
          <w:rFonts w:ascii="Tahoma" w:eastAsia="Arial Narrow" w:hAnsi="Tahoma" w:cs="Tahoma"/>
          <w:b/>
          <w:color w:val="000000"/>
          <w:sz w:val="20"/>
          <w:szCs w:val="20"/>
        </w:rPr>
        <w:t xml:space="preserve"> </w:t>
      </w:r>
      <w:r w:rsidRPr="00E215A4">
        <w:rPr>
          <w:rFonts w:ascii="Tahoma" w:eastAsia="Palatino Linotype" w:hAnsi="Tahoma" w:cs="Tahoma"/>
          <w:kern w:val="1"/>
          <w:sz w:val="20"/>
          <w:szCs w:val="20"/>
          <w:lang w:eastAsia="hi-IN" w:bidi="hi-IN"/>
          <w14:ligatures w14:val="none"/>
        </w:rPr>
        <w:t>dentro del primer párrafo del artículo 8° de la Ley N° 30096 - Ley de Delitos Informáticos (modificada por el Dec. Leg. N° 1614), que tipifica y sanciona el delito informático contra el Patrimonio en la modalidad de Fraude Informático, que es de competencia de este despacho fiscal</w:t>
      </w:r>
      <w:r w:rsidR="00455D7D">
        <w:rPr>
          <w:rFonts w:ascii="Tahoma" w:eastAsia="Palatino Linotype" w:hAnsi="Tahoma" w:cs="Tahoma"/>
          <w:kern w:val="1"/>
          <w:sz w:val="20"/>
          <w:szCs w:val="20"/>
          <w:lang w:eastAsia="hi-IN" w:bidi="hi-IN"/>
          <w14:ligatures w14:val="none"/>
        </w:rPr>
        <w:t>:</w:t>
      </w:r>
    </w:p>
    <w:p w14:paraId="4EC2F342" w14:textId="77777777" w:rsidR="00455D7D" w:rsidRPr="00E215A4" w:rsidRDefault="00455D7D" w:rsidP="00455D7D">
      <w:pPr>
        <w:pStyle w:val="Prrafodelista"/>
        <w:widowControl w:val="0"/>
        <w:tabs>
          <w:tab w:val="center" w:pos="4252"/>
          <w:tab w:val="right" w:pos="8504"/>
        </w:tabs>
        <w:suppressAutoHyphens/>
        <w:spacing w:after="0" w:line="240" w:lineRule="auto"/>
        <w:ind w:left="426"/>
        <w:jc w:val="both"/>
        <w:rPr>
          <w:rFonts w:ascii="Tahoma" w:eastAsia="Palatino Linotype" w:hAnsi="Tahoma" w:cs="Tahoma"/>
          <w:kern w:val="1"/>
          <w:sz w:val="20"/>
          <w:szCs w:val="20"/>
          <w:lang w:eastAsia="hi-IN" w:bidi="hi-IN"/>
          <w14:ligatures w14:val="none"/>
        </w:rPr>
      </w:pPr>
    </w:p>
    <w:tbl>
      <w:tblPr>
        <w:tblW w:w="7792" w:type="dxa"/>
        <w:tblInd w:w="71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7792"/>
      </w:tblGrid>
      <w:tr w:rsidR="00E215A4" w:rsidRPr="00E215A4" w14:paraId="64385C86" w14:textId="77777777" w:rsidTr="006F3439">
        <w:trPr>
          <w:trHeight w:val="222"/>
        </w:trPr>
        <w:tc>
          <w:tcPr>
            <w:tcW w:w="7792" w:type="dxa"/>
            <w:tcBorders>
              <w:top w:val="single" w:sz="4" w:space="0" w:color="5B9BD5"/>
              <w:left w:val="single" w:sz="4" w:space="0" w:color="5B9BD5"/>
              <w:bottom w:val="single" w:sz="4" w:space="0" w:color="5B9BD5"/>
              <w:right w:val="nil"/>
            </w:tcBorders>
            <w:shd w:val="clear" w:color="auto" w:fill="5B9BD5"/>
            <w:vAlign w:val="center"/>
          </w:tcPr>
          <w:p w14:paraId="53544DC5" w14:textId="4B6CD831" w:rsidR="00E215A4" w:rsidRPr="00E215A4" w:rsidRDefault="00E215A4" w:rsidP="00455D7D">
            <w:pPr>
              <w:widowControl w:val="0"/>
              <w:tabs>
                <w:tab w:val="center" w:pos="4252"/>
                <w:tab w:val="right" w:pos="8504"/>
              </w:tabs>
              <w:suppressAutoHyphens/>
              <w:spacing w:after="0" w:line="240" w:lineRule="auto"/>
              <w:jc w:val="center"/>
              <w:rPr>
                <w:rFonts w:ascii="Tahoma" w:eastAsia="Palatino Linotype" w:hAnsi="Tahoma" w:cs="Tahoma"/>
                <w:b/>
                <w:kern w:val="1"/>
                <w:sz w:val="20"/>
                <w:szCs w:val="20"/>
                <w:lang w:eastAsia="hi-IN" w:bidi="hi-IN"/>
                <w14:ligatures w14:val="none"/>
              </w:rPr>
            </w:pPr>
            <w:r w:rsidRPr="00E215A4">
              <w:rPr>
                <w:rFonts w:ascii="Tahoma" w:eastAsia="Palatino Linotype" w:hAnsi="Tahoma" w:cs="Tahoma"/>
                <w:b/>
                <w:color w:val="FFFFFF" w:themeColor="background1"/>
                <w:kern w:val="1"/>
                <w:sz w:val="20"/>
                <w:szCs w:val="20"/>
                <w:lang w:eastAsia="hi-IN" w:bidi="hi-IN"/>
                <w14:ligatures w14:val="none"/>
              </w:rPr>
              <w:t>Artículo 8°- Ley de Delitos Informáticos (D.L 30096)</w:t>
            </w:r>
          </w:p>
        </w:tc>
      </w:tr>
      <w:tr w:rsidR="00E215A4" w:rsidRPr="00E215A4" w14:paraId="0B7498E7" w14:textId="77777777" w:rsidTr="006F3439">
        <w:trPr>
          <w:trHeight w:val="904"/>
        </w:trPr>
        <w:tc>
          <w:tcPr>
            <w:tcW w:w="7792" w:type="dxa"/>
            <w:shd w:val="clear" w:color="auto" w:fill="DEEAF6"/>
            <w:vAlign w:val="center"/>
          </w:tcPr>
          <w:p w14:paraId="61427857" w14:textId="77777777" w:rsidR="00E215A4" w:rsidRPr="00E215A4" w:rsidRDefault="00E215A4" w:rsidP="006F3439">
            <w:pPr>
              <w:spacing w:line="240" w:lineRule="auto"/>
              <w:jc w:val="both"/>
              <w:rPr>
                <w:rFonts w:ascii="Tahoma" w:eastAsia="Arial" w:hAnsi="Tahoma" w:cs="Tahoma"/>
                <w:i/>
                <w:sz w:val="20"/>
                <w:szCs w:val="20"/>
              </w:rPr>
            </w:pPr>
            <w:r w:rsidRPr="00E215A4">
              <w:rPr>
                <w:rFonts w:ascii="Tahoma" w:eastAsia="Arial" w:hAnsi="Tahoma" w:cs="Tahoma"/>
                <w:sz w:val="20"/>
                <w:szCs w:val="20"/>
              </w:rPr>
              <w:t>“</w:t>
            </w:r>
            <w:r w:rsidRPr="00E215A4">
              <w:rPr>
                <w:rFonts w:ascii="Tahoma" w:eastAsia="Arial" w:hAnsi="Tahoma" w:cs="Tahoma"/>
                <w:i/>
                <w:sz w:val="20"/>
                <w:szCs w:val="20"/>
              </w:rPr>
              <w:t>El que deliberada e ilegítimamente procura para sí o para otro un provecho ilícito en perjuicio de tercero mediante el diseño, introducción, alteración, borrado, supresión, clonación de datos informáticos, suplantación de interfaces o páginas web o cualquier interferencia o manipulación en el funcionamiento de un sistema informático, será reprimido con una pena privativa de libertad no menor de </w:t>
            </w:r>
            <w:r w:rsidRPr="00E215A4">
              <w:rPr>
                <w:rFonts w:ascii="Tahoma" w:eastAsia="Arial" w:hAnsi="Tahoma" w:cs="Tahoma"/>
                <w:b/>
                <w:bCs/>
                <w:i/>
                <w:sz w:val="20"/>
                <w:szCs w:val="20"/>
              </w:rPr>
              <w:t>cuatro</w:t>
            </w:r>
            <w:r w:rsidRPr="00E215A4">
              <w:rPr>
                <w:rFonts w:ascii="Tahoma" w:eastAsia="Arial" w:hAnsi="Tahoma" w:cs="Tahoma"/>
                <w:i/>
                <w:sz w:val="20"/>
                <w:szCs w:val="20"/>
              </w:rPr>
              <w:t> ni mayor de </w:t>
            </w:r>
            <w:r w:rsidRPr="00E215A4">
              <w:rPr>
                <w:rFonts w:ascii="Tahoma" w:eastAsia="Arial" w:hAnsi="Tahoma" w:cs="Tahoma"/>
                <w:b/>
                <w:bCs/>
                <w:i/>
                <w:sz w:val="20"/>
                <w:szCs w:val="20"/>
              </w:rPr>
              <w:t>ocho</w:t>
            </w:r>
            <w:r w:rsidRPr="00E215A4">
              <w:rPr>
                <w:rFonts w:ascii="Tahoma" w:eastAsia="Arial" w:hAnsi="Tahoma" w:cs="Tahoma"/>
                <w:i/>
                <w:sz w:val="20"/>
                <w:szCs w:val="20"/>
              </w:rPr>
              <w:t> años y con sesenta a ciento veinte días-multa.</w:t>
            </w:r>
          </w:p>
          <w:p w14:paraId="4E0F7E84" w14:textId="77777777" w:rsidR="00E215A4" w:rsidRPr="00E215A4" w:rsidRDefault="00E215A4" w:rsidP="006F3439">
            <w:pPr>
              <w:spacing w:line="240" w:lineRule="auto"/>
              <w:jc w:val="both"/>
              <w:rPr>
                <w:rFonts w:ascii="Tahoma" w:eastAsia="Arial" w:hAnsi="Tahoma" w:cs="Tahoma"/>
                <w:i/>
                <w:sz w:val="20"/>
                <w:szCs w:val="20"/>
              </w:rPr>
            </w:pPr>
            <w:r w:rsidRPr="00E215A4">
              <w:rPr>
                <w:rFonts w:ascii="Tahoma" w:eastAsia="Arial" w:hAnsi="Tahoma" w:cs="Tahoma"/>
                <w:i/>
                <w:sz w:val="20"/>
                <w:szCs w:val="20"/>
              </w:rPr>
              <w:t>La pena será privativa de libertad no menor de cinco ni mayor de diez años y de ochenta a ciento cuarenta días multa cuando se afecte el patrimonio del Estado destinado a fines asistenciales o a programas de apoyo social.</w:t>
            </w:r>
          </w:p>
          <w:p w14:paraId="437570C9" w14:textId="77777777" w:rsidR="00E215A4" w:rsidRPr="00E215A4" w:rsidRDefault="00E215A4" w:rsidP="006F3439">
            <w:pPr>
              <w:widowControl w:val="0"/>
              <w:tabs>
                <w:tab w:val="center" w:pos="4252"/>
                <w:tab w:val="right" w:pos="8504"/>
              </w:tabs>
              <w:suppressAutoHyphens/>
              <w:spacing w:after="0" w:line="240" w:lineRule="auto"/>
              <w:jc w:val="both"/>
              <w:rPr>
                <w:rFonts w:ascii="Tahoma" w:eastAsia="Palatino Linotype" w:hAnsi="Tahoma" w:cs="Tahoma"/>
                <w:kern w:val="1"/>
                <w:sz w:val="20"/>
                <w:szCs w:val="20"/>
                <w:lang w:eastAsia="hi-IN" w:bidi="hi-IN"/>
                <w14:ligatures w14:val="none"/>
              </w:rPr>
            </w:pPr>
            <w:r w:rsidRPr="00E215A4">
              <w:rPr>
                <w:rFonts w:ascii="Tahoma" w:eastAsia="Arial" w:hAnsi="Tahoma" w:cs="Tahoma"/>
                <w:bCs/>
                <w:i/>
                <w:sz w:val="20"/>
                <w:szCs w:val="20"/>
              </w:rPr>
              <w:t>La misma pena se aplica al que intencionalmente colabora con la comisión de alguno de los supuestos de los párrafos precedentes, facilitando la transferencia de activos</w:t>
            </w:r>
            <w:r w:rsidRPr="00E215A4">
              <w:rPr>
                <w:rFonts w:ascii="Tahoma" w:eastAsia="Arial" w:hAnsi="Tahoma" w:cs="Tahoma"/>
                <w:sz w:val="20"/>
                <w:szCs w:val="20"/>
              </w:rPr>
              <w:t>”.</w:t>
            </w:r>
          </w:p>
        </w:tc>
      </w:tr>
    </w:tbl>
    <w:p w14:paraId="131A8D25"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7CA572E5"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CUARTO: SOBRE LA INVESTIGACIÓN PRELIMINAR</w:t>
      </w:r>
    </w:p>
    <w:p w14:paraId="7235ACB4" w14:textId="77777777" w:rsidR="00E215A4" w:rsidRPr="00E215A4" w:rsidRDefault="00E215A4" w:rsidP="00E215A4">
      <w:pPr>
        <w:widowControl w:val="0"/>
        <w:tabs>
          <w:tab w:val="left" w:pos="-142"/>
        </w:tabs>
        <w:suppressAutoHyphens/>
        <w:spacing w:after="0" w:line="240" w:lineRule="auto"/>
        <w:ind w:right="-1"/>
        <w:jc w:val="both"/>
        <w:rPr>
          <w:rFonts w:ascii="Tahoma" w:eastAsia="Times New Roman" w:hAnsi="Tahoma" w:cs="Tahoma"/>
          <w:b/>
          <w:bCs/>
          <w:color w:val="000000"/>
          <w:kern w:val="1"/>
          <w:sz w:val="20"/>
          <w:szCs w:val="20"/>
          <w:lang w:eastAsia="es-PE" w:bidi="hi-IN"/>
          <w14:ligatures w14:val="none"/>
        </w:rPr>
      </w:pPr>
    </w:p>
    <w:p w14:paraId="102F7CCA"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El Ministerio Público es el órgano constitucional autónomo al que la Constitución Política del Estado le ha otorgado la titularidad del ejercicio de la acción penal, la defensa de la legalidad y la representación de la sociedad en los intereses públicos, para los efectos de defender el interés social, velar por la moral pública y perseguir el delito. </w:t>
      </w:r>
    </w:p>
    <w:p w14:paraId="08D30D8E" w14:textId="77777777" w:rsidR="00E215A4" w:rsidRPr="00E215A4" w:rsidRDefault="00E215A4" w:rsidP="00E215A4">
      <w:pPr>
        <w:pStyle w:val="Prrafodelista"/>
        <w:widowControl w:val="0"/>
        <w:tabs>
          <w:tab w:val="left" w:pos="-142"/>
        </w:tabs>
        <w:suppressAutoHyphens/>
        <w:autoSpaceDN w:val="0"/>
        <w:spacing w:after="0" w:line="240" w:lineRule="auto"/>
        <w:ind w:left="426" w:right="-1"/>
        <w:jc w:val="both"/>
        <w:textAlignment w:val="baseline"/>
        <w:rPr>
          <w:rFonts w:ascii="Tahoma" w:eastAsia="SimSun" w:hAnsi="Tahoma" w:cs="Tahoma"/>
          <w:kern w:val="3"/>
          <w:sz w:val="20"/>
          <w:szCs w:val="20"/>
          <w:lang w:eastAsia="zh-CN" w:bidi="hi-IN"/>
          <w14:ligatures w14:val="none"/>
        </w:rPr>
      </w:pPr>
    </w:p>
    <w:p w14:paraId="23BBAE98"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Asimismo, a partir de la entrada en vigencia de la Ley N° 32130 que modificó el Código Procesal Penal, cabe puntualizar que la investigación preliminar comprende dos planos: uno jurídico y otro operativo. Dicha afirmación se ve reflejada en el numeral 4 del artículo 65° del acotado código adjetivo, el cual contempla lo siguiente: “</w:t>
      </w:r>
      <w:r w:rsidRPr="00E215A4">
        <w:rPr>
          <w:rFonts w:ascii="Tahoma" w:eastAsia="SimSun" w:hAnsi="Tahoma" w:cs="Tahoma"/>
          <w:i/>
          <w:iCs/>
          <w:kern w:val="3"/>
          <w:sz w:val="20"/>
          <w:szCs w:val="20"/>
          <w:lang w:eastAsia="zh-CN" w:bidi="hi-IN"/>
          <w14:ligatures w14:val="none"/>
        </w:rPr>
        <w:t>Corresponde decidir al Fiscal la estrategia jurídica y a la Policía la estrategia operativa en la investigación del delito; (…)</w:t>
      </w:r>
      <w:r w:rsidRPr="00E215A4">
        <w:rPr>
          <w:rFonts w:ascii="Tahoma" w:eastAsia="SimSun" w:hAnsi="Tahoma" w:cs="Tahoma"/>
          <w:kern w:val="3"/>
          <w:sz w:val="20"/>
          <w:szCs w:val="20"/>
          <w:lang w:eastAsia="zh-CN" w:bidi="hi-IN"/>
          <w14:ligatures w14:val="none"/>
        </w:rPr>
        <w:t>”.</w:t>
      </w:r>
    </w:p>
    <w:p w14:paraId="7225C4EC"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2E008B6B"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Siendo así, le corresponde al Ministerio Público asumir la orientación legal de las acciones que realiza la Policía dentro de los parámetros de la ley para determinar si han tenido lugar </w:t>
      </w:r>
      <w:r w:rsidRPr="00E215A4">
        <w:rPr>
          <w:rFonts w:ascii="Tahoma" w:eastAsia="SimSun" w:hAnsi="Tahoma" w:cs="Tahoma"/>
          <w:kern w:val="3"/>
          <w:sz w:val="20"/>
          <w:szCs w:val="20"/>
          <w:lang w:eastAsia="zh-CN" w:bidi="hi-IN"/>
          <w14:ligatures w14:val="none"/>
        </w:rPr>
        <w:lastRenderedPageBreak/>
        <w:t xml:space="preserve">los hechos objeto de conocimiento y su delictuosidad, así como asegurar los elementos materiales de su comisión. De esta manera, conforme al </w:t>
      </w:r>
      <w:r w:rsidRPr="00E215A4">
        <w:rPr>
          <w:rFonts w:ascii="Tahoma" w:eastAsia="SimSun" w:hAnsi="Tahoma" w:cs="Tahoma"/>
          <w:i/>
          <w:iCs/>
          <w:kern w:val="3"/>
          <w:sz w:val="20"/>
          <w:szCs w:val="20"/>
          <w:lang w:eastAsia="zh-CN" w:bidi="hi-IN"/>
          <w14:ligatures w14:val="none"/>
        </w:rPr>
        <w:t>principio de control de la investigación</w:t>
      </w:r>
      <w:r w:rsidRPr="00E215A4">
        <w:rPr>
          <w:rFonts w:ascii="Tahoma" w:eastAsia="SimSun" w:hAnsi="Tahoma" w:cs="Tahoma"/>
          <w:kern w:val="3"/>
          <w:sz w:val="20"/>
          <w:szCs w:val="20"/>
          <w:lang w:eastAsia="zh-CN" w:bidi="hi-IN"/>
          <w14:ligatures w14:val="none"/>
        </w:rPr>
        <w:t xml:space="preserve">, se colige que el fiscal supervisa, inspecciona y fiscaliza, desde su inicio, la actividad de investigación a cargo de la autoridad policial. Dicha actividad se traduce en la emisión de disposiciones, providencias y actas fiscales en las que, por un lado, se precisen actos de investigación necesarios para el esclarecimiento de los hechos y, por otro lado, se controle la regularidad y legalidad de las actuaciones policiales. </w:t>
      </w:r>
    </w:p>
    <w:p w14:paraId="65F1611C"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782755D2"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En esa línea, de acuerdo a lo previsto en el numeral 2 del artículo 60° concordante con el numeral 4 del artículo IV del Título Preliminar del Código Procesal Penal, </w:t>
      </w:r>
      <w:r w:rsidRPr="00E215A4">
        <w:rPr>
          <w:rFonts w:ascii="Tahoma" w:eastAsia="SimSun" w:hAnsi="Tahoma" w:cs="Tahoma"/>
          <w:b/>
          <w:bCs/>
          <w:kern w:val="3"/>
          <w:sz w:val="20"/>
          <w:szCs w:val="20"/>
          <w:lang w:eastAsia="zh-CN" w:bidi="hi-IN"/>
          <w14:ligatures w14:val="none"/>
        </w:rPr>
        <w:t xml:space="preserve">la Policía Nacional del Perú tiene a su cargo la parte operativa </w:t>
      </w:r>
      <w:r w:rsidRPr="00E215A4">
        <w:rPr>
          <w:rFonts w:ascii="Tahoma" w:eastAsia="SimSun" w:hAnsi="Tahoma" w:cs="Tahoma"/>
          <w:kern w:val="3"/>
          <w:sz w:val="20"/>
          <w:szCs w:val="20"/>
          <w:lang w:eastAsia="zh-CN" w:bidi="hi-IN"/>
          <w14:ligatures w14:val="none"/>
        </w:rPr>
        <w:t xml:space="preserve">de la investigación preliminar del delito y, cumpliendo los parámetros jurídicos definidos, realiza las diligencias que, por su naturaleza, correspondan a dicha competencia, de conformidad con sus leyes y reglamentos. </w:t>
      </w:r>
    </w:p>
    <w:p w14:paraId="181453A6"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5ED9D29B"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De esta manera, tanto el representante del Ministerio Público como la autoridad policial, en su condición de sujetos activos en la investigación preliminar del hecho delictuoso, desempeñan sus funciones de manera </w:t>
      </w:r>
      <w:r w:rsidRPr="00E215A4">
        <w:rPr>
          <w:rFonts w:ascii="Tahoma" w:eastAsia="SimSun" w:hAnsi="Tahoma" w:cs="Tahoma"/>
          <w:b/>
          <w:bCs/>
          <w:kern w:val="3"/>
          <w:sz w:val="20"/>
          <w:szCs w:val="20"/>
          <w:lang w:eastAsia="zh-CN" w:bidi="hi-IN"/>
          <w14:ligatures w14:val="none"/>
        </w:rPr>
        <w:t>coordinada y sinérgica</w:t>
      </w:r>
      <w:r w:rsidRPr="00E215A4">
        <w:rPr>
          <w:rFonts w:ascii="Tahoma" w:eastAsia="SimSun" w:hAnsi="Tahoma" w:cs="Tahoma"/>
          <w:kern w:val="3"/>
          <w:sz w:val="20"/>
          <w:szCs w:val="20"/>
          <w:lang w:eastAsia="zh-CN" w:bidi="hi-IN"/>
          <w14:ligatures w14:val="none"/>
        </w:rPr>
        <w:t xml:space="preserve"> a efectos de probar los nexos entre el delito y el presunto autor, en el marco de los principios esgrimidos en el Reglamento denominado “Actuación Fiscal en la Investigación del Delito”, aprobado por la Resolución de la Fiscalía de la Nación N° 2246-2024-MP-FN de fecha 14 de octubre del 2024. </w:t>
      </w:r>
    </w:p>
    <w:p w14:paraId="65717333"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4C5D6523"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Aunado a ello, es preciso indicar que el numeral 2 del artículo 65° del Código Procesal Penal señala que “</w:t>
      </w:r>
      <w:r w:rsidRPr="00E215A4">
        <w:rPr>
          <w:rFonts w:ascii="Tahoma" w:eastAsia="SimSun" w:hAnsi="Tahoma" w:cs="Tahoma"/>
          <w:i/>
          <w:iCs/>
          <w:kern w:val="3"/>
          <w:sz w:val="20"/>
          <w:szCs w:val="20"/>
          <w:lang w:eastAsia="zh-CN" w:bidi="hi-IN"/>
          <w14:ligatures w14:val="none"/>
        </w:rPr>
        <w:t>El Fiscal, en cuanto tenga noticia del delito, dispone de forma inmediata que la Policía Nacional del Perú realice las diligencias preliminares</w:t>
      </w:r>
      <w:r w:rsidRPr="00E215A4">
        <w:rPr>
          <w:rFonts w:ascii="Tahoma" w:eastAsia="SimSun" w:hAnsi="Tahoma" w:cs="Tahoma"/>
          <w:kern w:val="3"/>
          <w:sz w:val="20"/>
          <w:szCs w:val="20"/>
          <w:lang w:eastAsia="zh-CN" w:bidi="hi-IN"/>
          <w14:ligatures w14:val="none"/>
        </w:rPr>
        <w:t>”. Así pues, dicho apartado legal, en su numeral 3, contempla lo siguiente: “</w:t>
      </w:r>
      <w:r w:rsidRPr="00E215A4">
        <w:rPr>
          <w:rFonts w:ascii="Tahoma" w:eastAsia="SimSun" w:hAnsi="Tahoma" w:cs="Tahoma"/>
          <w:i/>
          <w:iCs/>
          <w:kern w:val="3"/>
          <w:sz w:val="20"/>
          <w:szCs w:val="20"/>
          <w:lang w:eastAsia="zh-CN" w:bidi="hi-IN"/>
          <w14:ligatures w14:val="none"/>
        </w:rPr>
        <w:t>Cuando el Fiscal dispone el inicio de la investigación preliminar, precisa su objeto, plazos y, de ser el caso, las formalidades específicas que deben reunir los actos de investigación realizados por la policía para garantizar su validez</w:t>
      </w:r>
      <w:r w:rsidRPr="00E215A4">
        <w:rPr>
          <w:rFonts w:ascii="Tahoma" w:eastAsia="SimSun" w:hAnsi="Tahoma" w:cs="Tahoma"/>
          <w:kern w:val="3"/>
          <w:sz w:val="20"/>
          <w:szCs w:val="20"/>
          <w:lang w:eastAsia="zh-CN" w:bidi="hi-IN"/>
          <w14:ligatures w14:val="none"/>
        </w:rPr>
        <w:t>”.</w:t>
      </w:r>
    </w:p>
    <w:p w14:paraId="35FDC1FD"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6307CB51"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Por lo que, luego de establecida la estrategia jurídica de investigación del delito, le corresponde a la autoridad policial encargarse de la obtención y preservación de los elementos de convicción mediante la realización de los actos de investigación señalados en la ley, lo cual abarca la realización de operaciones técnicas en la investigación del delito, así como el acopio de información adicional respecto del hecho.</w:t>
      </w:r>
    </w:p>
    <w:p w14:paraId="3D0FDC69" w14:textId="77777777" w:rsidR="00E215A4" w:rsidRPr="00E215A4" w:rsidRDefault="00E215A4" w:rsidP="00E215A4">
      <w:pPr>
        <w:pStyle w:val="Prrafodelista"/>
        <w:rPr>
          <w:rFonts w:ascii="Tahoma" w:eastAsia="SimSun" w:hAnsi="Tahoma" w:cs="Tahoma"/>
          <w:kern w:val="3"/>
          <w:sz w:val="20"/>
          <w:szCs w:val="20"/>
          <w:lang w:val="es-MX" w:eastAsia="zh-CN" w:bidi="hi-IN"/>
          <w14:ligatures w14:val="none"/>
        </w:rPr>
      </w:pPr>
    </w:p>
    <w:p w14:paraId="248776E5"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val="es-MX" w:eastAsia="zh-CN" w:bidi="hi-IN"/>
          <w14:ligatures w14:val="none"/>
        </w:rPr>
        <w:t>En ese orden, el personal policial remitirá un informe policial que contendrá los antecedentes que motivaron su intervención, la relación de las diligencias efectuadas, las precalificaciones de los delitos presuntamente cometidos, así como los grados de presunta autoría y participación, el análisis de los hechos investigados y las conclusiones respectivas que justifiquen continuar o no con la investigación preparatoria.</w:t>
      </w:r>
    </w:p>
    <w:p w14:paraId="7BE9055B"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357F6FEB"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QUINTO: OBJETO DE LA INVESTIGACIÓN PRELIMINAR</w:t>
      </w:r>
    </w:p>
    <w:p w14:paraId="74F54796"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00C82EB2"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eastAsia="zh-CN" w:bidi="hi-IN"/>
          <w14:ligatures w14:val="none"/>
        </w:rPr>
        <w:t xml:space="preserve">El objeto de la investigación preliminar es recabar elementos que permitan su esclarecimiento y determinar si éstos </w:t>
      </w:r>
      <w:r w:rsidRPr="00E215A4">
        <w:rPr>
          <w:rFonts w:ascii="Tahoma" w:eastAsia="SimSun" w:hAnsi="Tahoma" w:cs="Tahoma"/>
          <w:bCs/>
          <w:iCs/>
          <w:kern w:val="3"/>
          <w:sz w:val="20"/>
          <w:szCs w:val="20"/>
          <w:lang w:val="es-MX" w:eastAsia="zh-CN" w:bidi="hi-IN"/>
          <w14:ligatures w14:val="none"/>
        </w:rPr>
        <w:t xml:space="preserve">han tenido o no lugar, su carácter delictuoso, y en su caso, </w:t>
      </w:r>
      <w:r w:rsidRPr="00E215A4">
        <w:rPr>
          <w:rFonts w:ascii="Tahoma" w:eastAsia="SimSun" w:hAnsi="Tahoma" w:cs="Tahoma"/>
          <w:kern w:val="3"/>
          <w:sz w:val="20"/>
          <w:szCs w:val="20"/>
          <w:lang w:val="es-MX" w:eastAsia="zh-CN" w:bidi="hi-IN"/>
          <w14:ligatures w14:val="none"/>
        </w:rPr>
        <w:t>individualizar</w:t>
      </w:r>
      <w:r w:rsidRPr="00E215A4">
        <w:rPr>
          <w:rFonts w:ascii="Tahoma" w:eastAsia="SimSun" w:hAnsi="Tahoma" w:cs="Tahoma"/>
          <w:bCs/>
          <w:iCs/>
          <w:kern w:val="3"/>
          <w:sz w:val="20"/>
          <w:szCs w:val="20"/>
          <w:lang w:val="es-MX" w:eastAsia="zh-CN" w:bidi="hi-IN"/>
          <w14:ligatures w14:val="none"/>
        </w:rPr>
        <w:t xml:space="preserve"> al presunto o presuntos responsables y en general, a las </w:t>
      </w:r>
      <w:r w:rsidRPr="00E215A4">
        <w:rPr>
          <w:rFonts w:ascii="Tahoma" w:eastAsia="SimSun" w:hAnsi="Tahoma" w:cs="Tahoma"/>
          <w:kern w:val="3"/>
          <w:sz w:val="20"/>
          <w:szCs w:val="20"/>
          <w:lang w:val="es-MX" w:eastAsia="zh-CN" w:bidi="hi-IN"/>
          <w14:ligatures w14:val="none"/>
        </w:rPr>
        <w:t>personas involucradas en su comisión</w:t>
      </w:r>
      <w:r w:rsidRPr="00E215A4">
        <w:rPr>
          <w:rStyle w:val="Refdenotaalpie"/>
          <w:rFonts w:ascii="Tahoma" w:eastAsia="SimSun" w:hAnsi="Tahoma" w:cs="Tahoma"/>
          <w:kern w:val="3"/>
          <w:sz w:val="20"/>
          <w:szCs w:val="20"/>
          <w:lang w:val="es-MX" w:eastAsia="zh-CN" w:bidi="hi-IN"/>
          <w14:ligatures w14:val="none"/>
        </w:rPr>
        <w:footnoteReference w:id="3"/>
      </w:r>
      <w:r w:rsidRPr="00E215A4">
        <w:rPr>
          <w:rFonts w:ascii="Tahoma" w:eastAsia="SimSun" w:hAnsi="Tahoma" w:cs="Tahoma"/>
          <w:kern w:val="3"/>
          <w:sz w:val="20"/>
          <w:szCs w:val="20"/>
          <w:lang w:val="es-MX" w:eastAsia="zh-CN" w:bidi="hi-IN"/>
          <w14:ligatures w14:val="none"/>
        </w:rPr>
        <w:t xml:space="preserve">. Para ello, la autoridad policial deberá llevar a cabo </w:t>
      </w:r>
      <w:r w:rsidRPr="00E215A4">
        <w:rPr>
          <w:rFonts w:ascii="Tahoma" w:eastAsia="Arial" w:hAnsi="Tahoma" w:cs="Tahoma"/>
          <w:color w:val="000000"/>
          <w:kern w:val="3"/>
          <w:sz w:val="20"/>
          <w:szCs w:val="20"/>
          <w:lang w:eastAsia="zh-CN" w:bidi="hi-IN"/>
          <w14:ligatures w14:val="none"/>
        </w:rPr>
        <w:t>las</w:t>
      </w:r>
      <w:r w:rsidRPr="00E215A4">
        <w:rPr>
          <w:rFonts w:ascii="Tahoma" w:eastAsia="SimSun" w:hAnsi="Tahoma" w:cs="Tahoma"/>
          <w:kern w:val="3"/>
          <w:sz w:val="20"/>
          <w:szCs w:val="20"/>
          <w:lang w:val="es-MX" w:eastAsia="zh-CN" w:bidi="hi-IN"/>
          <w14:ligatures w14:val="none"/>
        </w:rPr>
        <w:t xml:space="preserve"> </w:t>
      </w:r>
      <w:r w:rsidRPr="00E215A4">
        <w:rPr>
          <w:rFonts w:ascii="Tahoma" w:eastAsia="SimSun" w:hAnsi="Tahoma" w:cs="Tahoma"/>
          <w:kern w:val="3"/>
          <w:sz w:val="20"/>
          <w:szCs w:val="20"/>
          <w:lang w:val="es-MX" w:eastAsia="zh-CN" w:bidi="hi-IN"/>
          <w14:ligatures w14:val="none"/>
        </w:rPr>
        <w:lastRenderedPageBreak/>
        <w:t>diligencias propuestas por el representante del Ministerio Público y las que considere pertinentes conforme a su potestad de conducción operativa.</w:t>
      </w:r>
    </w:p>
    <w:p w14:paraId="1AB4170B" w14:textId="77777777" w:rsidR="00E215A4" w:rsidRPr="00E215A4" w:rsidRDefault="00E215A4" w:rsidP="00E215A4">
      <w:pPr>
        <w:pStyle w:val="Prrafodelista"/>
        <w:widowControl w:val="0"/>
        <w:tabs>
          <w:tab w:val="left" w:pos="-142"/>
        </w:tabs>
        <w:suppressAutoHyphens/>
        <w:autoSpaceDN w:val="0"/>
        <w:spacing w:after="0" w:line="240" w:lineRule="auto"/>
        <w:ind w:left="426" w:right="-1"/>
        <w:jc w:val="both"/>
        <w:textAlignment w:val="baseline"/>
        <w:rPr>
          <w:rFonts w:ascii="Tahoma" w:eastAsia="Arial Unicode MS" w:hAnsi="Tahoma" w:cs="Tahoma"/>
          <w:b/>
          <w:kern w:val="1"/>
          <w:sz w:val="20"/>
          <w:szCs w:val="20"/>
          <w:lang w:eastAsia="hi-IN" w:bidi="hi-IN"/>
          <w14:ligatures w14:val="none"/>
        </w:rPr>
      </w:pPr>
    </w:p>
    <w:p w14:paraId="09E4B334"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val="es-MX" w:eastAsia="zh-CN" w:bidi="hi-IN"/>
          <w14:ligatures w14:val="none"/>
        </w:rPr>
        <w:t xml:space="preserve">Asimismo, el artículo 330 inciso 2 del </w:t>
      </w:r>
      <w:r w:rsidRPr="00E215A4">
        <w:rPr>
          <w:rFonts w:ascii="Tahoma" w:eastAsia="Arial Unicode MS" w:hAnsi="Tahoma" w:cs="Tahoma"/>
          <w:color w:val="000000"/>
          <w:kern w:val="1"/>
          <w:sz w:val="20"/>
          <w:szCs w:val="20"/>
          <w:lang w:eastAsia="hi-IN" w:bidi="hi-IN"/>
          <w14:ligatures w14:val="none"/>
        </w:rPr>
        <w:t xml:space="preserve">Código Procesal Penal establece que, la </w:t>
      </w:r>
      <w:r w:rsidRPr="00E215A4">
        <w:rPr>
          <w:rFonts w:ascii="Tahoma" w:eastAsia="Arial Unicode MS" w:hAnsi="Tahoma" w:cs="Tahoma"/>
          <w:b/>
          <w:color w:val="000000"/>
          <w:kern w:val="1"/>
          <w:sz w:val="20"/>
          <w:szCs w:val="20"/>
          <w:lang w:eastAsia="hi-IN" w:bidi="hi-IN"/>
          <w14:ligatures w14:val="none"/>
        </w:rPr>
        <w:t>finalidad inmediata</w:t>
      </w:r>
      <w:r w:rsidRPr="00E215A4">
        <w:rPr>
          <w:rFonts w:ascii="Tahoma" w:eastAsia="Arial Unicode MS" w:hAnsi="Tahoma" w:cs="Tahoma"/>
          <w:color w:val="000000"/>
          <w:kern w:val="1"/>
          <w:sz w:val="20"/>
          <w:szCs w:val="20"/>
          <w:lang w:eastAsia="hi-IN" w:bidi="hi-IN"/>
          <w14:ligatures w14:val="none"/>
        </w:rPr>
        <w:t xml:space="preserve"> de la investigación preliminar es </w:t>
      </w:r>
      <w:r w:rsidRPr="00E215A4">
        <w:rPr>
          <w:rFonts w:ascii="Tahoma" w:eastAsia="SimSun" w:hAnsi="Tahoma" w:cs="Tahoma"/>
          <w:kern w:val="3"/>
          <w:sz w:val="20"/>
          <w:szCs w:val="20"/>
          <w:lang w:val="es-MX" w:eastAsia="zh-CN" w:bidi="hi-IN"/>
          <w14:ligatures w14:val="none"/>
        </w:rPr>
        <w:t xml:space="preserve">realizar los actos urgentes o inaplazables destinados a determinar si han tenido lugar los hechos objeto de conocimiento y su delictuosidad, así como asegurar los elementos materiales de su comisión, individualizar a las personas involucradas en los hechos, incluyendo a los agraviados, y, dentro de los límites de la Ley, asegurarlas debidamente; y como </w:t>
      </w:r>
      <w:r w:rsidRPr="00E215A4">
        <w:rPr>
          <w:rFonts w:ascii="Tahoma" w:eastAsia="SimSun" w:hAnsi="Tahoma" w:cs="Tahoma"/>
          <w:b/>
          <w:kern w:val="3"/>
          <w:sz w:val="20"/>
          <w:szCs w:val="20"/>
          <w:lang w:val="es-MX" w:eastAsia="zh-CN" w:bidi="hi-IN"/>
          <w14:ligatures w14:val="none"/>
        </w:rPr>
        <w:t>finalidad mediata</w:t>
      </w:r>
      <w:r w:rsidRPr="00E215A4">
        <w:rPr>
          <w:rFonts w:ascii="Tahoma" w:eastAsia="SimSun" w:hAnsi="Tahoma" w:cs="Tahoma"/>
          <w:kern w:val="3"/>
          <w:sz w:val="20"/>
          <w:szCs w:val="20"/>
          <w:lang w:val="es-MX" w:eastAsia="zh-CN" w:bidi="hi-IN"/>
          <w14:ligatures w14:val="none"/>
        </w:rPr>
        <w:t xml:space="preserve">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w:t>
      </w:r>
    </w:p>
    <w:p w14:paraId="25BB8555" w14:textId="77777777" w:rsidR="00E215A4" w:rsidRPr="00E215A4" w:rsidRDefault="00E215A4" w:rsidP="00E215A4">
      <w:pPr>
        <w:pStyle w:val="Prrafodelista"/>
        <w:rPr>
          <w:rFonts w:ascii="Tahoma" w:eastAsia="SimSun" w:hAnsi="Tahoma" w:cs="Tahoma"/>
          <w:kern w:val="3"/>
          <w:sz w:val="20"/>
          <w:szCs w:val="20"/>
          <w:lang w:val="es-MX" w:eastAsia="zh-CN" w:bidi="hi-IN"/>
          <w14:ligatures w14:val="none"/>
        </w:rPr>
      </w:pPr>
    </w:p>
    <w:p w14:paraId="25F6C8E3"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val="es-MX" w:eastAsia="zh-CN" w:bidi="hi-IN"/>
          <w14:ligatures w14:val="none"/>
        </w:rPr>
        <w:t xml:space="preserve">En ese sentido, de acuerdo a la especialidad, en la investigación preliminar se debe procurar realizar </w:t>
      </w:r>
      <w:r w:rsidRPr="00E215A4">
        <w:rPr>
          <w:rFonts w:ascii="Tahoma" w:eastAsia="SimSun" w:hAnsi="Tahoma" w:cs="Tahoma"/>
          <w:kern w:val="3"/>
          <w:sz w:val="20"/>
          <w:szCs w:val="20"/>
          <w:lang w:eastAsia="zh-CN" w:bidi="hi-IN"/>
          <w14:ligatures w14:val="none"/>
        </w:rPr>
        <w:t>las medidas de conservación de datos informáticos</w:t>
      </w:r>
      <w:r w:rsidRPr="00E215A4">
        <w:rPr>
          <w:rFonts w:ascii="Tahoma" w:eastAsia="SimSun" w:hAnsi="Tahoma" w:cs="Tahoma"/>
          <w:kern w:val="3"/>
          <w:sz w:val="20"/>
          <w:szCs w:val="20"/>
          <w:lang w:val="es-MX" w:eastAsia="zh-CN" w:bidi="hi-IN"/>
          <w14:ligatures w14:val="none"/>
        </w:rPr>
        <w:t xml:space="preserve"> y de la preservación, aseguramiento y recolección de la evidencia digital, conforme al Manual para el Recojo de la Evidencia Digital</w:t>
      </w:r>
      <w:r w:rsidRPr="00E215A4">
        <w:rPr>
          <w:rStyle w:val="Refdenotaalpie"/>
          <w:rFonts w:ascii="Tahoma" w:eastAsia="SimSun" w:hAnsi="Tahoma" w:cs="Tahoma"/>
          <w:kern w:val="3"/>
          <w:sz w:val="20"/>
          <w:szCs w:val="20"/>
          <w:lang w:val="es-MX" w:eastAsia="zh-CN" w:bidi="hi-IN"/>
          <w14:ligatures w14:val="none"/>
        </w:rPr>
        <w:footnoteReference w:id="4"/>
      </w:r>
      <w:r w:rsidRPr="00E215A4">
        <w:rPr>
          <w:rFonts w:ascii="Tahoma" w:eastAsia="SimSun" w:hAnsi="Tahoma" w:cs="Tahoma"/>
          <w:kern w:val="3"/>
          <w:sz w:val="20"/>
          <w:szCs w:val="20"/>
          <w:lang w:val="es-MX" w:eastAsia="zh-CN" w:bidi="hi-IN"/>
          <w14:ligatures w14:val="none"/>
        </w:rPr>
        <w:t xml:space="preserve"> elaborado por el Ministerio del Interior y la Guía práctica para requerir información a proveedores de servicios de internet, elaborado por la Unidad de Cooperación Judicial Internacional y Extradiciones del</w:t>
      </w:r>
      <w:r w:rsidRPr="00E215A4">
        <w:rPr>
          <w:rFonts w:ascii="Tahoma" w:hAnsi="Tahoma" w:cs="Tahoma"/>
          <w:sz w:val="20"/>
          <w:szCs w:val="20"/>
        </w:rPr>
        <w:t xml:space="preserve"> </w:t>
      </w:r>
      <w:r w:rsidRPr="00E215A4">
        <w:rPr>
          <w:rFonts w:ascii="Tahoma" w:eastAsia="SimSun" w:hAnsi="Tahoma" w:cs="Tahoma"/>
          <w:kern w:val="3"/>
          <w:sz w:val="20"/>
          <w:szCs w:val="20"/>
          <w:lang w:eastAsia="zh-CN" w:bidi="hi-IN"/>
          <w14:ligatures w14:val="none"/>
        </w:rPr>
        <w:t>Ministerio Público</w:t>
      </w:r>
      <w:r w:rsidRPr="00E215A4">
        <w:rPr>
          <w:rFonts w:ascii="Tahoma" w:eastAsia="SimSun" w:hAnsi="Tahoma" w:cs="Tahoma"/>
          <w:kern w:val="3"/>
          <w:sz w:val="20"/>
          <w:szCs w:val="20"/>
          <w:lang w:val="es-MX" w:eastAsia="zh-CN" w:bidi="hi-IN"/>
          <w14:ligatures w14:val="none"/>
        </w:rPr>
        <w:t xml:space="preserve">. </w:t>
      </w:r>
    </w:p>
    <w:p w14:paraId="078574BD" w14:textId="77777777" w:rsidR="00E215A4" w:rsidRPr="00E215A4" w:rsidRDefault="00E215A4" w:rsidP="00E215A4">
      <w:pPr>
        <w:pStyle w:val="Prrafodelista"/>
        <w:widowControl w:val="0"/>
        <w:tabs>
          <w:tab w:val="left" w:pos="-142"/>
        </w:tabs>
        <w:suppressAutoHyphens/>
        <w:autoSpaceDN w:val="0"/>
        <w:spacing w:after="0" w:line="240" w:lineRule="auto"/>
        <w:ind w:left="780" w:right="-1"/>
        <w:jc w:val="both"/>
        <w:textAlignment w:val="baseline"/>
        <w:rPr>
          <w:rFonts w:ascii="Tahoma" w:eastAsia="Arial Unicode MS" w:hAnsi="Tahoma" w:cs="Tahoma"/>
          <w:b/>
          <w:kern w:val="1"/>
          <w:sz w:val="20"/>
          <w:szCs w:val="20"/>
          <w:lang w:eastAsia="hi-IN" w:bidi="hi-IN"/>
          <w14:ligatures w14:val="none"/>
        </w:rPr>
      </w:pPr>
    </w:p>
    <w:p w14:paraId="25DC1E56"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SEXTO: PLAZO DE DILIGENCIAS PRELIMINARES</w:t>
      </w:r>
    </w:p>
    <w:p w14:paraId="088496C2"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w:hAnsi="Tahoma" w:cs="Tahoma"/>
          <w:b/>
          <w:bCs/>
          <w:color w:val="000000"/>
          <w:kern w:val="1"/>
          <w:sz w:val="20"/>
          <w:szCs w:val="20"/>
          <w:lang w:eastAsia="hi-IN" w:bidi="hi-IN"/>
          <w14:ligatures w14:val="none"/>
        </w:rPr>
      </w:pPr>
    </w:p>
    <w:p w14:paraId="61985393" w14:textId="77777777" w:rsidR="00E215A4" w:rsidRPr="00E215A4" w:rsidRDefault="00E215A4" w:rsidP="00E215A4">
      <w:pPr>
        <w:pStyle w:val="Prrafodelista"/>
        <w:widowControl w:val="0"/>
        <w:numPr>
          <w:ilvl w:val="1"/>
          <w:numId w:val="2"/>
        </w:numPr>
        <w:tabs>
          <w:tab w:val="left" w:pos="-142"/>
        </w:tabs>
        <w:suppressAutoHyphens/>
        <w:autoSpaceDN w:val="0"/>
        <w:spacing w:after="0" w:line="240" w:lineRule="auto"/>
        <w:ind w:left="709" w:right="-1" w:hanging="425"/>
        <w:jc w:val="both"/>
        <w:textAlignment w:val="baseline"/>
        <w:rPr>
          <w:rFonts w:ascii="Tahoma" w:eastAsia="Arial" w:hAnsi="Tahoma" w:cs="Tahoma"/>
          <w:b/>
          <w:bCs/>
          <w:color w:val="000000"/>
          <w:kern w:val="3"/>
          <w:sz w:val="20"/>
          <w:szCs w:val="20"/>
          <w:lang w:eastAsia="zh-CN" w:bidi="hi-IN"/>
          <w14:ligatures w14:val="none"/>
        </w:rPr>
      </w:pPr>
      <w:r w:rsidRPr="00E215A4">
        <w:rPr>
          <w:rFonts w:ascii="Tahoma" w:eastAsia="Arial" w:hAnsi="Tahoma" w:cs="Tahoma"/>
          <w:color w:val="000000"/>
          <w:kern w:val="3"/>
          <w:sz w:val="20"/>
          <w:szCs w:val="20"/>
          <w:lang w:eastAsia="zh-CN" w:bidi="hi-IN"/>
          <w14:ligatures w14:val="none"/>
        </w:rPr>
        <w:t xml:space="preserve">El artículo 334° que en su numeral 2 dispone </w:t>
      </w:r>
      <w:r w:rsidRPr="00E215A4">
        <w:rPr>
          <w:rFonts w:ascii="Tahoma" w:eastAsia="Arial" w:hAnsi="Tahoma" w:cs="Tahoma"/>
          <w:i/>
          <w:iCs/>
          <w:color w:val="000000"/>
          <w:kern w:val="3"/>
          <w:sz w:val="20"/>
          <w:szCs w:val="20"/>
          <w:lang w:eastAsia="zh-CN" w:bidi="hi-IN"/>
          <w14:ligatures w14:val="none"/>
        </w:rPr>
        <w:t xml:space="preserve">“El plazo de las diligencias preliminares, (…), es de sesenta días (…). No obstante, ello, el fiscal podrá fijar un plazo distinto según las características, complejidad y circunstancias de los hechos objeto de investigación (...)”. </w:t>
      </w:r>
      <w:r w:rsidRPr="00E215A4">
        <w:rPr>
          <w:rFonts w:ascii="Tahoma" w:eastAsia="Arial" w:hAnsi="Tahoma" w:cs="Tahoma"/>
          <w:color w:val="000000"/>
          <w:kern w:val="3"/>
          <w:sz w:val="20"/>
          <w:szCs w:val="20"/>
          <w:lang w:eastAsia="zh-CN" w:bidi="hi-IN"/>
          <w14:ligatures w14:val="none"/>
        </w:rPr>
        <w:t xml:space="preserve">En el presente caso, luego de analizado los hechos denunciados, este Despacho Fiscal es del criterio que el plazo razonable para realizar las diligencias a nivel fiscal es de </w:t>
      </w:r>
      <w:r w:rsidRPr="00E215A4">
        <w:rPr>
          <w:rFonts w:ascii="Tahoma" w:eastAsia="Arial" w:hAnsi="Tahoma" w:cs="Tahoma"/>
          <w:b/>
          <w:bCs/>
          <w:color w:val="000000"/>
          <w:kern w:val="3"/>
          <w:sz w:val="20"/>
          <w:szCs w:val="20"/>
          <w:lang w:eastAsia="zh-CN" w:bidi="hi-IN"/>
          <w14:ligatures w14:val="none"/>
        </w:rPr>
        <w:t>SESENTA (60) DÍAS.</w:t>
      </w:r>
    </w:p>
    <w:p w14:paraId="2BCB0E59" w14:textId="77777777" w:rsidR="00E215A4" w:rsidRPr="00E215A4" w:rsidRDefault="00E215A4" w:rsidP="00E215A4">
      <w:pPr>
        <w:pStyle w:val="Prrafodelista"/>
        <w:widowControl w:val="0"/>
        <w:tabs>
          <w:tab w:val="left" w:pos="-142"/>
        </w:tabs>
        <w:suppressAutoHyphens/>
        <w:autoSpaceDN w:val="0"/>
        <w:spacing w:after="0" w:line="240" w:lineRule="auto"/>
        <w:ind w:left="709" w:right="-1"/>
        <w:jc w:val="both"/>
        <w:textAlignment w:val="baseline"/>
        <w:rPr>
          <w:rFonts w:ascii="Tahoma" w:eastAsia="Arial" w:hAnsi="Tahoma" w:cs="Tahoma"/>
          <w:b/>
          <w:bCs/>
          <w:color w:val="000000"/>
          <w:kern w:val="3"/>
          <w:sz w:val="20"/>
          <w:szCs w:val="20"/>
          <w:lang w:eastAsia="zh-CN" w:bidi="hi-IN"/>
          <w14:ligatures w14:val="none"/>
        </w:rPr>
      </w:pPr>
    </w:p>
    <w:p w14:paraId="27F249B2" w14:textId="77777777" w:rsidR="00E215A4" w:rsidRPr="00E215A4" w:rsidRDefault="00E215A4" w:rsidP="00E215A4">
      <w:pPr>
        <w:pStyle w:val="Prrafodelista"/>
        <w:widowControl w:val="0"/>
        <w:numPr>
          <w:ilvl w:val="1"/>
          <w:numId w:val="2"/>
        </w:numPr>
        <w:tabs>
          <w:tab w:val="left" w:pos="-142"/>
        </w:tabs>
        <w:suppressAutoHyphens/>
        <w:autoSpaceDN w:val="0"/>
        <w:spacing w:after="0" w:line="240" w:lineRule="auto"/>
        <w:ind w:left="709" w:right="-1" w:hanging="425"/>
        <w:jc w:val="both"/>
        <w:textAlignment w:val="baseline"/>
        <w:rPr>
          <w:rFonts w:ascii="Tahoma" w:eastAsia="Arial" w:hAnsi="Tahoma" w:cs="Tahoma"/>
          <w:b/>
          <w:bCs/>
          <w:color w:val="000000"/>
          <w:kern w:val="3"/>
          <w:sz w:val="20"/>
          <w:szCs w:val="20"/>
          <w:lang w:eastAsia="zh-CN" w:bidi="hi-IN"/>
          <w14:ligatures w14:val="none"/>
        </w:rPr>
      </w:pPr>
      <w:r w:rsidRPr="00E215A4">
        <w:rPr>
          <w:rFonts w:ascii="Tahoma" w:eastAsia="Arial" w:hAnsi="Tahoma" w:cs="Tahoma"/>
          <w:color w:val="000000"/>
          <w:kern w:val="3"/>
          <w:sz w:val="20"/>
          <w:szCs w:val="20"/>
          <w:lang w:eastAsia="zh-CN" w:bidi="hi-IN"/>
          <w14:ligatures w14:val="none"/>
        </w:rPr>
        <w:t xml:space="preserve">En tal sentido, cabe traer a colación que el Reglamento denominado </w:t>
      </w:r>
      <w:r w:rsidRPr="00E215A4">
        <w:rPr>
          <w:rFonts w:ascii="Tahoma" w:eastAsia="SimSun" w:hAnsi="Tahoma" w:cs="Tahoma"/>
          <w:kern w:val="3"/>
          <w:sz w:val="20"/>
          <w:szCs w:val="20"/>
          <w:lang w:eastAsia="zh-CN" w:bidi="hi-IN"/>
          <w14:ligatures w14:val="none"/>
        </w:rPr>
        <w:t>“Actuación Fiscal en la Investigación del Delito”, en su artículo 8.3., prevé lo siguiente: “</w:t>
      </w:r>
      <w:r w:rsidRPr="00E215A4">
        <w:rPr>
          <w:rFonts w:ascii="Tahoma" w:eastAsia="SimSun" w:hAnsi="Tahoma" w:cs="Tahoma"/>
          <w:i/>
          <w:iCs/>
          <w:kern w:val="3"/>
          <w:sz w:val="20"/>
          <w:szCs w:val="20"/>
          <w:lang w:eastAsia="zh-CN" w:bidi="hi-IN"/>
          <w14:ligatures w14:val="none"/>
        </w:rPr>
        <w:t>(…) el fiscal dispone el inicio de la investigación del delito en casos simples por un plazo no mayor de 60 días, ordenando que la autoridad policial en el plazo no mayor de 40 días realice los actos orientados a la identificación de los presuntos responsables, salvo los casos en los que, por su naturaleza o gravedad de los hechos, corresponda otorgar un plazo mayor o ampliar el inicialmente otorgado al término de lo cual la autoridad policial deberá remitir el informe policial</w:t>
      </w:r>
      <w:r w:rsidRPr="00E215A4">
        <w:rPr>
          <w:rFonts w:ascii="Tahoma" w:eastAsia="SimSun" w:hAnsi="Tahoma" w:cs="Tahoma"/>
          <w:kern w:val="3"/>
          <w:sz w:val="20"/>
          <w:szCs w:val="20"/>
          <w:lang w:eastAsia="zh-CN" w:bidi="hi-IN"/>
          <w14:ligatures w14:val="none"/>
        </w:rPr>
        <w:t>”.</w:t>
      </w:r>
    </w:p>
    <w:p w14:paraId="1501F195" w14:textId="77777777" w:rsidR="00E215A4" w:rsidRPr="00E215A4" w:rsidRDefault="00E215A4" w:rsidP="00E215A4">
      <w:pPr>
        <w:widowControl w:val="0"/>
        <w:tabs>
          <w:tab w:val="left" w:pos="-142"/>
        </w:tabs>
        <w:suppressAutoHyphens/>
        <w:autoSpaceDN w:val="0"/>
        <w:spacing w:after="0" w:line="240" w:lineRule="auto"/>
        <w:ind w:right="-1"/>
        <w:jc w:val="both"/>
        <w:textAlignment w:val="baseline"/>
        <w:rPr>
          <w:rFonts w:ascii="Tahoma" w:eastAsia="Arial" w:hAnsi="Tahoma" w:cs="Tahoma"/>
          <w:b/>
          <w:bCs/>
          <w:color w:val="000000"/>
          <w:kern w:val="3"/>
          <w:sz w:val="20"/>
          <w:szCs w:val="20"/>
          <w:lang w:eastAsia="zh-CN" w:bidi="hi-IN"/>
          <w14:ligatures w14:val="none"/>
        </w:rPr>
      </w:pPr>
    </w:p>
    <w:p w14:paraId="069D9249"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 xml:space="preserve">DECISIÓN FISCAL: </w:t>
      </w:r>
    </w:p>
    <w:p w14:paraId="6601B3FD"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p>
    <w:p w14:paraId="6A62D6F6"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r w:rsidRPr="00E215A4">
        <w:rPr>
          <w:rFonts w:ascii="Tahoma" w:eastAsia="Arial Unicode MS" w:hAnsi="Tahoma" w:cs="Tahoma"/>
          <w:color w:val="000000"/>
          <w:kern w:val="1"/>
          <w:sz w:val="20"/>
          <w:szCs w:val="20"/>
          <w:lang w:eastAsia="hi-IN" w:bidi="hi-IN"/>
          <w14:ligatures w14:val="none"/>
        </w:rPr>
        <w:t xml:space="preserve">Por las razones expuestas, el suscrito fiscal provincial del Segundo Despacho de la Segunda Fiscalía Corporativa Especializada en Ciberdelincuencia, en aplicación del artículo 159° de la Constitución Política del Perú, concordante con los artículos 11° y 94° de la Ley Orgánica del Ministerio Público - Decreto Legislativo N°052, el artículo 334° inciso 2 del Código Procesal Penal - Decreto Legislativo N° 957, </w:t>
      </w:r>
      <w:r w:rsidRPr="00E215A4">
        <w:rPr>
          <w:rFonts w:ascii="Tahoma" w:eastAsia="Arial Unicode MS" w:hAnsi="Tahoma" w:cs="Tahoma"/>
          <w:b/>
          <w:bCs/>
          <w:color w:val="000000"/>
          <w:kern w:val="1"/>
          <w:sz w:val="20"/>
          <w:szCs w:val="20"/>
          <w:lang w:eastAsia="hi-IN" w:bidi="hi-IN"/>
          <w14:ligatures w14:val="none"/>
        </w:rPr>
        <w:t>DISPONE</w:t>
      </w:r>
      <w:r w:rsidRPr="00E215A4">
        <w:rPr>
          <w:rFonts w:ascii="Tahoma" w:eastAsia="Arial Unicode MS" w:hAnsi="Tahoma" w:cs="Tahoma"/>
          <w:color w:val="000000"/>
          <w:kern w:val="1"/>
          <w:sz w:val="20"/>
          <w:szCs w:val="20"/>
          <w:lang w:eastAsia="hi-IN" w:bidi="hi-IN"/>
          <w14:ligatures w14:val="none"/>
        </w:rPr>
        <w:t>:</w:t>
      </w:r>
    </w:p>
    <w:p w14:paraId="6CDD8457" w14:textId="77777777" w:rsidR="00E215A4" w:rsidRPr="00E215A4" w:rsidRDefault="00E215A4" w:rsidP="00E215A4">
      <w:pPr>
        <w:widowControl w:val="0"/>
        <w:shd w:val="clear" w:color="auto" w:fill="FFFFFF"/>
        <w:suppressAutoHyphens/>
        <w:autoSpaceDE w:val="0"/>
        <w:spacing w:after="0" w:line="240" w:lineRule="auto"/>
        <w:ind w:left="284"/>
        <w:jc w:val="both"/>
        <w:rPr>
          <w:rFonts w:ascii="Tahoma" w:eastAsia="Arial Unicode MS" w:hAnsi="Tahoma" w:cs="Tahoma"/>
          <w:color w:val="000000"/>
          <w:kern w:val="1"/>
          <w:sz w:val="20"/>
          <w:szCs w:val="20"/>
          <w:lang w:eastAsia="hi-IN" w:bidi="hi-IN"/>
          <w14:ligatures w14:val="none"/>
        </w:rPr>
      </w:pPr>
    </w:p>
    <w:p w14:paraId="092AE9CE" w14:textId="22DCDA77" w:rsidR="00E215A4" w:rsidRPr="00E215A4" w:rsidRDefault="00E215A4" w:rsidP="00E215A4">
      <w:pPr>
        <w:spacing w:after="0" w:line="240" w:lineRule="auto"/>
        <w:contextualSpacing/>
        <w:jc w:val="both"/>
        <w:rPr>
          <w:rFonts w:ascii="Tahoma" w:eastAsia="Times New Roman" w:hAnsi="Tahoma" w:cs="Tahoma"/>
          <w:bCs/>
          <w:kern w:val="1"/>
          <w:sz w:val="20"/>
          <w:szCs w:val="20"/>
          <w:shd w:val="clear" w:color="auto" w:fill="FFFFFF"/>
          <w:lang w:val="es-MX" w:eastAsia="es-PE" w:bidi="hi-IN"/>
          <w14:ligatures w14:val="none"/>
        </w:rPr>
      </w:pPr>
      <w:r w:rsidRPr="00E215A4">
        <w:rPr>
          <w:rFonts w:ascii="Tahoma" w:eastAsia="Times New Roman" w:hAnsi="Tahoma" w:cs="Tahoma"/>
          <w:b/>
          <w:bCs/>
          <w:color w:val="000000"/>
          <w:kern w:val="1"/>
          <w:sz w:val="20"/>
          <w:szCs w:val="20"/>
          <w:lang w:val="es-ES" w:eastAsia="es-PE" w:bidi="hi-IN"/>
          <w14:ligatures w14:val="none"/>
        </w:rPr>
        <w:lastRenderedPageBreak/>
        <w:t>Primero: I</w:t>
      </w:r>
      <w:r w:rsidRPr="00E215A4">
        <w:rPr>
          <w:rFonts w:ascii="Tahoma" w:eastAsia="Times New Roman" w:hAnsi="Tahoma" w:cs="Tahoma"/>
          <w:b/>
          <w:bCs/>
          <w:color w:val="000000"/>
          <w:kern w:val="1"/>
          <w:sz w:val="20"/>
          <w:szCs w:val="20"/>
          <w:lang w:eastAsia="es-PE" w:bidi="hi-IN"/>
          <w14:ligatures w14:val="none"/>
        </w:rPr>
        <w:t>NICIAR DILIGENCIAS PRELIMINARES</w:t>
      </w:r>
      <w:r w:rsidRPr="00E215A4">
        <w:rPr>
          <w:rFonts w:ascii="Tahoma" w:eastAsia="Times New Roman" w:hAnsi="Tahoma" w:cs="Tahoma"/>
          <w:color w:val="000000"/>
          <w:kern w:val="1"/>
          <w:sz w:val="20"/>
          <w:szCs w:val="20"/>
          <w:lang w:eastAsia="es-PE" w:bidi="hi-IN"/>
          <w14:ligatures w14:val="none"/>
        </w:rPr>
        <w:t xml:space="preserve"> </w:t>
      </w:r>
      <w:r w:rsidRPr="00E215A4">
        <w:rPr>
          <w:rFonts w:ascii="Tahoma" w:eastAsia="Times New Roman" w:hAnsi="Tahoma" w:cs="Tahoma"/>
          <w:kern w:val="1"/>
          <w:sz w:val="20"/>
          <w:szCs w:val="20"/>
          <w:lang w:eastAsia="ar-SA" w:bidi="hi-IN"/>
          <w14:ligatures w14:val="none"/>
        </w:rPr>
        <w:t xml:space="preserve">contra </w:t>
      </w:r>
      <w:r w:rsidRPr="00E215A4">
        <w:rPr>
          <w:rFonts w:ascii="Tahoma" w:eastAsia="Times New Roman" w:hAnsi="Tahoma" w:cs="Tahoma"/>
          <w:b/>
          <w:kern w:val="1"/>
          <w:sz w:val="20"/>
          <w:szCs w:val="20"/>
          <w:shd w:val="clear" w:color="auto" w:fill="FFFFFF"/>
          <w:lang w:val="es-MX" w:eastAsia="es-PE" w:bidi="hi-IN"/>
          <w14:ligatures w14:val="none"/>
        </w:rPr>
        <w:t>LOS QUE RESULTEN RESPONSABLES</w:t>
      </w:r>
      <w:r w:rsidRPr="00E215A4">
        <w:rPr>
          <w:rFonts w:ascii="Tahoma" w:eastAsia="Times New Roman" w:hAnsi="Tahoma" w:cs="Tahoma"/>
          <w:bCs/>
          <w:kern w:val="1"/>
          <w:sz w:val="20"/>
          <w:szCs w:val="20"/>
          <w:shd w:val="clear" w:color="auto" w:fill="FFFFFF"/>
          <w:lang w:val="es-MX" w:eastAsia="es-PE" w:bidi="hi-IN"/>
          <w14:ligatures w14:val="none"/>
        </w:rPr>
        <w:t xml:space="preserve"> (sujetos en vía de identificación),</w:t>
      </w:r>
      <w:r w:rsidRPr="00E215A4">
        <w:rPr>
          <w:rFonts w:ascii="Tahoma" w:hAnsi="Tahoma" w:cs="Tahoma"/>
          <w:sz w:val="20"/>
          <w:szCs w:val="20"/>
        </w:rPr>
        <w:t xml:space="preserve"> </w:t>
      </w:r>
      <w:r w:rsidRPr="00E215A4">
        <w:rPr>
          <w:rFonts w:ascii="Tahoma" w:eastAsia="Times New Roman" w:hAnsi="Tahoma" w:cs="Tahoma"/>
          <w:bCs/>
          <w:kern w:val="1"/>
          <w:sz w:val="20"/>
          <w:szCs w:val="20"/>
          <w:shd w:val="clear" w:color="auto" w:fill="FFFFFF"/>
          <w:lang w:val="es-MX" w:eastAsia="es-PE" w:bidi="hi-IN"/>
          <w14:ligatures w14:val="none"/>
        </w:rPr>
        <w:t xml:space="preserve">por la presunta comisión del delito informático de </w:t>
      </w:r>
      <w:r w:rsidRPr="00E215A4">
        <w:rPr>
          <w:rFonts w:ascii="Tahoma" w:eastAsia="Times New Roman" w:hAnsi="Tahoma" w:cs="Tahoma"/>
          <w:b/>
          <w:bCs/>
          <w:kern w:val="1"/>
          <w:sz w:val="20"/>
          <w:szCs w:val="20"/>
          <w:shd w:val="clear" w:color="auto" w:fill="FFFFFF"/>
          <w:lang w:val="es-MX" w:eastAsia="es-PE" w:bidi="hi-IN"/>
          <w14:ligatures w14:val="none"/>
        </w:rPr>
        <w:t>FRAUDE INFORMÁTICO</w:t>
      </w:r>
      <w:r w:rsidRPr="00E215A4">
        <w:rPr>
          <w:rFonts w:ascii="Tahoma" w:eastAsia="Times New Roman" w:hAnsi="Tahoma" w:cs="Tahoma"/>
          <w:bCs/>
          <w:kern w:val="1"/>
          <w:sz w:val="20"/>
          <w:szCs w:val="20"/>
          <w:shd w:val="clear" w:color="auto" w:fill="FFFFFF"/>
          <w:lang w:val="es-MX" w:eastAsia="es-PE" w:bidi="hi-IN"/>
          <w14:ligatures w14:val="none"/>
        </w:rPr>
        <w:t xml:space="preserve"> tipificado en el primer párrafo del artículo 8° de la Ley N° 30096 (</w:t>
      </w:r>
      <w:r w:rsidRPr="00E215A4">
        <w:rPr>
          <w:rFonts w:ascii="Tahoma" w:eastAsia="Times New Roman" w:hAnsi="Tahoma" w:cs="Tahoma"/>
          <w:bCs/>
          <w:kern w:val="1"/>
          <w:sz w:val="20"/>
          <w:szCs w:val="20"/>
          <w:shd w:val="clear" w:color="auto" w:fill="FFFFFF"/>
          <w:lang w:eastAsia="es-PE" w:bidi="hi-IN"/>
          <w14:ligatures w14:val="none"/>
        </w:rPr>
        <w:t>modificada por el Dec. Leg. N° 1614</w:t>
      </w:r>
      <w:r w:rsidRPr="00E215A4">
        <w:rPr>
          <w:rFonts w:ascii="Tahoma" w:eastAsia="Times New Roman" w:hAnsi="Tahoma" w:cs="Tahoma"/>
          <w:bCs/>
          <w:kern w:val="1"/>
          <w:sz w:val="20"/>
          <w:szCs w:val="20"/>
          <w:shd w:val="clear" w:color="auto" w:fill="FFFFFF"/>
          <w:lang w:val="es-MX" w:eastAsia="es-PE" w:bidi="hi-IN"/>
          <w14:ligatures w14:val="none"/>
        </w:rPr>
        <w:t xml:space="preserve">), en agravio de </w:t>
      </w:r>
      <w:r w:rsidR="004C23A4" w:rsidRPr="004C23A4">
        <w:rPr>
          <w:rFonts w:ascii="Tahoma" w:eastAsia="SimSun" w:hAnsi="Tahoma" w:cs="Tahoma"/>
          <w:bCs/>
          <w:kern w:val="3"/>
          <w:sz w:val="20"/>
          <w:szCs w:val="20"/>
          <w:lang w:eastAsia="zh-CN" w:bidi="hi-IN"/>
          <w14:ligatures w14:val="none"/>
        </w:rPr>
        <w:t>&lt;&lt;agraviado&gt;&gt;</w:t>
      </w:r>
      <w:r w:rsidRPr="004B2E96">
        <w:rPr>
          <w:rFonts w:ascii="Tahoma" w:eastAsia="Times New Roman" w:hAnsi="Tahoma" w:cs="Tahoma"/>
          <w:bCs/>
          <w:color w:val="000000"/>
          <w:kern w:val="1"/>
          <w:sz w:val="20"/>
          <w:szCs w:val="20"/>
          <w:lang w:eastAsia="es-PE" w:bidi="hi-IN"/>
          <w14:ligatures w14:val="none"/>
        </w:rPr>
        <w:t>;</w:t>
      </w:r>
      <w:r w:rsidRPr="00E215A4">
        <w:rPr>
          <w:rFonts w:ascii="Tahoma" w:eastAsia="Times New Roman" w:hAnsi="Tahoma" w:cs="Tahoma"/>
          <w:b/>
          <w:bCs/>
          <w:color w:val="000000"/>
          <w:kern w:val="1"/>
          <w:sz w:val="20"/>
          <w:szCs w:val="20"/>
          <w:lang w:eastAsia="es-PE" w:bidi="hi-IN"/>
          <w14:ligatures w14:val="none"/>
        </w:rPr>
        <w:t xml:space="preserve"> </w:t>
      </w:r>
      <w:r w:rsidRPr="00E215A4">
        <w:rPr>
          <w:rFonts w:ascii="Tahoma" w:eastAsia="Times New Roman" w:hAnsi="Tahoma" w:cs="Tahoma"/>
          <w:color w:val="000000"/>
          <w:kern w:val="1"/>
          <w:sz w:val="20"/>
          <w:szCs w:val="20"/>
          <w:lang w:eastAsia="es-PE" w:bidi="hi-IN"/>
          <w14:ligatures w14:val="none"/>
        </w:rPr>
        <w:t xml:space="preserve">por el plazo de </w:t>
      </w:r>
      <w:r w:rsidRPr="00E215A4">
        <w:rPr>
          <w:rFonts w:ascii="Tahoma" w:eastAsia="Times New Roman" w:hAnsi="Tahoma" w:cs="Tahoma"/>
          <w:b/>
          <w:bCs/>
          <w:color w:val="000000"/>
          <w:kern w:val="1"/>
          <w:sz w:val="20"/>
          <w:szCs w:val="20"/>
          <w:lang w:eastAsia="es-PE" w:bidi="hi-IN"/>
          <w14:ligatures w14:val="none"/>
        </w:rPr>
        <w:t>SESENTA (60) DÍAS</w:t>
      </w:r>
      <w:r w:rsidRPr="00E215A4">
        <w:rPr>
          <w:rFonts w:ascii="Tahoma" w:eastAsia="Times New Roman" w:hAnsi="Tahoma" w:cs="Tahoma"/>
          <w:color w:val="000000"/>
          <w:kern w:val="1"/>
          <w:sz w:val="20"/>
          <w:szCs w:val="20"/>
          <w:lang w:eastAsia="es-PE" w:bidi="hi-IN"/>
          <w14:ligatures w14:val="none"/>
        </w:rPr>
        <w:t>.</w:t>
      </w:r>
    </w:p>
    <w:p w14:paraId="4E584267" w14:textId="77777777" w:rsidR="00E215A4" w:rsidRPr="00E215A4" w:rsidRDefault="00E215A4" w:rsidP="00E215A4">
      <w:pPr>
        <w:spacing w:after="0" w:line="240" w:lineRule="auto"/>
        <w:jc w:val="both"/>
        <w:rPr>
          <w:rFonts w:ascii="Tahoma" w:eastAsia="Times New Roman" w:hAnsi="Tahoma" w:cs="Tahoma"/>
          <w:b/>
          <w:kern w:val="1"/>
          <w:sz w:val="20"/>
          <w:szCs w:val="20"/>
          <w:shd w:val="clear" w:color="auto" w:fill="FFFFFF"/>
          <w:lang w:val="es-MX" w:eastAsia="es-PE" w:bidi="hi-IN"/>
          <w14:ligatures w14:val="none"/>
        </w:rPr>
      </w:pPr>
    </w:p>
    <w:p w14:paraId="2AF83699" w14:textId="5C66CF10" w:rsidR="00E215A4" w:rsidRPr="00E215A4" w:rsidRDefault="00E215A4" w:rsidP="00E215A4">
      <w:pPr>
        <w:spacing w:after="0" w:line="240" w:lineRule="auto"/>
        <w:jc w:val="both"/>
        <w:rPr>
          <w:rFonts w:ascii="Tahoma" w:eastAsia="Times New Roman" w:hAnsi="Tahoma" w:cs="Tahoma"/>
          <w:bCs/>
          <w:kern w:val="1"/>
          <w:sz w:val="20"/>
          <w:szCs w:val="20"/>
          <w:shd w:val="clear" w:color="auto" w:fill="FFFFFF"/>
          <w:lang w:val="es-MX" w:eastAsia="es-PE" w:bidi="hi-IN"/>
          <w14:ligatures w14:val="none"/>
        </w:rPr>
      </w:pPr>
      <w:r w:rsidRPr="00E215A4">
        <w:rPr>
          <w:rFonts w:ascii="Tahoma" w:eastAsia="Times New Roman" w:hAnsi="Tahoma" w:cs="Tahoma"/>
          <w:b/>
          <w:kern w:val="1"/>
          <w:sz w:val="20"/>
          <w:szCs w:val="20"/>
          <w:shd w:val="clear" w:color="auto" w:fill="FFFFFF"/>
          <w:lang w:val="es-MX" w:eastAsia="es-PE" w:bidi="hi-IN"/>
          <w14:ligatures w14:val="none"/>
        </w:rPr>
        <w:t xml:space="preserve">Segundo: </w:t>
      </w:r>
      <w:r w:rsidRPr="00E215A4">
        <w:rPr>
          <w:rFonts w:ascii="Tahoma" w:eastAsia="Times New Roman" w:hAnsi="Tahoma" w:cs="Tahoma"/>
          <w:bCs/>
          <w:kern w:val="1"/>
          <w:sz w:val="20"/>
          <w:szCs w:val="20"/>
          <w:shd w:val="clear" w:color="auto" w:fill="FFFFFF"/>
          <w:lang w:val="es-MX" w:eastAsia="es-PE" w:bidi="hi-IN"/>
          <w14:ligatures w14:val="none"/>
        </w:rPr>
        <w:t xml:space="preserve">En consecuencia, </w:t>
      </w:r>
      <w:r w:rsidRPr="00E215A4">
        <w:rPr>
          <w:rFonts w:ascii="Tahoma" w:eastAsia="Times New Roman" w:hAnsi="Tahoma" w:cs="Tahoma"/>
          <w:b/>
          <w:color w:val="000000"/>
          <w:kern w:val="1"/>
          <w:sz w:val="20"/>
          <w:szCs w:val="20"/>
          <w:lang w:eastAsia="es-PE" w:bidi="hi-IN"/>
          <w14:ligatures w14:val="none"/>
        </w:rPr>
        <w:t>REMITIR</w:t>
      </w:r>
      <w:r w:rsidRPr="00E215A4">
        <w:rPr>
          <w:rFonts w:ascii="Tahoma" w:eastAsia="Times New Roman" w:hAnsi="Tahoma" w:cs="Tahoma"/>
          <w:color w:val="000000"/>
          <w:kern w:val="1"/>
          <w:sz w:val="20"/>
          <w:szCs w:val="20"/>
          <w:lang w:eastAsia="es-PE" w:bidi="hi-IN"/>
          <w14:ligatures w14:val="none"/>
        </w:rPr>
        <w:t xml:space="preserve"> de manera digital la presente disposición, conjuntamente con los actuados, </w:t>
      </w:r>
      <w:r w:rsidR="00455D7D">
        <w:rPr>
          <w:rFonts w:ascii="Tahoma" w:eastAsia="Times New Roman" w:hAnsi="Tahoma" w:cs="Tahoma"/>
          <w:color w:val="000000"/>
          <w:kern w:val="1"/>
          <w:sz w:val="20"/>
          <w:szCs w:val="20"/>
          <w:lang w:eastAsia="es-PE" w:bidi="hi-IN"/>
          <w14:ligatures w14:val="none"/>
        </w:rPr>
        <w:t>al</w:t>
      </w:r>
      <w:r w:rsidRPr="00E215A4">
        <w:rPr>
          <w:rFonts w:ascii="Tahoma" w:eastAsia="Times New Roman" w:hAnsi="Tahoma" w:cs="Tahoma"/>
          <w:b/>
          <w:color w:val="000000"/>
          <w:kern w:val="1"/>
          <w:sz w:val="20"/>
          <w:szCs w:val="20"/>
          <w:lang w:eastAsia="es-PE" w:bidi="hi-IN"/>
          <w14:ligatures w14:val="none"/>
        </w:rPr>
        <w:t xml:space="preserve"> </w:t>
      </w:r>
      <w:r w:rsidR="00455D7D">
        <w:rPr>
          <w:rFonts w:ascii="Tahoma" w:eastAsia="Palatino Linotype" w:hAnsi="Tahoma" w:cs="Tahoma"/>
          <w:b/>
          <w:kern w:val="1"/>
          <w:sz w:val="20"/>
          <w:szCs w:val="20"/>
          <w:lang w:eastAsia="hi-IN" w:bidi="hi-IN"/>
          <w14:ligatures w14:val="none"/>
        </w:rPr>
        <w:t>DEPARTAMENTO DE INVESTIGACIÓN CRIMINAL – DEPINCRI ____________</w:t>
      </w:r>
      <w:r w:rsidRPr="00E215A4">
        <w:rPr>
          <w:rFonts w:ascii="Tahoma" w:eastAsia="Times New Roman" w:hAnsi="Tahoma" w:cs="Tahoma"/>
          <w:b/>
          <w:color w:val="000000"/>
          <w:kern w:val="1"/>
          <w:sz w:val="20"/>
          <w:szCs w:val="20"/>
          <w:lang w:eastAsia="es-PE" w:bidi="hi-IN"/>
          <w14:ligatures w14:val="none"/>
        </w:rPr>
        <w:t xml:space="preserve">, </w:t>
      </w:r>
      <w:r w:rsidRPr="00E215A4">
        <w:rPr>
          <w:rFonts w:ascii="Tahoma" w:eastAsia="Times New Roman" w:hAnsi="Tahoma" w:cs="Tahoma"/>
          <w:bCs/>
          <w:kern w:val="1"/>
          <w:sz w:val="20"/>
          <w:szCs w:val="20"/>
          <w:shd w:val="clear" w:color="auto" w:fill="FFFFFF"/>
          <w:lang w:val="es-MX" w:eastAsia="es-PE" w:bidi="hi-IN"/>
          <w14:ligatures w14:val="none"/>
        </w:rPr>
        <w:t>a fin de realizar la investigación preliminar correspondiente.</w:t>
      </w:r>
    </w:p>
    <w:p w14:paraId="0F534282" w14:textId="77777777" w:rsidR="00E215A4" w:rsidRPr="00E215A4" w:rsidRDefault="00E215A4" w:rsidP="00E215A4">
      <w:pPr>
        <w:spacing w:after="0" w:line="240" w:lineRule="auto"/>
        <w:jc w:val="both"/>
        <w:rPr>
          <w:rFonts w:ascii="Tahoma" w:eastAsia="Times New Roman" w:hAnsi="Tahoma" w:cs="Tahoma"/>
          <w:b/>
          <w:kern w:val="1"/>
          <w:sz w:val="20"/>
          <w:szCs w:val="20"/>
          <w:shd w:val="clear" w:color="auto" w:fill="FFFFFF"/>
          <w:lang w:val="es-MX" w:eastAsia="es-PE" w:bidi="hi-IN"/>
          <w14:ligatures w14:val="none"/>
        </w:rPr>
      </w:pPr>
    </w:p>
    <w:p w14:paraId="082B2E2D" w14:textId="43A090C0" w:rsidR="00E215A4" w:rsidRPr="00E215A4" w:rsidRDefault="00E215A4" w:rsidP="00E215A4">
      <w:pPr>
        <w:spacing w:after="0" w:line="240" w:lineRule="auto"/>
        <w:jc w:val="both"/>
        <w:rPr>
          <w:rFonts w:ascii="Tahoma" w:eastAsia="Times New Roman" w:hAnsi="Tahoma" w:cs="Tahoma"/>
          <w:b/>
          <w:color w:val="000000"/>
          <w:kern w:val="1"/>
          <w:sz w:val="20"/>
          <w:szCs w:val="20"/>
          <w:lang w:eastAsia="es-PE" w:bidi="hi-IN"/>
          <w14:ligatures w14:val="none"/>
        </w:rPr>
      </w:pPr>
      <w:r w:rsidRPr="00E215A4">
        <w:rPr>
          <w:rFonts w:ascii="Tahoma" w:eastAsia="Times New Roman" w:hAnsi="Tahoma" w:cs="Tahoma"/>
          <w:b/>
          <w:kern w:val="1"/>
          <w:sz w:val="20"/>
          <w:szCs w:val="20"/>
          <w:shd w:val="clear" w:color="auto" w:fill="FFFFFF"/>
          <w:lang w:val="es-MX" w:eastAsia="es-PE" w:bidi="hi-IN"/>
          <w14:ligatures w14:val="none"/>
        </w:rPr>
        <w:t xml:space="preserve">Tercero: OTORGAR </w:t>
      </w:r>
      <w:r w:rsidRPr="00E215A4">
        <w:rPr>
          <w:rFonts w:ascii="Tahoma" w:eastAsia="Times New Roman" w:hAnsi="Tahoma" w:cs="Tahoma"/>
          <w:bCs/>
          <w:kern w:val="1"/>
          <w:sz w:val="20"/>
          <w:szCs w:val="20"/>
          <w:shd w:val="clear" w:color="auto" w:fill="FFFFFF"/>
          <w:lang w:val="es-MX" w:eastAsia="es-PE" w:bidi="hi-IN"/>
          <w14:ligatures w14:val="none"/>
        </w:rPr>
        <w:t xml:space="preserve">el plazo de </w:t>
      </w:r>
      <w:r w:rsidRPr="00E215A4">
        <w:rPr>
          <w:rFonts w:ascii="Tahoma" w:eastAsia="Times New Roman" w:hAnsi="Tahoma" w:cs="Tahoma"/>
          <w:b/>
          <w:kern w:val="1"/>
          <w:sz w:val="20"/>
          <w:szCs w:val="20"/>
          <w:shd w:val="clear" w:color="auto" w:fill="FFFFFF"/>
          <w:lang w:val="es-MX" w:eastAsia="es-PE" w:bidi="hi-IN"/>
          <w14:ligatures w14:val="none"/>
        </w:rPr>
        <w:t>CUARENTA (40) DÍAS</w:t>
      </w:r>
      <w:r w:rsidRPr="00E215A4">
        <w:rPr>
          <w:rFonts w:ascii="Tahoma" w:eastAsia="Times New Roman" w:hAnsi="Tahoma" w:cs="Tahoma"/>
          <w:bCs/>
          <w:kern w:val="1"/>
          <w:sz w:val="20"/>
          <w:szCs w:val="20"/>
          <w:shd w:val="clear" w:color="auto" w:fill="FFFFFF"/>
          <w:lang w:val="es-MX" w:eastAsia="es-PE" w:bidi="hi-IN"/>
          <w14:ligatures w14:val="none"/>
        </w:rPr>
        <w:t xml:space="preserve"> </w:t>
      </w:r>
      <w:r w:rsidR="00455D7D">
        <w:rPr>
          <w:rFonts w:ascii="Tahoma" w:eastAsia="Times New Roman" w:hAnsi="Tahoma" w:cs="Tahoma"/>
          <w:color w:val="000000"/>
          <w:kern w:val="1"/>
          <w:sz w:val="20"/>
          <w:szCs w:val="20"/>
          <w:lang w:eastAsia="es-PE" w:bidi="hi-IN"/>
          <w14:ligatures w14:val="none"/>
        </w:rPr>
        <w:t>al</w:t>
      </w:r>
      <w:r w:rsidR="00455D7D" w:rsidRPr="00E215A4">
        <w:rPr>
          <w:rFonts w:ascii="Tahoma" w:eastAsia="Times New Roman" w:hAnsi="Tahoma" w:cs="Tahoma"/>
          <w:b/>
          <w:color w:val="000000"/>
          <w:kern w:val="1"/>
          <w:sz w:val="20"/>
          <w:szCs w:val="20"/>
          <w:lang w:eastAsia="es-PE" w:bidi="hi-IN"/>
          <w14:ligatures w14:val="none"/>
        </w:rPr>
        <w:t xml:space="preserve"> </w:t>
      </w:r>
      <w:r w:rsidR="00455D7D">
        <w:rPr>
          <w:rFonts w:ascii="Tahoma" w:eastAsia="Palatino Linotype" w:hAnsi="Tahoma" w:cs="Tahoma"/>
          <w:b/>
          <w:kern w:val="1"/>
          <w:sz w:val="20"/>
          <w:szCs w:val="20"/>
          <w:lang w:eastAsia="hi-IN" w:bidi="hi-IN"/>
          <w14:ligatures w14:val="none"/>
        </w:rPr>
        <w:t>DEPARTAMENTO DE INVESTIGACIÓN CRIMINAL – DEPINCRI ____________</w:t>
      </w:r>
      <w:r w:rsidRPr="00E215A4">
        <w:rPr>
          <w:rFonts w:ascii="Tahoma" w:eastAsia="Times New Roman" w:hAnsi="Tahoma" w:cs="Tahoma"/>
          <w:bCs/>
          <w:kern w:val="1"/>
          <w:sz w:val="20"/>
          <w:szCs w:val="20"/>
          <w:shd w:val="clear" w:color="auto" w:fill="FFFFFF"/>
          <w:lang w:val="es-MX" w:eastAsia="es-PE" w:bidi="hi-IN"/>
          <w14:ligatures w14:val="none"/>
        </w:rPr>
        <w:t xml:space="preserve">, para realizar las diligencias preliminares dispuestas por este despacho fiscal, al término del cual deberá de remitir el informe policial correspondiente, </w:t>
      </w:r>
      <w:r w:rsidRPr="00E215A4">
        <w:rPr>
          <w:rFonts w:ascii="Tahoma" w:eastAsia="Times New Roman" w:hAnsi="Tahoma" w:cs="Tahoma"/>
          <w:b/>
          <w:bCs/>
          <w:kern w:val="1"/>
          <w:sz w:val="20"/>
          <w:szCs w:val="20"/>
          <w:shd w:val="clear" w:color="auto" w:fill="FFFFFF"/>
          <w:lang w:val="es-MX" w:eastAsia="es-PE" w:bidi="hi-IN"/>
          <w14:ligatures w14:val="none"/>
        </w:rPr>
        <w:t>bajo responsabilidad funcional</w:t>
      </w:r>
      <w:r w:rsidRPr="00E215A4">
        <w:rPr>
          <w:rFonts w:ascii="Tahoma" w:eastAsia="Times New Roman" w:hAnsi="Tahoma" w:cs="Tahoma"/>
          <w:bCs/>
          <w:kern w:val="1"/>
          <w:sz w:val="20"/>
          <w:szCs w:val="20"/>
          <w:shd w:val="clear" w:color="auto" w:fill="FFFFFF"/>
          <w:lang w:val="es-MX" w:eastAsia="es-PE" w:bidi="hi-IN"/>
          <w14:ligatures w14:val="none"/>
        </w:rPr>
        <w:t>.</w:t>
      </w:r>
    </w:p>
    <w:p w14:paraId="7B97299E" w14:textId="77777777" w:rsidR="00E215A4" w:rsidRPr="00E215A4" w:rsidRDefault="00E215A4" w:rsidP="00E215A4">
      <w:pPr>
        <w:widowControl w:val="0"/>
        <w:suppressAutoHyphens/>
        <w:spacing w:before="100" w:beforeAutospacing="1" w:after="100" w:afterAutospacing="1" w:line="240" w:lineRule="auto"/>
        <w:jc w:val="both"/>
        <w:rPr>
          <w:rFonts w:ascii="Tahoma" w:eastAsia="Palatino Linotype" w:hAnsi="Tahoma" w:cs="Tahoma"/>
          <w:bCs/>
          <w:kern w:val="3"/>
          <w:sz w:val="20"/>
          <w:szCs w:val="20"/>
          <w:lang w:eastAsia="zh-CN" w:bidi="hi-IN"/>
          <w14:ligatures w14:val="none"/>
        </w:rPr>
      </w:pPr>
      <w:r w:rsidRPr="00E215A4">
        <w:rPr>
          <w:rFonts w:ascii="Tahoma" w:eastAsia="Palatino Linotype" w:hAnsi="Tahoma" w:cs="Tahoma"/>
          <w:b/>
          <w:kern w:val="3"/>
          <w:sz w:val="20"/>
          <w:szCs w:val="20"/>
          <w:lang w:eastAsia="zh-CN" w:bidi="hi-IN"/>
          <w14:ligatures w14:val="none"/>
        </w:rPr>
        <w:t xml:space="preserve">Cuarto: </w:t>
      </w:r>
      <w:r w:rsidRPr="00E215A4">
        <w:rPr>
          <w:rFonts w:ascii="Tahoma" w:eastAsia="Times New Roman" w:hAnsi="Tahoma" w:cs="Tahoma"/>
          <w:bCs/>
          <w:kern w:val="1"/>
          <w:sz w:val="20"/>
          <w:szCs w:val="20"/>
          <w:shd w:val="clear" w:color="auto" w:fill="FFFFFF"/>
          <w:lang w:val="es-MX" w:eastAsia="es-PE" w:bidi="hi-IN"/>
          <w14:ligatures w14:val="none"/>
        </w:rPr>
        <w:t xml:space="preserve">Se </w:t>
      </w:r>
      <w:r w:rsidRPr="00E215A4">
        <w:rPr>
          <w:rFonts w:ascii="Tahoma" w:eastAsia="Times New Roman" w:hAnsi="Tahoma" w:cs="Tahoma"/>
          <w:b/>
          <w:kern w:val="1"/>
          <w:sz w:val="20"/>
          <w:szCs w:val="20"/>
          <w:shd w:val="clear" w:color="auto" w:fill="FFFFFF"/>
          <w:lang w:val="es-MX" w:eastAsia="es-PE" w:bidi="hi-IN"/>
          <w14:ligatures w14:val="none"/>
        </w:rPr>
        <w:t>DISPONE</w:t>
      </w:r>
      <w:r w:rsidRPr="00E215A4">
        <w:rPr>
          <w:rFonts w:ascii="Tahoma" w:eastAsia="Times New Roman" w:hAnsi="Tahoma" w:cs="Tahoma"/>
          <w:bCs/>
          <w:kern w:val="1"/>
          <w:sz w:val="20"/>
          <w:szCs w:val="20"/>
          <w:shd w:val="clear" w:color="auto" w:fill="FFFFFF"/>
          <w:lang w:val="es-MX" w:eastAsia="es-PE" w:bidi="hi-IN"/>
          <w14:ligatures w14:val="none"/>
        </w:rPr>
        <w:t xml:space="preserve"> realizar las diligencias o actos de investigación, que a continuación se mencionan:</w:t>
      </w:r>
    </w:p>
    <w:p w14:paraId="71249838" w14:textId="77777777" w:rsidR="00E215A4" w:rsidRPr="00E215A4" w:rsidRDefault="00E215A4" w:rsidP="00E215A4">
      <w:pPr>
        <w:pStyle w:val="Prrafodelista"/>
        <w:widowControl w:val="0"/>
        <w:numPr>
          <w:ilvl w:val="0"/>
          <w:numId w:val="3"/>
        </w:numPr>
        <w:suppressAutoHyphens/>
        <w:autoSpaceDN w:val="0"/>
        <w:spacing w:before="100" w:beforeAutospacing="1" w:after="0" w:afterAutospacing="1" w:line="240" w:lineRule="auto"/>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b/>
          <w:kern w:val="3"/>
          <w:sz w:val="20"/>
          <w:szCs w:val="20"/>
          <w:lang w:eastAsia="zh-CN" w:bidi="hi-IN"/>
          <w14:ligatures w14:val="none"/>
        </w:rPr>
        <w:t xml:space="preserve">RECÁBESE </w:t>
      </w:r>
      <w:r w:rsidRPr="00E215A4">
        <w:rPr>
          <w:rFonts w:ascii="Tahoma" w:eastAsia="Palatino Linotype" w:hAnsi="Tahoma" w:cs="Tahoma"/>
          <w:kern w:val="3"/>
          <w:sz w:val="20"/>
          <w:szCs w:val="20"/>
          <w:lang w:eastAsia="zh-CN" w:bidi="hi-IN"/>
          <w14:ligatures w14:val="none"/>
        </w:rPr>
        <w:t xml:space="preserve">la declaración del denunciante (de quien se deberá obtener un número de su teléfono móvil y un correo electrónico), a fin de que esclarezca la forma y circunstancias en que se habrían producido los hechos que ha denunciado (debiendo brindar el tipo de tarjeta, el número; así como, precisar la información de los movimientos no reconocidos, fecha, hora, monto, beneficiario y todo otro dato que posea). Asimismo, en la declaración se le deberá requerir su autorización para que las notificaciones les sean cursadas por medios virtuales (correos, WhatsApp y número de celular).  </w:t>
      </w:r>
    </w:p>
    <w:p w14:paraId="23F08612" w14:textId="77777777" w:rsidR="00E215A4" w:rsidRPr="00E215A4" w:rsidRDefault="00E215A4" w:rsidP="00E215A4">
      <w:pPr>
        <w:pStyle w:val="Prrafodelista"/>
        <w:widowControl w:val="0"/>
        <w:suppressAutoHyphens/>
        <w:autoSpaceDN w:val="0"/>
        <w:spacing w:before="100" w:beforeAutospacing="1" w:after="0" w:afterAutospacing="1" w:line="240" w:lineRule="auto"/>
        <w:jc w:val="both"/>
        <w:textAlignment w:val="baseline"/>
        <w:rPr>
          <w:rFonts w:ascii="Tahoma" w:eastAsia="Palatino Linotype" w:hAnsi="Tahoma" w:cs="Tahoma"/>
          <w:kern w:val="3"/>
          <w:sz w:val="20"/>
          <w:szCs w:val="20"/>
          <w:lang w:eastAsia="zh-CN" w:bidi="hi-IN"/>
          <w14:ligatures w14:val="none"/>
        </w:rPr>
      </w:pPr>
    </w:p>
    <w:p w14:paraId="5D541F67" w14:textId="402A7BC8"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hAnsi="Tahoma" w:cs="Tahoma"/>
          <w:sz w:val="20"/>
          <w:szCs w:val="20"/>
        </w:rPr>
        <w:t xml:space="preserve">Se requiera </w:t>
      </w:r>
      <w:r>
        <w:rPr>
          <w:rFonts w:ascii="Tahoma" w:hAnsi="Tahoma" w:cs="Tahoma"/>
          <w:sz w:val="20"/>
          <w:szCs w:val="20"/>
        </w:rPr>
        <w:t xml:space="preserve">a la parte agraviada </w:t>
      </w:r>
      <w:r w:rsidRPr="00E215A4">
        <w:rPr>
          <w:rFonts w:ascii="Tahoma" w:hAnsi="Tahoma" w:cs="Tahoma"/>
          <w:color w:val="000000"/>
          <w:sz w:val="20"/>
          <w:szCs w:val="20"/>
          <w:lang w:val="es-ES"/>
        </w:rPr>
        <w:t>p</w:t>
      </w:r>
      <w:r w:rsidRPr="00E215A4">
        <w:rPr>
          <w:rFonts w:ascii="Tahoma" w:eastAsia="Times New Roman" w:hAnsi="Tahoma" w:cs="Tahoma"/>
          <w:color w:val="000000"/>
          <w:sz w:val="20"/>
          <w:szCs w:val="20"/>
          <w:lang w:val="es-ES"/>
        </w:rPr>
        <w:t>or la vía más rápida (llamada WhatsApp, correo, etc.),</w:t>
      </w:r>
      <w:r w:rsidRPr="00E215A4">
        <w:rPr>
          <w:rFonts w:ascii="Tahoma" w:eastAsia="Times New Roman" w:hAnsi="Tahoma" w:cs="Tahoma"/>
          <w:b/>
          <w:bCs/>
          <w:color w:val="000000"/>
          <w:sz w:val="20"/>
          <w:szCs w:val="20"/>
          <w:lang w:val="es-ES"/>
        </w:rPr>
        <w:t xml:space="preserve"> </w:t>
      </w:r>
      <w:r w:rsidRPr="00E215A4">
        <w:rPr>
          <w:rFonts w:ascii="Tahoma" w:hAnsi="Tahoma" w:cs="Tahoma"/>
          <w:sz w:val="20"/>
          <w:szCs w:val="20"/>
        </w:rPr>
        <w:t xml:space="preserve">una </w:t>
      </w:r>
      <w:r w:rsidRPr="00E215A4">
        <w:rPr>
          <w:rFonts w:ascii="Tahoma" w:hAnsi="Tahoma" w:cs="Tahoma"/>
          <w:b/>
          <w:sz w:val="20"/>
          <w:szCs w:val="20"/>
        </w:rPr>
        <w:t>carta de autorización</w:t>
      </w:r>
      <w:r w:rsidRPr="00E215A4">
        <w:rPr>
          <w:rFonts w:ascii="Tahoma" w:hAnsi="Tahoma" w:cs="Tahoma"/>
          <w:sz w:val="20"/>
          <w:szCs w:val="20"/>
        </w:rPr>
        <w:t xml:space="preserve"> dirigida al </w:t>
      </w:r>
      <w:bookmarkStart w:id="9" w:name="_Hlk112057434"/>
      <w:r w:rsidRPr="00E215A4">
        <w:rPr>
          <w:rFonts w:ascii="Tahoma" w:eastAsia="Calibri" w:hAnsi="Tahoma" w:cs="Tahoma"/>
          <w:color w:val="000000"/>
          <w:sz w:val="20"/>
          <w:szCs w:val="20"/>
          <w:lang w:val="es-ES"/>
        </w:rPr>
        <w:t xml:space="preserve">Banco involucrado </w:t>
      </w:r>
      <w:bookmarkEnd w:id="9"/>
      <w:r w:rsidRPr="00E215A4">
        <w:rPr>
          <w:rFonts w:ascii="Tahoma" w:hAnsi="Tahoma" w:cs="Tahoma"/>
          <w:sz w:val="20"/>
          <w:szCs w:val="20"/>
        </w:rPr>
        <w:t>a efectos de que brinden información sobre los consumos no reconocidos, realizadas desde su tarjeta de dicho Banco, del cual se efectuaron consumos no reconocidos</w:t>
      </w:r>
      <w:r w:rsidRPr="00E215A4">
        <w:rPr>
          <w:rFonts w:ascii="Tahoma" w:eastAsia="Arial Narrow" w:hAnsi="Tahoma" w:cs="Tahoma"/>
          <w:sz w:val="20"/>
          <w:szCs w:val="20"/>
        </w:rPr>
        <w:t>.</w:t>
      </w:r>
    </w:p>
    <w:p w14:paraId="7F459B77" w14:textId="77777777" w:rsidR="00E215A4" w:rsidRPr="00E215A4" w:rsidRDefault="00E215A4" w:rsidP="00E215A4">
      <w:pPr>
        <w:pStyle w:val="Prrafodelista"/>
        <w:rPr>
          <w:rFonts w:ascii="Tahoma" w:eastAsia="Times New Roman" w:hAnsi="Tahoma" w:cs="Tahoma"/>
          <w:b/>
          <w:bCs/>
          <w:color w:val="000000"/>
          <w:kern w:val="0"/>
          <w:sz w:val="20"/>
          <w:szCs w:val="20"/>
          <w:lang w:val="es-ES" w:eastAsia="es-PE"/>
          <w14:ligatures w14:val="none"/>
        </w:rPr>
      </w:pPr>
    </w:p>
    <w:p w14:paraId="2C6A1766"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eastAsia="Times New Roman" w:hAnsi="Tahoma" w:cs="Tahoma"/>
          <w:b/>
          <w:bCs/>
          <w:color w:val="000000"/>
          <w:kern w:val="0"/>
          <w:sz w:val="20"/>
          <w:szCs w:val="20"/>
          <w:lang w:eastAsia="es-PE"/>
          <w14:ligatures w14:val="none"/>
        </w:rPr>
        <w:t>REQUIÉRASE</w:t>
      </w:r>
      <w:r w:rsidRPr="00E215A4">
        <w:rPr>
          <w:rFonts w:ascii="Tahoma" w:eastAsia="Times New Roman" w:hAnsi="Tahoma" w:cs="Tahoma"/>
          <w:color w:val="000000"/>
          <w:kern w:val="0"/>
          <w:sz w:val="20"/>
          <w:szCs w:val="20"/>
          <w:lang w:eastAsia="es-PE"/>
          <w14:ligatures w14:val="none"/>
        </w:rPr>
        <w:t xml:space="preserve"> a la parte agraviada con acreditar la titularidad de los bienes objeto de delito, esto en concordancia con el artículo 201° inciso 1° del Código Procesal Penal.  </w:t>
      </w:r>
    </w:p>
    <w:p w14:paraId="7D105E92"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Calibri" w:hAnsi="Tahoma" w:cs="Tahoma"/>
          <w:color w:val="000000"/>
          <w:sz w:val="20"/>
          <w:szCs w:val="20"/>
          <w:lang w:val="es-ES"/>
        </w:rPr>
      </w:pPr>
    </w:p>
    <w:p w14:paraId="780901EB"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eastAsia="Times New Roman" w:hAnsi="Tahoma" w:cs="Tahoma"/>
          <w:color w:val="000000"/>
          <w:kern w:val="0"/>
          <w:sz w:val="20"/>
          <w:szCs w:val="20"/>
          <w:lang w:eastAsia="es-PE"/>
          <w14:ligatures w14:val="none"/>
        </w:rPr>
        <w:t xml:space="preserve">Una vez recibida la declaración y carta de autorización escrita de la parte agraviada, </w:t>
      </w:r>
      <w:r w:rsidRPr="00E215A4">
        <w:rPr>
          <w:rFonts w:ascii="Tahoma" w:eastAsia="Times New Roman" w:hAnsi="Tahoma" w:cs="Tahoma"/>
          <w:b/>
          <w:bCs/>
          <w:color w:val="000000"/>
          <w:kern w:val="0"/>
          <w:sz w:val="20"/>
          <w:szCs w:val="20"/>
          <w:lang w:eastAsia="es-PE"/>
          <w14:ligatures w14:val="none"/>
        </w:rPr>
        <w:t>OFÍCIESE</w:t>
      </w:r>
      <w:r w:rsidRPr="00E215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kern w:val="0"/>
          <w:sz w:val="20"/>
          <w:szCs w:val="20"/>
          <w:lang w:eastAsia="es-PE"/>
          <w14:ligatures w14:val="none"/>
        </w:rPr>
        <w:t>al Banco de la cuenta afectada</w:t>
      </w:r>
      <w:r w:rsidRPr="00E215A4">
        <w:rPr>
          <w:rFonts w:ascii="Tahoma" w:eastAsia="Times New Roman" w:hAnsi="Tahoma" w:cs="Tahoma"/>
          <w:color w:val="000000"/>
          <w:kern w:val="0"/>
          <w:sz w:val="20"/>
          <w:szCs w:val="20"/>
          <w:lang w:eastAsia="es-PE"/>
          <w14:ligatures w14:val="none"/>
        </w:rPr>
        <w:t xml:space="preserve">, a efectos de que en calidad de </w:t>
      </w:r>
      <w:r w:rsidRPr="00E215A4">
        <w:rPr>
          <w:rFonts w:ascii="Tahoma" w:eastAsia="Times New Roman" w:hAnsi="Tahoma" w:cs="Tahoma"/>
          <w:b/>
          <w:color w:val="000000"/>
          <w:kern w:val="0"/>
          <w:sz w:val="20"/>
          <w:szCs w:val="20"/>
          <w:lang w:eastAsia="es-PE"/>
          <w14:ligatures w14:val="none"/>
        </w:rPr>
        <w:t>MUY URGENTE</w:t>
      </w:r>
      <w:r w:rsidRPr="00E215A4">
        <w:rPr>
          <w:rFonts w:ascii="Tahoma" w:eastAsia="Times New Roman" w:hAnsi="Tahoma" w:cs="Tahoma"/>
          <w:color w:val="000000"/>
          <w:kern w:val="0"/>
          <w:sz w:val="20"/>
          <w:szCs w:val="20"/>
          <w:lang w:eastAsia="es-PE"/>
          <w14:ligatures w14:val="none"/>
        </w:rPr>
        <w:t xml:space="preserve"> y a la brevedad posible informen de forma documentada y detallada, sobre las operaciones y/o transacciones no reconocidas por la denunciante, requiriéndose se precise a detalle lo siguiente:</w:t>
      </w:r>
    </w:p>
    <w:p w14:paraId="0C9B9062" w14:textId="77777777" w:rsidR="00E215A4" w:rsidRPr="00E215A4" w:rsidRDefault="00E215A4" w:rsidP="00E215A4">
      <w:pPr>
        <w:widowControl w:val="0"/>
        <w:suppressAutoHyphens/>
        <w:autoSpaceDN w:val="0"/>
        <w:spacing w:after="0" w:line="240" w:lineRule="auto"/>
        <w:jc w:val="both"/>
        <w:textAlignment w:val="baseline"/>
        <w:rPr>
          <w:rFonts w:ascii="Tahoma" w:eastAsia="Palatino Linotype" w:hAnsi="Tahoma" w:cs="Tahoma"/>
          <w:kern w:val="3"/>
          <w:sz w:val="20"/>
          <w:szCs w:val="20"/>
          <w:lang w:eastAsia="zh-CN" w:bidi="hi-IN"/>
          <w14:ligatures w14:val="none"/>
        </w:rPr>
      </w:pPr>
    </w:p>
    <w:p w14:paraId="46FEA46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a) El detalle de cada una de las operaciones que no reconoce el agraviado y que ha sido objeto de reclamo ante la entidad financiera.</w:t>
      </w:r>
    </w:p>
    <w:p w14:paraId="31F57149"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b) De ser el caso, el registro de dirección IP registrado, fecha, lugar y hora, minuto y segundo de las operaciones no reconocidas.</w:t>
      </w:r>
    </w:p>
    <w:p w14:paraId="3007D902"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c) La modalidad exacta de utilización o acceso a las cuentas bancarias (tienda virtual, aplicativo, compra presencial, POS en tienda u otro).</w:t>
      </w:r>
    </w:p>
    <w:p w14:paraId="381CF340"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d) Datos sobre el beneficiario de las transferencias no reconocidas.</w:t>
      </w:r>
    </w:p>
    <w:p w14:paraId="49ACA9B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e) El tipo de acceso, canales o modalidades (vía internet página web o aplicativo </w:t>
      </w:r>
      <w:r w:rsidRPr="00E215A4">
        <w:rPr>
          <w:rFonts w:ascii="Tahoma" w:eastAsia="Times New Roman" w:hAnsi="Tahoma" w:cs="Tahoma"/>
          <w:color w:val="000000"/>
          <w:kern w:val="0"/>
          <w:sz w:val="20"/>
          <w:szCs w:val="20"/>
          <w:lang w:eastAsia="es-PE"/>
          <w14:ligatures w14:val="none"/>
        </w:rPr>
        <w:lastRenderedPageBreak/>
        <w:t>telefónico) a la cuenta bancaria por medio del cual se habrían efectuado las transferencias no reconocidas.</w:t>
      </w:r>
    </w:p>
    <w:p w14:paraId="7FF734D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f) De haberse realizado las operaciones a través de la banca celular, debe informar el número y operador telefónico al que fue remitida la clave SMS, el IP de acceso y de ser posible el IMEI de la banca móvil.</w:t>
      </w:r>
    </w:p>
    <w:p w14:paraId="49B3A6ED" w14:textId="4481345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g) Informar los datos personales registrados de la parte agraviada; asimismo, indicar si en el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Pr="00E215A4">
        <w:rPr>
          <w:rFonts w:ascii="Tahoma" w:eastAsia="Times New Roman" w:hAnsi="Tahoma" w:cs="Tahoma"/>
          <w:color w:val="000000"/>
          <w:kern w:val="0"/>
          <w:sz w:val="20"/>
          <w:szCs w:val="20"/>
          <w:lang w:eastAsia="es-PE"/>
          <w14:ligatures w14:val="none"/>
        </w:rPr>
        <w:t xml:space="preserve"> 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anio_hecho</w:t>
      </w:r>
      <w:r w:rsidR="004C23A4" w:rsidRPr="004C23A4">
        <w:rPr>
          <w:rFonts w:ascii="Tahoma" w:eastAsia="Times New Roman" w:hAnsi="Tahoma" w:cs="Tahoma"/>
          <w:color w:val="000000"/>
          <w:kern w:val="0"/>
          <w:sz w:val="20"/>
          <w:szCs w:val="20"/>
          <w:lang w:eastAsia="es-PE"/>
          <w14:ligatures w14:val="none"/>
        </w:rPr>
        <w:t>&gt;&gt;</w:t>
      </w:r>
      <w:r w:rsidRPr="00E215A4">
        <w:rPr>
          <w:rFonts w:ascii="Tahoma" w:eastAsia="Times New Roman" w:hAnsi="Tahoma" w:cs="Tahoma"/>
          <w:color w:val="000000"/>
          <w:kern w:val="0"/>
          <w:sz w:val="20"/>
          <w:szCs w:val="20"/>
          <w:lang w:eastAsia="es-PE"/>
          <w14:ligatures w14:val="none"/>
        </w:rPr>
        <w:t>, los mismos han sido modificados o actualizados, debiendo remitir la vía realizada, el tipo de acceso, canal o modalidad (con indicación de la IP y la información brindada).</w:t>
      </w:r>
    </w:p>
    <w:p w14:paraId="0C17A532"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h) Informe si las cuentas afectadas se encuentran afiliadas a algún correo electrónico, celular, red social u otro que permita una notificación directa y en tiempo real de los consumos realizados.</w:t>
      </w:r>
    </w:p>
    <w:p w14:paraId="02293381" w14:textId="601AA58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i) Informe si existieron reportes de operaciones inusuales o sospechosas durante </w:t>
      </w:r>
      <w:r w:rsidRPr="00E215A4">
        <w:rPr>
          <w:rFonts w:ascii="Tahoma" w:eastAsia="Times New Roman" w:hAnsi="Tahoma" w:cs="Tahoma"/>
          <w:kern w:val="0"/>
          <w:sz w:val="20"/>
          <w:szCs w:val="20"/>
          <w:lang w:eastAsia="es-PE"/>
          <w14:ligatures w14:val="none"/>
        </w:rPr>
        <w:t xml:space="preserve">el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color w:val="000000"/>
          <w:kern w:val="0"/>
          <w:sz w:val="20"/>
          <w:szCs w:val="20"/>
          <w:lang w:eastAsia="es-PE"/>
          <w14:ligatures w14:val="none"/>
        </w:rPr>
        <w:t xml:space="preserve">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w:t>
      </w:r>
    </w:p>
    <w:p w14:paraId="01A98228" w14:textId="77028C3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j) El estado de cuenta correspondiente al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color w:val="000000"/>
          <w:kern w:val="0"/>
          <w:sz w:val="20"/>
          <w:szCs w:val="20"/>
          <w:lang w:eastAsia="es-PE"/>
          <w14:ligatures w14:val="none"/>
        </w:rPr>
        <w:t xml:space="preserve">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w:t>
      </w:r>
    </w:p>
    <w:p w14:paraId="5EF2E50A"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k) Y toda otra información necesaria para el esclarecimiento del hecho investigado y la identificación del lugar de transferencia, intervinientes o beneficiarios reales.</w:t>
      </w:r>
    </w:p>
    <w:p w14:paraId="27499D6D" w14:textId="77777777" w:rsidR="00E215A4" w:rsidRPr="00E215A4" w:rsidRDefault="00E215A4" w:rsidP="00E215A4">
      <w:pPr>
        <w:widowControl w:val="0"/>
        <w:suppressAutoHyphens/>
        <w:autoSpaceDN w:val="0"/>
        <w:spacing w:after="0" w:line="240" w:lineRule="auto"/>
        <w:ind w:left="284"/>
        <w:jc w:val="both"/>
        <w:textAlignment w:val="baseline"/>
        <w:rPr>
          <w:rFonts w:ascii="Tahoma" w:eastAsia="Palatino Linotype" w:hAnsi="Tahoma" w:cs="Tahoma"/>
          <w:kern w:val="3"/>
          <w:sz w:val="20"/>
          <w:szCs w:val="20"/>
          <w:lang w:eastAsia="zh-CN" w:bidi="hi-IN"/>
          <w14:ligatures w14:val="none"/>
        </w:rPr>
      </w:pPr>
    </w:p>
    <w:p w14:paraId="4E291B70"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b/>
          <w:bCs/>
          <w:kern w:val="3"/>
          <w:sz w:val="20"/>
          <w:szCs w:val="20"/>
          <w:lang w:eastAsia="zh-CN" w:bidi="hi-IN"/>
          <w14:ligatures w14:val="none"/>
        </w:rPr>
        <w:t>RECÁBESE</w:t>
      </w:r>
      <w:r w:rsidRPr="00E215A4">
        <w:rPr>
          <w:rFonts w:ascii="Tahoma" w:eastAsia="Palatino Linotype" w:hAnsi="Tahoma" w:cs="Tahoma"/>
          <w:kern w:val="3"/>
          <w:sz w:val="20"/>
          <w:szCs w:val="20"/>
          <w:lang w:eastAsia="zh-CN" w:bidi="hi-IN"/>
          <w14:ligatures w14:val="none"/>
        </w:rPr>
        <w:t xml:space="preserve"> la documentación requerida al Banco de la cuenta afectada, en relación a los consumos y transacciones bancarias no reconocidas.</w:t>
      </w:r>
    </w:p>
    <w:p w14:paraId="1A0E8469"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Palatino Linotype" w:hAnsi="Tahoma" w:cs="Tahoma"/>
          <w:kern w:val="3"/>
          <w:sz w:val="20"/>
          <w:szCs w:val="20"/>
          <w:lang w:eastAsia="zh-CN" w:bidi="hi-IN"/>
          <w14:ligatures w14:val="none"/>
        </w:rPr>
      </w:pPr>
    </w:p>
    <w:p w14:paraId="39FA7920"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Una vez recibida la declaración del denunciante y la información de la entidad financiera, </w:t>
      </w:r>
      <w:r w:rsidRPr="00E215A4">
        <w:rPr>
          <w:rFonts w:ascii="Tahoma" w:eastAsia="Times New Roman" w:hAnsi="Tahoma" w:cs="Tahoma"/>
          <w:b/>
          <w:bCs/>
          <w:color w:val="000000"/>
          <w:kern w:val="0"/>
          <w:sz w:val="20"/>
          <w:szCs w:val="20"/>
          <w:lang w:eastAsia="es-PE"/>
          <w14:ligatures w14:val="none"/>
        </w:rPr>
        <w:t xml:space="preserve">REQUIÉRASE </w:t>
      </w:r>
      <w:r w:rsidRPr="00E215A4">
        <w:rPr>
          <w:rFonts w:ascii="Tahoma" w:eastAsia="Times New Roman" w:hAnsi="Tahoma" w:cs="Tahoma"/>
          <w:color w:val="000000"/>
          <w:kern w:val="0"/>
          <w:sz w:val="20"/>
          <w:szCs w:val="20"/>
          <w:lang w:eastAsia="es-PE"/>
          <w14:ligatures w14:val="none"/>
        </w:rPr>
        <w:t>a los comercios/empresas donde se ha efectuado las compras/consumos no reconocidos, con la tarjeta de crédito/débito de la denunciante, donde se detalle:</w:t>
      </w:r>
    </w:p>
    <w:p w14:paraId="59059751" w14:textId="77777777" w:rsidR="00E215A4" w:rsidRPr="00E215A4" w:rsidRDefault="00E215A4" w:rsidP="00E215A4">
      <w:pPr>
        <w:widowControl w:val="0"/>
        <w:suppressAutoHyphens/>
        <w:autoSpaceDN w:val="0"/>
        <w:spacing w:after="0" w:line="240" w:lineRule="auto"/>
        <w:ind w:left="1080"/>
        <w:jc w:val="both"/>
        <w:textAlignment w:val="baseline"/>
        <w:rPr>
          <w:rFonts w:ascii="Tahoma" w:eastAsia="Palatino Linotype" w:hAnsi="Tahoma" w:cs="Tahoma"/>
          <w:kern w:val="3"/>
          <w:sz w:val="20"/>
          <w:szCs w:val="20"/>
          <w:lang w:eastAsia="zh-CN" w:bidi="hi-IN"/>
          <w14:ligatures w14:val="none"/>
        </w:rPr>
      </w:pPr>
    </w:p>
    <w:p w14:paraId="468ADE55"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a. La modalidad de compra (presencial, virtual u otro).</w:t>
      </w:r>
    </w:p>
    <w:p w14:paraId="58804FE6"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b. Los datos del usuario/cliente registrado, esto es, identificación (nombre, documento de identidad, otros) y ubicación (domicilio, correo, teléfono u otros).</w:t>
      </w:r>
    </w:p>
    <w:p w14:paraId="4D860F68"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c. De ser el caso, la información de contacto con el que se activó la cuenta (correo electrónico, número de celular, otros)</w:t>
      </w:r>
      <w:r w:rsidRPr="00E215A4">
        <w:rPr>
          <w:rFonts w:ascii="Tahoma" w:eastAsia="Palatino Linotype" w:hAnsi="Tahoma" w:cs="Tahoma"/>
          <w:kern w:val="3"/>
          <w:sz w:val="20"/>
          <w:szCs w:val="20"/>
          <w:lang w:eastAsia="zh-CN" w:bidi="hi-IN"/>
          <w14:ligatures w14:val="none"/>
        </w:rPr>
        <w:t>.</w:t>
      </w:r>
    </w:p>
    <w:p w14:paraId="2B09F55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d. El número de cuenta bancaria y el nombre de la entidad financiera que se haya registrado/afiliado.</w:t>
      </w:r>
    </w:p>
    <w:p w14:paraId="38165F1A"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e. Informe si se ha realizado un reembolso por la compra, de ser el caso, a qué número de cuenta se ha efectuado.</w:t>
      </w:r>
    </w:p>
    <w:p w14:paraId="4D4B476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f. La documentación emitida (comprobantes de pago, guías de remisión, otros).</w:t>
      </w:r>
    </w:p>
    <w:p w14:paraId="5BFE3365"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g. Los productos adquiridos.</w:t>
      </w:r>
    </w:p>
    <w:p w14:paraId="42069DC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h. Los datos de entrega del producto/ganancia (número de cuenta, lugar de entrega, teléfono de contacto, persona que recibió, documentos suscritos por la entrega y tomas fotográficas).</w:t>
      </w:r>
    </w:p>
    <w:p w14:paraId="12DEDCD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i. La identificación del personal que procesó y atendió dichas operaciones.</w:t>
      </w:r>
    </w:p>
    <w:p w14:paraId="0ACA006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j. El historial de compras del usuario/cliente en su empresa.</w:t>
      </w:r>
    </w:p>
    <w:p w14:paraId="027DB43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k. Toda la información que tenga en su poder y contribuya a la identificación de los beneficiarios.</w:t>
      </w:r>
    </w:p>
    <w:p w14:paraId="2B77DBE1" w14:textId="77777777" w:rsidR="00E215A4" w:rsidRPr="00E215A4" w:rsidRDefault="00E215A4" w:rsidP="00E215A4">
      <w:pPr>
        <w:widowControl w:val="0"/>
        <w:suppressAutoHyphens/>
        <w:autoSpaceDN w:val="0"/>
        <w:spacing w:after="0" w:line="240" w:lineRule="auto"/>
        <w:ind w:left="708"/>
        <w:textAlignment w:val="baseline"/>
        <w:rPr>
          <w:rFonts w:ascii="Tahoma" w:eastAsia="Palatino Linotype" w:hAnsi="Tahoma" w:cs="Tahoma"/>
          <w:kern w:val="3"/>
          <w:sz w:val="20"/>
          <w:szCs w:val="20"/>
          <w:lang w:eastAsia="zh-CN" w:bidi="hi-IN"/>
          <w14:ligatures w14:val="none"/>
        </w:rPr>
      </w:pPr>
    </w:p>
    <w:p w14:paraId="303B132B" w14:textId="46292A2B"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b/>
          <w:kern w:val="3"/>
          <w:sz w:val="20"/>
          <w:szCs w:val="20"/>
          <w:lang w:eastAsia="zh-CN" w:bidi="hi-IN"/>
          <w14:ligatures w14:val="none"/>
        </w:rPr>
      </w:pPr>
      <w:r w:rsidRPr="00E215A4">
        <w:rPr>
          <w:rFonts w:ascii="Tahoma" w:eastAsia="Palatino Linotype" w:hAnsi="Tahoma" w:cs="Tahoma"/>
          <w:bCs/>
          <w:kern w:val="3"/>
          <w:sz w:val="20"/>
          <w:szCs w:val="20"/>
          <w:lang w:eastAsia="zh-CN" w:bidi="hi-IN"/>
          <w14:ligatures w14:val="none"/>
        </w:rPr>
        <w:t>Recábese</w:t>
      </w:r>
      <w:r w:rsidRPr="00E215A4">
        <w:rPr>
          <w:rFonts w:ascii="Tahoma" w:eastAsia="Palatino Linotype" w:hAnsi="Tahoma" w:cs="Tahoma"/>
          <w:b/>
          <w:bCs/>
          <w:kern w:val="3"/>
          <w:sz w:val="20"/>
          <w:szCs w:val="20"/>
          <w:lang w:eastAsia="zh-CN" w:bidi="hi-IN"/>
          <w14:ligatures w14:val="none"/>
        </w:rPr>
        <w:t xml:space="preserve"> </w:t>
      </w:r>
      <w:r w:rsidRPr="00E215A4">
        <w:rPr>
          <w:rFonts w:ascii="Tahoma" w:eastAsia="Palatino Linotype" w:hAnsi="Tahoma" w:cs="Tahoma"/>
          <w:kern w:val="3"/>
          <w:sz w:val="20"/>
          <w:szCs w:val="20"/>
          <w:lang w:eastAsia="zh-CN" w:bidi="hi-IN"/>
          <w14:ligatures w14:val="none"/>
        </w:rPr>
        <w:t>la documentación proveniente de los establecimientos comerciales favorecidos con los consumos no autorizados efectuados desde la cuenta bancaria del agraviado</w:t>
      </w:r>
      <w:r>
        <w:rPr>
          <w:rFonts w:ascii="Tahoma" w:eastAsia="Arial Unicode MS" w:hAnsi="Tahoma" w:cs="Tahoma"/>
          <w:bCs/>
          <w:kern w:val="1"/>
          <w:sz w:val="20"/>
          <w:szCs w:val="20"/>
          <w:lang w:eastAsia="hi-IN" w:bidi="hi-IN"/>
          <w14:ligatures w14:val="none"/>
        </w:rPr>
        <w:t>.</w:t>
      </w:r>
    </w:p>
    <w:p w14:paraId="655B2D96"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Palatino Linotype" w:hAnsi="Tahoma" w:cs="Tahoma"/>
          <w:b/>
          <w:kern w:val="3"/>
          <w:sz w:val="20"/>
          <w:szCs w:val="20"/>
          <w:lang w:eastAsia="zh-CN" w:bidi="hi-IN"/>
          <w14:ligatures w14:val="none"/>
        </w:rPr>
      </w:pPr>
    </w:p>
    <w:p w14:paraId="75F0D2F1" w14:textId="32871DB3" w:rsidR="00E215A4" w:rsidRPr="00E215A4" w:rsidRDefault="002312A7"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14:ligatures w14:val="none"/>
        </w:rPr>
        <w:t>En caso de que</w:t>
      </w:r>
      <w:r w:rsidR="00E215A4" w:rsidRPr="00E215A4">
        <w:rPr>
          <w:rFonts w:ascii="Tahoma" w:eastAsia="Palatino Linotype" w:hAnsi="Tahoma" w:cs="Tahoma"/>
          <w:kern w:val="3"/>
          <w:sz w:val="20"/>
          <w:szCs w:val="20"/>
          <w:lang w:eastAsia="zh-CN" w:bidi="hi-IN"/>
          <w14:ligatures w14:val="none"/>
        </w:rPr>
        <w:t xml:space="preserve"> como resultado de la revisión de la información bancaria y del contenido </w:t>
      </w:r>
      <w:r w:rsidR="00E215A4" w:rsidRPr="00E215A4">
        <w:rPr>
          <w:rFonts w:ascii="Tahoma" w:eastAsia="Palatino Linotype" w:hAnsi="Tahoma" w:cs="Tahoma"/>
          <w:kern w:val="3"/>
          <w:sz w:val="20"/>
          <w:szCs w:val="20"/>
          <w:lang w:eastAsia="zh-CN" w:bidi="hi-IN"/>
          <w14:ligatures w14:val="none"/>
        </w:rPr>
        <w:lastRenderedPageBreak/>
        <w:t xml:space="preserve">de la declaración de la parte agraviada se genere la necesidad de solicitar el levantamiento del secreto bancario o del secreto de las comunicaciones, </w:t>
      </w:r>
      <w:r w:rsidR="00E215A4" w:rsidRPr="00E215A4">
        <w:rPr>
          <w:rFonts w:ascii="Tahoma" w:eastAsia="Palatino Linotype" w:hAnsi="Tahoma" w:cs="Tahoma"/>
          <w:b/>
          <w:bCs/>
          <w:kern w:val="3"/>
          <w:sz w:val="20"/>
          <w:szCs w:val="20"/>
          <w:lang w:eastAsia="zh-CN" w:bidi="hi-IN"/>
          <w14:ligatures w14:val="none"/>
        </w:rPr>
        <w:t>COMUNÍQUESE</w:t>
      </w:r>
      <w:r w:rsidR="00E215A4" w:rsidRPr="00E215A4">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32D966A1" w14:textId="77777777" w:rsidR="00E215A4" w:rsidRPr="00E215A4" w:rsidRDefault="00E215A4" w:rsidP="00E215A4">
      <w:pPr>
        <w:pStyle w:val="Prrafodelista"/>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p>
    <w:p w14:paraId="59430AB9"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14:ligatures w14:val="none"/>
        </w:rPr>
        <w:t xml:space="preserve">En caso de necesidad de medidas limitativas de derechos para una actuación policial, </w:t>
      </w:r>
      <w:r w:rsidRPr="00E215A4">
        <w:rPr>
          <w:rFonts w:ascii="Tahoma" w:eastAsia="Palatino Linotype" w:hAnsi="Tahoma" w:cs="Tahoma"/>
          <w:b/>
          <w:kern w:val="3"/>
          <w:sz w:val="20"/>
          <w:szCs w:val="20"/>
          <w:lang w:eastAsia="zh-CN" w:bidi="hi-IN"/>
          <w14:ligatures w14:val="none"/>
        </w:rPr>
        <w:t>COMUNÍQUESE</w:t>
      </w:r>
      <w:r w:rsidRPr="00E215A4">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7BFF4C0C" w14:textId="77777777" w:rsidR="00E215A4" w:rsidRPr="00E215A4" w:rsidRDefault="00E215A4" w:rsidP="00E215A4">
      <w:pPr>
        <w:pStyle w:val="Prrafodelista"/>
        <w:rPr>
          <w:rFonts w:ascii="Tahoma" w:eastAsia="Palatino Linotype" w:hAnsi="Tahoma" w:cs="Tahoma"/>
          <w:kern w:val="3"/>
          <w:sz w:val="20"/>
          <w:szCs w:val="20"/>
          <w:lang w:eastAsia="zh-CN" w:bidi="hi-IN"/>
        </w:rPr>
      </w:pPr>
    </w:p>
    <w:p w14:paraId="0C155755"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rPr>
        <w:t>Recibir la manifestación de los presuntos autores o partícipes de delitos, con presencia obligatoria del Abogado Defensor de su elección o del Defensor Público que corresponda, debiéndose registrar las declaraciones en dispositivos o equipos audiovisuales.</w:t>
      </w:r>
    </w:p>
    <w:p w14:paraId="29C40BCE" w14:textId="77777777" w:rsidR="00E215A4" w:rsidRPr="00E215A4" w:rsidRDefault="00E215A4" w:rsidP="00E215A4">
      <w:pPr>
        <w:pStyle w:val="Prrafodelista"/>
        <w:rPr>
          <w:rFonts w:ascii="Tahoma" w:eastAsia="SimSun" w:hAnsi="Tahoma" w:cs="Tahoma"/>
          <w:color w:val="000000"/>
          <w:kern w:val="3"/>
          <w:sz w:val="20"/>
          <w:szCs w:val="20"/>
          <w:lang w:eastAsia="zh-CN" w:bidi="hi-IN"/>
          <w14:ligatures w14:val="none"/>
        </w:rPr>
      </w:pPr>
    </w:p>
    <w:p w14:paraId="6105B2F4"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SimSun" w:hAnsi="Tahoma" w:cs="Tahoma"/>
          <w:color w:val="000000"/>
          <w:kern w:val="3"/>
          <w:sz w:val="20"/>
          <w:szCs w:val="20"/>
          <w:lang w:eastAsia="zh-CN" w:bidi="hi-IN"/>
          <w14:ligatures w14:val="none"/>
        </w:rPr>
      </w:pPr>
      <w:r w:rsidRPr="00E215A4">
        <w:rPr>
          <w:rFonts w:ascii="Tahoma" w:eastAsia="SimSun" w:hAnsi="Tahoma" w:cs="Tahoma"/>
          <w:color w:val="000000"/>
          <w:kern w:val="3"/>
          <w:sz w:val="20"/>
          <w:szCs w:val="20"/>
          <w:lang w:eastAsia="zh-CN" w:bidi="hi-IN"/>
          <w14:ligatures w14:val="none"/>
        </w:rPr>
        <w:t xml:space="preserve">Se efectúen las </w:t>
      </w:r>
      <w:r w:rsidRPr="00E215A4">
        <w:rPr>
          <w:rFonts w:ascii="Tahoma" w:eastAsia="Palatino Linotype" w:hAnsi="Tahoma" w:cs="Tahoma"/>
          <w:kern w:val="3"/>
          <w:sz w:val="20"/>
          <w:szCs w:val="20"/>
          <w:lang w:eastAsia="zh-CN" w:bidi="hi-IN"/>
        </w:rPr>
        <w:t>demás</w:t>
      </w:r>
      <w:r w:rsidRPr="00E215A4">
        <w:rPr>
          <w:rFonts w:ascii="Tahoma" w:eastAsia="SimSun" w:hAnsi="Tahoma" w:cs="Tahoma"/>
          <w:color w:val="000000"/>
          <w:kern w:val="3"/>
          <w:sz w:val="20"/>
          <w:szCs w:val="20"/>
          <w:lang w:eastAsia="zh-CN" w:bidi="hi-IN"/>
          <w14:ligatures w14:val="none"/>
        </w:rPr>
        <w:t xml:space="preserve"> diligencias necesarias que resulten del curso de la investigación, para el esclarecimiento de los hechos y la identificación de los presuntos autores.</w:t>
      </w:r>
    </w:p>
    <w:p w14:paraId="32AF21AB" w14:textId="77777777" w:rsidR="00E215A4" w:rsidRPr="00E215A4" w:rsidRDefault="00E215A4" w:rsidP="00E215A4">
      <w:pPr>
        <w:tabs>
          <w:tab w:val="left" w:pos="519"/>
        </w:tabs>
        <w:suppressAutoHyphens/>
        <w:autoSpaceDN w:val="0"/>
        <w:spacing w:after="0" w:line="240" w:lineRule="auto"/>
        <w:jc w:val="both"/>
        <w:rPr>
          <w:rFonts w:ascii="Tahoma" w:eastAsia="Times New Roman" w:hAnsi="Tahoma" w:cs="Tahoma"/>
          <w:b/>
          <w:bCs/>
          <w:color w:val="000000"/>
          <w:sz w:val="20"/>
          <w:szCs w:val="20"/>
          <w:lang w:val="es-ES" w:eastAsia="es-PE"/>
        </w:rPr>
      </w:pPr>
    </w:p>
    <w:p w14:paraId="03AB6D99" w14:textId="77777777"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eastAsia="Times New Roman" w:hAnsi="Tahoma" w:cs="Tahoma"/>
          <w:b/>
          <w:bCs/>
          <w:color w:val="000000"/>
          <w:sz w:val="20"/>
          <w:szCs w:val="20"/>
          <w:lang w:val="es-ES" w:eastAsia="es-PE"/>
        </w:rPr>
        <w:t>Quinto:</w:t>
      </w:r>
      <w:r w:rsidRPr="00E215A4">
        <w:rPr>
          <w:rFonts w:ascii="Tahoma" w:hAnsi="Tahoma" w:cs="Tahoma"/>
          <w:sz w:val="20"/>
          <w:szCs w:val="20"/>
        </w:rPr>
        <w:t xml:space="preserve"> </w:t>
      </w:r>
      <w:r w:rsidRPr="00E215A4">
        <w:rPr>
          <w:rFonts w:ascii="Tahoma" w:hAnsi="Tahoma" w:cs="Tahoma"/>
          <w:b/>
          <w:bCs/>
          <w:sz w:val="20"/>
          <w:szCs w:val="20"/>
        </w:rPr>
        <w:t>REQUERIR</w:t>
      </w:r>
      <w:r w:rsidRPr="00E215A4">
        <w:rPr>
          <w:rFonts w:ascii="Tahoma" w:hAnsi="Tahoma" w:cs="Tahoma"/>
          <w:sz w:val="20"/>
          <w:szCs w:val="20"/>
        </w:rPr>
        <w:t xml:space="preserve"> al personal policial </w:t>
      </w:r>
      <w:r w:rsidRPr="00E215A4">
        <w:rPr>
          <w:rFonts w:ascii="Tahoma" w:hAnsi="Tahoma" w:cs="Tahoma"/>
          <w:b/>
          <w:sz w:val="20"/>
          <w:szCs w:val="20"/>
        </w:rPr>
        <w:t>INSTRUCTOR</w:t>
      </w:r>
      <w:r w:rsidRPr="00E215A4">
        <w:rPr>
          <w:rFonts w:ascii="Tahoma" w:hAnsi="Tahoma" w:cs="Tahoma"/>
          <w:sz w:val="20"/>
          <w:szCs w:val="20"/>
        </w:rPr>
        <w:t xml:space="preserve"> a cargo del presente caso </w:t>
      </w:r>
      <w:r w:rsidRPr="00E215A4">
        <w:rPr>
          <w:rFonts w:ascii="Tahoma" w:hAnsi="Tahoma" w:cs="Tahoma"/>
          <w:b/>
          <w:bCs/>
          <w:sz w:val="20"/>
          <w:szCs w:val="20"/>
        </w:rPr>
        <w:t xml:space="preserve">cumpla con realizar válidamente las notificaciones </w:t>
      </w:r>
      <w:r w:rsidRPr="00E215A4">
        <w:rPr>
          <w:rFonts w:ascii="Tahoma" w:hAnsi="Tahoma" w:cs="Tahoma"/>
          <w:sz w:val="20"/>
          <w:szCs w:val="20"/>
        </w:rPr>
        <w:t>conforme a las normas del Código Procesal Penal</w:t>
      </w:r>
      <w:r w:rsidRPr="00E215A4">
        <w:rPr>
          <w:rStyle w:val="Refdenotaalpie"/>
          <w:rFonts w:ascii="Tahoma" w:eastAsia="Palatino Linotype" w:hAnsi="Tahoma" w:cs="Tahoma"/>
          <w:b/>
          <w:kern w:val="1"/>
          <w:sz w:val="20"/>
          <w:szCs w:val="20"/>
          <w:lang w:eastAsia="hi-IN" w:bidi="hi-IN"/>
          <w14:ligatures w14:val="none"/>
        </w:rPr>
        <w:footnoteReference w:id="5"/>
      </w:r>
      <w:r w:rsidRPr="00E215A4">
        <w:rPr>
          <w:rFonts w:ascii="Tahoma" w:hAnsi="Tahoma" w:cs="Tahoma"/>
          <w:sz w:val="20"/>
          <w:szCs w:val="20"/>
        </w:rPr>
        <w:t>, Texto Único Ordenado del Código Procesal Civil</w:t>
      </w:r>
      <w:r w:rsidRPr="00E215A4">
        <w:rPr>
          <w:rStyle w:val="Refdenotaalpie"/>
          <w:rFonts w:ascii="Tahoma" w:eastAsia="Palatino Linotype" w:hAnsi="Tahoma" w:cs="Tahoma"/>
          <w:b/>
          <w:kern w:val="1"/>
          <w:sz w:val="20"/>
          <w:szCs w:val="20"/>
          <w:lang w:eastAsia="hi-IN" w:bidi="hi-IN"/>
          <w14:ligatures w14:val="none"/>
        </w:rPr>
        <w:footnoteReference w:id="6"/>
      </w:r>
      <w:r w:rsidRPr="00E215A4">
        <w:rPr>
          <w:rFonts w:ascii="Tahoma" w:hAnsi="Tahoma" w:cs="Tahoma"/>
          <w:sz w:val="20"/>
          <w:szCs w:val="20"/>
        </w:rPr>
        <w:t xml:space="preserve"> y el Reglamento de Notificaciones, Citaciones y Comunicaciones entre Autoridades, antes referidos</w:t>
      </w:r>
      <w:r w:rsidRPr="00E215A4">
        <w:rPr>
          <w:rStyle w:val="Refdenotaalpie"/>
          <w:rFonts w:ascii="Tahoma" w:eastAsia="Palatino Linotype" w:hAnsi="Tahoma" w:cs="Tahoma"/>
          <w:b/>
          <w:kern w:val="1"/>
          <w:sz w:val="20"/>
          <w:szCs w:val="20"/>
          <w:lang w:eastAsia="hi-IN" w:bidi="hi-IN"/>
          <w14:ligatures w14:val="none"/>
        </w:rPr>
        <w:footnoteReference w:id="7"/>
      </w:r>
      <w:r w:rsidRPr="00E215A4">
        <w:rPr>
          <w:rFonts w:ascii="Tahoma" w:hAnsi="Tahoma" w:cs="Tahoma"/>
          <w:sz w:val="20"/>
          <w:szCs w:val="20"/>
        </w:rPr>
        <w:t>. En ese sentido, deberá considerar lo siguiente:</w:t>
      </w:r>
    </w:p>
    <w:p w14:paraId="62983D34" w14:textId="77777777" w:rsidR="00E215A4" w:rsidRPr="00E215A4" w:rsidRDefault="00E215A4" w:rsidP="00E215A4">
      <w:pPr>
        <w:tabs>
          <w:tab w:val="left" w:pos="519"/>
        </w:tabs>
        <w:suppressAutoHyphens/>
        <w:autoSpaceDN w:val="0"/>
        <w:spacing w:after="0" w:line="240" w:lineRule="auto"/>
        <w:jc w:val="both"/>
        <w:rPr>
          <w:rFonts w:ascii="Tahoma" w:eastAsia="MS UI Gothic" w:hAnsi="Tahoma" w:cs="Tahoma"/>
          <w:b/>
          <w:kern w:val="1"/>
          <w:sz w:val="20"/>
          <w:szCs w:val="20"/>
          <w:lang w:eastAsia="es-PE" w:bidi="hi-IN"/>
          <w14:ligatures w14:val="none"/>
        </w:rPr>
      </w:pPr>
    </w:p>
    <w:p w14:paraId="0570DDB1" w14:textId="77777777" w:rsidR="00E215A4" w:rsidRPr="00E215A4" w:rsidRDefault="00E215A4" w:rsidP="00E215A4">
      <w:pPr>
        <w:pStyle w:val="Standard"/>
        <w:widowControl/>
        <w:numPr>
          <w:ilvl w:val="0"/>
          <w:numId w:val="5"/>
        </w:numPr>
        <w:tabs>
          <w:tab w:val="left" w:pos="0"/>
        </w:tabs>
        <w:autoSpaceDN w:val="0"/>
        <w:ind w:left="851" w:hanging="284"/>
        <w:jc w:val="both"/>
        <w:textAlignment w:val="auto"/>
        <w:rPr>
          <w:rFonts w:ascii="Tahoma" w:eastAsia="MS UI Gothic" w:hAnsi="Tahoma" w:cs="Tahoma"/>
          <w:color w:val="000000"/>
          <w:sz w:val="20"/>
          <w:szCs w:val="20"/>
        </w:rPr>
      </w:pPr>
      <w:r w:rsidRPr="00E215A4">
        <w:rPr>
          <w:rFonts w:ascii="Tahoma" w:eastAsia="MS UI Gothic" w:hAnsi="Tahoma" w:cs="Tahoma"/>
          <w:color w:val="000000"/>
          <w:sz w:val="20"/>
          <w:szCs w:val="20"/>
        </w:rPr>
        <w:t xml:space="preserve">Realizar las notificaciones a los sujetos procesales y/o testigos al domicilio indicado en la denuncia, precisados durante la investigación (domicilio procesal) o en su defecto a la dirección declarada ante el Registro Nacional de Identificación y Estado Civil. </w:t>
      </w:r>
    </w:p>
    <w:p w14:paraId="55F5950F" w14:textId="77777777" w:rsidR="00E215A4" w:rsidRPr="00E215A4" w:rsidRDefault="00E215A4" w:rsidP="00E215A4">
      <w:pPr>
        <w:pStyle w:val="Standard"/>
        <w:tabs>
          <w:tab w:val="left" w:pos="0"/>
        </w:tabs>
        <w:ind w:left="851" w:hanging="284"/>
        <w:jc w:val="both"/>
        <w:textAlignment w:val="auto"/>
        <w:rPr>
          <w:rFonts w:ascii="Tahoma" w:eastAsia="MS UI Gothic" w:hAnsi="Tahoma" w:cs="Tahoma"/>
          <w:color w:val="000000"/>
          <w:sz w:val="20"/>
          <w:szCs w:val="20"/>
        </w:rPr>
      </w:pPr>
    </w:p>
    <w:p w14:paraId="49643E69" w14:textId="77777777" w:rsidR="00E215A4" w:rsidRPr="00E215A4" w:rsidRDefault="00E215A4" w:rsidP="00E215A4">
      <w:pPr>
        <w:pStyle w:val="Standard"/>
        <w:widowControl/>
        <w:numPr>
          <w:ilvl w:val="0"/>
          <w:numId w:val="5"/>
        </w:numPr>
        <w:tabs>
          <w:tab w:val="left" w:pos="0"/>
        </w:tabs>
        <w:autoSpaceDN w:val="0"/>
        <w:ind w:left="851" w:hanging="284"/>
        <w:jc w:val="both"/>
        <w:textAlignment w:val="auto"/>
        <w:rPr>
          <w:rFonts w:ascii="Tahoma" w:eastAsia="MS UI Gothic" w:hAnsi="Tahoma" w:cs="Tahoma"/>
          <w:b/>
          <w:color w:val="000000"/>
          <w:sz w:val="20"/>
          <w:szCs w:val="20"/>
        </w:rPr>
      </w:pPr>
      <w:r w:rsidRPr="00E215A4">
        <w:rPr>
          <w:rFonts w:ascii="Tahoma" w:eastAsia="MS UI Gothic" w:hAnsi="Tahoma" w:cs="Tahoma"/>
          <w:color w:val="000000"/>
          <w:sz w:val="20"/>
          <w:szCs w:val="20"/>
        </w:rPr>
        <w:t xml:space="preserve">Se precisa que puede realizar la notificación vía electrónica a través de correo electrónico y/o aplicativo de mensajería instantánea (WhatsApp y otros), </w:t>
      </w:r>
      <w:r w:rsidRPr="00E215A4">
        <w:rPr>
          <w:rFonts w:ascii="Tahoma" w:eastAsia="MS UI Gothic" w:hAnsi="Tahoma" w:cs="Tahoma"/>
          <w:b/>
          <w:color w:val="000000"/>
          <w:sz w:val="20"/>
          <w:szCs w:val="20"/>
        </w:rPr>
        <w:t>siempre que</w:t>
      </w:r>
      <w:r w:rsidRPr="00E215A4">
        <w:rPr>
          <w:rFonts w:ascii="Tahoma" w:eastAsia="MS UI Gothic" w:hAnsi="Tahoma" w:cs="Tahoma"/>
          <w:color w:val="000000"/>
          <w:sz w:val="20"/>
          <w:szCs w:val="20"/>
        </w:rPr>
        <w:t xml:space="preserve"> </w:t>
      </w:r>
      <w:r w:rsidRPr="00E215A4">
        <w:rPr>
          <w:rFonts w:ascii="Tahoma" w:eastAsia="MS UI Gothic" w:hAnsi="Tahoma" w:cs="Tahoma"/>
          <w:b/>
          <w:color w:val="000000"/>
          <w:sz w:val="20"/>
          <w:szCs w:val="20"/>
        </w:rPr>
        <w:t>exista una autorización expresa</w:t>
      </w:r>
      <w:r w:rsidRPr="00E215A4">
        <w:rPr>
          <w:rFonts w:ascii="Tahoma" w:eastAsia="MS UI Gothic" w:hAnsi="Tahoma" w:cs="Tahoma"/>
          <w:color w:val="000000"/>
          <w:sz w:val="20"/>
          <w:szCs w:val="20"/>
        </w:rPr>
        <w:t xml:space="preserve"> de aceptación a someterse voluntariamente a dicha forma de comunicación y notificación, </w:t>
      </w:r>
      <w:r w:rsidRPr="00E215A4">
        <w:rPr>
          <w:rFonts w:ascii="Tahoma" w:eastAsia="MS UI Gothic" w:hAnsi="Tahoma" w:cs="Tahoma"/>
          <w:b/>
          <w:bCs/>
          <w:i/>
          <w:iCs/>
          <w:color w:val="000000"/>
          <w:sz w:val="20"/>
          <w:szCs w:val="20"/>
        </w:rPr>
        <w:t xml:space="preserve">caso contrario dicho acto de notificación no se considerará válida </w:t>
      </w:r>
      <w:r w:rsidRPr="00E215A4">
        <w:rPr>
          <w:rFonts w:ascii="Tahoma" w:eastAsia="MS UI Gothic" w:hAnsi="Tahoma" w:cs="Tahoma"/>
          <w:b/>
          <w:color w:val="000000"/>
          <w:sz w:val="20"/>
          <w:szCs w:val="20"/>
        </w:rPr>
        <w:t>y se deberá citar a la parte agraviada en dos (2) fechas como mínimo.</w:t>
      </w:r>
    </w:p>
    <w:p w14:paraId="25BB1372" w14:textId="77777777" w:rsidR="00E215A4" w:rsidRPr="00E215A4" w:rsidRDefault="00E215A4" w:rsidP="00E215A4">
      <w:pPr>
        <w:tabs>
          <w:tab w:val="left" w:pos="519"/>
        </w:tabs>
        <w:suppressAutoHyphens/>
        <w:autoSpaceDN w:val="0"/>
        <w:spacing w:after="0" w:line="240" w:lineRule="auto"/>
        <w:jc w:val="both"/>
        <w:rPr>
          <w:rFonts w:ascii="Tahoma" w:eastAsia="MS UI Gothic" w:hAnsi="Tahoma" w:cs="Tahoma"/>
          <w:b/>
          <w:bCs/>
          <w:kern w:val="1"/>
          <w:sz w:val="20"/>
          <w:szCs w:val="20"/>
          <w:u w:val="single"/>
          <w14:ligatures w14:val="none"/>
        </w:rPr>
      </w:pPr>
    </w:p>
    <w:p w14:paraId="14E5B2F7" w14:textId="04FB2C42" w:rsidR="00E215A4" w:rsidRPr="00E215A4" w:rsidRDefault="00E215A4" w:rsidP="00E215A4">
      <w:pPr>
        <w:jc w:val="both"/>
        <w:rPr>
          <w:rFonts w:ascii="Tahoma" w:hAnsi="Tahoma" w:cs="Tahoma"/>
          <w:sz w:val="20"/>
          <w:szCs w:val="20"/>
        </w:rPr>
      </w:pPr>
      <w:r w:rsidRPr="00E215A4">
        <w:rPr>
          <w:rFonts w:ascii="Tahoma" w:eastAsia="MS UI Gothic" w:hAnsi="Tahoma" w:cs="Tahoma"/>
          <w:b/>
          <w:kern w:val="1"/>
          <w:sz w:val="20"/>
          <w:szCs w:val="20"/>
          <w:lang w:eastAsia="es-PE" w:bidi="hi-IN"/>
          <w14:ligatures w14:val="none"/>
        </w:rPr>
        <w:t>Sexto</w:t>
      </w:r>
      <w:r w:rsidRPr="00E215A4">
        <w:rPr>
          <w:rFonts w:ascii="Tahoma" w:eastAsia="MS UI Gothic" w:hAnsi="Tahoma" w:cs="Tahoma"/>
          <w:b/>
          <w:color w:val="000000"/>
          <w:kern w:val="1"/>
          <w:sz w:val="20"/>
          <w:szCs w:val="20"/>
          <w:lang w:eastAsia="es-PE" w:bidi="hi-IN"/>
          <w14:ligatures w14:val="none"/>
        </w:rPr>
        <w:t>: REQUERIR</w:t>
      </w:r>
      <w:r w:rsidRPr="00E215A4">
        <w:rPr>
          <w:rFonts w:ascii="Tahoma" w:hAnsi="Tahoma" w:cs="Tahoma"/>
          <w:color w:val="333333"/>
          <w:sz w:val="20"/>
          <w:szCs w:val="20"/>
          <w:shd w:val="clear" w:color="auto" w:fill="FFFFFF"/>
        </w:rPr>
        <w:t xml:space="preserve"> </w:t>
      </w:r>
      <w:r w:rsidRPr="00E215A4">
        <w:rPr>
          <w:rFonts w:ascii="Tahoma" w:eastAsia="MS UI Gothic" w:hAnsi="Tahoma" w:cs="Tahoma"/>
          <w:color w:val="000000"/>
          <w:kern w:val="1"/>
          <w:sz w:val="20"/>
          <w:szCs w:val="20"/>
          <w:lang w:eastAsia="es-PE" w:bidi="hi-IN"/>
          <w14:ligatures w14:val="none"/>
        </w:rPr>
        <w:t xml:space="preserve">que el </w:t>
      </w:r>
      <w:r w:rsidRPr="00E215A4">
        <w:rPr>
          <w:rFonts w:ascii="Tahoma" w:eastAsia="MS UI Gothic" w:hAnsi="Tahoma" w:cs="Tahoma"/>
          <w:b/>
          <w:color w:val="000000"/>
          <w:kern w:val="1"/>
          <w:sz w:val="20"/>
          <w:szCs w:val="20"/>
          <w:lang w:eastAsia="es-PE" w:bidi="hi-IN"/>
          <w14:ligatures w14:val="none"/>
        </w:rPr>
        <w:t>JEFE</w:t>
      </w:r>
      <w:r w:rsidRPr="00E215A4">
        <w:rPr>
          <w:rFonts w:ascii="Tahoma" w:eastAsia="MS UI Gothic" w:hAnsi="Tahoma" w:cs="Tahoma"/>
          <w:color w:val="000000"/>
          <w:kern w:val="1"/>
          <w:sz w:val="20"/>
          <w:szCs w:val="20"/>
          <w:lang w:eastAsia="es-PE" w:bidi="hi-IN"/>
          <w14:ligatures w14:val="none"/>
        </w:rPr>
        <w:t xml:space="preserve"> </w:t>
      </w:r>
      <w:r w:rsidR="00455D7D">
        <w:rPr>
          <w:rFonts w:ascii="Tahoma" w:eastAsia="MS UI Gothic" w:hAnsi="Tahoma" w:cs="Tahoma"/>
          <w:color w:val="000000"/>
          <w:kern w:val="1"/>
          <w:sz w:val="20"/>
          <w:szCs w:val="20"/>
          <w:lang w:eastAsia="es-PE" w:bidi="hi-IN"/>
          <w14:ligatures w14:val="none"/>
        </w:rPr>
        <w:t>del</w:t>
      </w:r>
      <w:r w:rsidR="00455D7D">
        <w:rPr>
          <w:rFonts w:ascii="Tahoma" w:hAnsi="Tahoma" w:cs="Tahoma"/>
          <w:color w:val="333333"/>
          <w:sz w:val="20"/>
          <w:szCs w:val="20"/>
          <w:shd w:val="clear" w:color="auto" w:fill="FFFFFF"/>
        </w:rPr>
        <w:t xml:space="preserve"> </w:t>
      </w:r>
      <w:r w:rsidR="00455D7D">
        <w:rPr>
          <w:rFonts w:ascii="Tahoma" w:eastAsia="Palatino Linotype" w:hAnsi="Tahoma" w:cs="Tahoma"/>
          <w:b/>
          <w:kern w:val="1"/>
          <w:sz w:val="20"/>
          <w:szCs w:val="20"/>
          <w:lang w:eastAsia="hi-IN" w:bidi="hi-IN"/>
          <w14:ligatures w14:val="none"/>
        </w:rPr>
        <w:t>DEPARTAMENTO DE INVESTIGACIÓN CRIMINAL – DEPINCRI ____________</w:t>
      </w:r>
      <w:r w:rsidRPr="00E215A4">
        <w:rPr>
          <w:rFonts w:ascii="Tahoma" w:eastAsia="Palatino Linotype" w:hAnsi="Tahoma" w:cs="Tahoma"/>
          <w:b/>
          <w:kern w:val="1"/>
          <w:sz w:val="20"/>
          <w:szCs w:val="20"/>
          <w:lang w:eastAsia="hi-IN" w:bidi="hi-IN"/>
          <w14:ligatures w14:val="none"/>
        </w:rPr>
        <w:t xml:space="preserve"> </w:t>
      </w:r>
      <w:r w:rsidRPr="00E215A4">
        <w:rPr>
          <w:rFonts w:ascii="Tahoma" w:eastAsia="MS UI Gothic" w:hAnsi="Tahoma" w:cs="Tahoma"/>
          <w:color w:val="000000"/>
          <w:kern w:val="1"/>
          <w:sz w:val="20"/>
          <w:szCs w:val="20"/>
          <w:lang w:eastAsia="es-PE" w:bidi="hi-IN"/>
          <w14:ligatures w14:val="none"/>
        </w:rPr>
        <w:t xml:space="preserve">deberá informar por escrito, en el plazo de 48 horas, el nombre, correo electrónico y el teléfono celular del Instructor PNP encargado de la investigación al correo: </w:t>
      </w:r>
      <w:r w:rsidR="002312A7">
        <w:t>&lt;&lt;correo_despacho&gt;&gt;</w:t>
      </w:r>
      <w:r w:rsidRPr="00E215A4">
        <w:rPr>
          <w:rFonts w:ascii="Tahoma" w:eastAsia="MS UI Gothic" w:hAnsi="Tahoma" w:cs="Tahoma"/>
          <w:color w:val="000000"/>
          <w:kern w:val="1"/>
          <w:sz w:val="20"/>
          <w:szCs w:val="20"/>
          <w:lang w:eastAsia="es-PE" w:bidi="hi-IN"/>
          <w14:ligatures w14:val="none"/>
        </w:rPr>
        <w:t>; y verificar: a) Que, el instructor haya notificado a los citados, con tres días hábiles de anticipación a la realización de la diligencia, de no existir sus direcciones domiciliarias adjunte el parte en el que conste tal hecho; b) Que el resultado de la investigación, se encuentre debidamente foliado en números y letras, cuya numeración debe continuar de manera ascendente, teniendo en cuenta el foliado de los actuados que se hayan remitido; c) Se adjunten los cargos de notificación y oficios debidamente diligenciados; e) Se evacue el resultado de la investigación, al vencimiento del plazo otorgado, bajo responsabilidad.</w:t>
      </w:r>
    </w:p>
    <w:p w14:paraId="4B0F6A32" w14:textId="5E59E304"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eastAsia="MS UI Gothic" w:hAnsi="Tahoma" w:cs="Tahoma"/>
          <w:b/>
          <w:bCs/>
          <w:kern w:val="1"/>
          <w:sz w:val="20"/>
          <w:szCs w:val="20"/>
          <w14:ligatures w14:val="none"/>
        </w:rPr>
        <w:t>Séptimo</w:t>
      </w:r>
      <w:r w:rsidRPr="00E215A4">
        <w:rPr>
          <w:rFonts w:ascii="Tahoma" w:eastAsia="MS UI Gothic" w:hAnsi="Tahoma" w:cs="Tahoma"/>
          <w:b/>
          <w:kern w:val="1"/>
          <w:sz w:val="20"/>
          <w:szCs w:val="20"/>
          <w:lang w:eastAsia="es-PE" w:bidi="hi-IN"/>
          <w14:ligatures w14:val="none"/>
        </w:rPr>
        <w:t xml:space="preserve">: </w:t>
      </w:r>
      <w:r w:rsidRPr="00E215A4">
        <w:rPr>
          <w:rFonts w:ascii="Tahoma" w:eastAsia="MS UI Gothic" w:hAnsi="Tahoma" w:cs="Tahoma"/>
          <w:b/>
          <w:sz w:val="20"/>
          <w:szCs w:val="20"/>
          <w:lang w:val="es-ES"/>
        </w:rPr>
        <w:t>PONER</w:t>
      </w:r>
      <w:r w:rsidRPr="00E215A4">
        <w:rPr>
          <w:rFonts w:ascii="Tahoma" w:eastAsia="MS UI Gothic" w:hAnsi="Tahoma" w:cs="Tahoma"/>
          <w:sz w:val="20"/>
          <w:szCs w:val="20"/>
          <w:lang w:val="es-ES"/>
        </w:rPr>
        <w:t xml:space="preserve"> en conocimiento de las partes el funcionamiento y habilitación de la </w:t>
      </w:r>
      <w:r w:rsidRPr="00E215A4">
        <w:rPr>
          <w:rFonts w:ascii="Tahoma" w:hAnsi="Tahoma" w:cs="Tahoma"/>
          <w:sz w:val="20"/>
          <w:szCs w:val="20"/>
        </w:rPr>
        <w:t xml:space="preserve">Mesa de Partes Electrónica-MPE, sistema solución web que permite a los ciudadanos presentar denuncias penales y/o documentos para casos fiscales en investigación, de manera virtual, debiéndose ingresar a través del siguiente enlace: </w:t>
      </w:r>
      <w:hyperlink r:id="rId7" w:history="1">
        <w:r w:rsidRPr="00E215A4">
          <w:rPr>
            <w:rStyle w:val="Hipervnculo"/>
            <w:rFonts w:ascii="Tahoma" w:hAnsi="Tahoma" w:cs="Tahoma"/>
            <w:sz w:val="20"/>
            <w:szCs w:val="20"/>
          </w:rPr>
          <w:t>https://cfe.mpfn.gob.pe/denuncias-electronicas/</w:t>
        </w:r>
      </w:hyperlink>
      <w:r w:rsidRPr="00E215A4">
        <w:rPr>
          <w:rFonts w:ascii="Tahoma" w:hAnsi="Tahoma" w:cs="Tahoma"/>
          <w:sz w:val="20"/>
          <w:szCs w:val="20"/>
        </w:rPr>
        <w:t xml:space="preserve">. Asimismo, se informa la existencia del correo oficial </w:t>
      </w:r>
      <w:r w:rsidR="002312A7" w:rsidRPr="002312A7">
        <w:rPr>
          <w:rFonts w:ascii="Tahoma" w:hAnsi="Tahoma" w:cs="Tahoma"/>
          <w:sz w:val="20"/>
          <w:szCs w:val="20"/>
          <w:shd w:val="clear" w:color="auto" w:fill="FFFFFF"/>
        </w:rPr>
        <w:t>&lt;&lt;correo</w:t>
      </w:r>
      <w:r w:rsidR="002312A7">
        <w:rPr>
          <w:rFonts w:ascii="Tahoma" w:hAnsi="Tahoma" w:cs="Tahoma"/>
          <w:sz w:val="20"/>
          <w:szCs w:val="20"/>
          <w:shd w:val="clear" w:color="auto" w:fill="FFFFFF"/>
        </w:rPr>
        <w:t>_despacho&gt;&gt;</w:t>
      </w:r>
      <w:r w:rsidRPr="00E215A4">
        <w:rPr>
          <w:rFonts w:ascii="Tahoma" w:eastAsia="MS UI Gothic" w:hAnsi="Tahoma" w:cs="Tahoma"/>
          <w:color w:val="000000"/>
          <w:sz w:val="20"/>
          <w:szCs w:val="20"/>
        </w:rPr>
        <w:t xml:space="preserve">, </w:t>
      </w:r>
      <w:r w:rsidRPr="00E215A4">
        <w:rPr>
          <w:rFonts w:ascii="Tahoma" w:hAnsi="Tahoma" w:cs="Tahoma"/>
          <w:sz w:val="20"/>
          <w:szCs w:val="20"/>
        </w:rPr>
        <w:t xml:space="preserve">teléfono: (01) 6255555 - Anexo </w:t>
      </w:r>
      <w:r w:rsidR="00455D7D">
        <w:rPr>
          <w:rFonts w:ascii="Tahoma" w:hAnsi="Tahoma" w:cs="Tahoma"/>
          <w:sz w:val="20"/>
          <w:szCs w:val="20"/>
        </w:rPr>
        <w:t>14237</w:t>
      </w:r>
      <w:r w:rsidRPr="00E215A4">
        <w:rPr>
          <w:rFonts w:ascii="Tahoma" w:hAnsi="Tahoma" w:cs="Tahoma"/>
          <w:sz w:val="20"/>
          <w:szCs w:val="20"/>
        </w:rPr>
        <w:t>.</w:t>
      </w:r>
    </w:p>
    <w:p w14:paraId="2969F069" w14:textId="77777777" w:rsidR="00E215A4" w:rsidRPr="00E215A4" w:rsidRDefault="00E215A4" w:rsidP="00E215A4">
      <w:pPr>
        <w:tabs>
          <w:tab w:val="left" w:pos="519"/>
        </w:tabs>
        <w:suppressAutoHyphens/>
        <w:autoSpaceDN w:val="0"/>
        <w:spacing w:after="0" w:line="240" w:lineRule="auto"/>
        <w:jc w:val="both"/>
        <w:rPr>
          <w:rFonts w:ascii="Tahoma" w:hAnsi="Tahoma" w:cs="Tahoma"/>
          <w:b/>
          <w:bCs/>
          <w:i/>
          <w:iCs/>
          <w:sz w:val="20"/>
          <w:szCs w:val="20"/>
        </w:rPr>
      </w:pPr>
    </w:p>
    <w:p w14:paraId="6038A35D" w14:textId="77777777"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hAnsi="Tahoma" w:cs="Tahoma"/>
          <w:b/>
          <w:bCs/>
          <w:i/>
          <w:iCs/>
          <w:sz w:val="20"/>
          <w:szCs w:val="20"/>
        </w:rPr>
        <w:t xml:space="preserve">Regístrese, ofíciese y notifíquese. </w:t>
      </w:r>
      <w:bookmarkEnd w:id="0"/>
      <w:bookmarkEnd w:id="7"/>
      <w:r w:rsidRPr="00E215A4">
        <w:rPr>
          <w:rFonts w:ascii="Tahoma" w:eastAsia="SimSun" w:hAnsi="Tahoma" w:cs="Tahoma"/>
          <w:kern w:val="3"/>
          <w:sz w:val="20"/>
          <w:szCs w:val="20"/>
          <w:lang w:val="es-ES" w:eastAsia="zh-CN" w:bidi="hi-IN"/>
          <w14:ligatures w14:val="none"/>
        </w:rPr>
        <w:t xml:space="preserve">  </w:t>
      </w:r>
      <w:bookmarkStart w:id="10" w:name="_Hlk211614442"/>
    </w:p>
    <w:bookmarkEnd w:id="10"/>
    <w:p w14:paraId="77E021F7" w14:textId="03EF5BAB" w:rsidR="00E215A4" w:rsidRPr="00E215A4" w:rsidRDefault="00455D7D" w:rsidP="00E215A4">
      <w:pPr>
        <w:jc w:val="both"/>
        <w:rPr>
          <w:rFonts w:ascii="Tahoma" w:hAnsi="Tahoma" w:cs="Tahoma"/>
          <w:sz w:val="20"/>
          <w:szCs w:val="20"/>
          <w:lang w:val="es-ES"/>
        </w:rPr>
      </w:pPr>
      <w:r>
        <w:rPr>
          <w:rFonts w:ascii="Tahoma" w:hAnsi="Tahoma" w:cs="Tahoma"/>
          <w:sz w:val="20"/>
          <w:szCs w:val="20"/>
          <w:lang w:val="es-ES"/>
        </w:rPr>
        <w:t>JLZT/JAAB</w:t>
      </w:r>
    </w:p>
    <w:p w14:paraId="45960D86" w14:textId="77777777" w:rsidR="00364069" w:rsidRPr="00E215A4" w:rsidRDefault="00364069">
      <w:pPr>
        <w:rPr>
          <w:rFonts w:ascii="Tahoma" w:hAnsi="Tahoma" w:cs="Tahoma"/>
          <w:sz w:val="20"/>
          <w:szCs w:val="20"/>
          <w:lang w:val="es-ES"/>
        </w:rPr>
      </w:pPr>
    </w:p>
    <w:sectPr w:rsidR="00364069" w:rsidRPr="00E215A4" w:rsidSect="00E215A4">
      <w:headerReference w:type="default" r:id="rId8"/>
      <w:footerReference w:type="default" r:id="rId9"/>
      <w:pgSz w:w="11906" w:h="16838" w:code="9"/>
      <w:pgMar w:top="3119"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996D" w14:textId="77777777" w:rsidR="00335365" w:rsidRDefault="00335365" w:rsidP="00E215A4">
      <w:pPr>
        <w:spacing w:after="0" w:line="240" w:lineRule="auto"/>
      </w:pPr>
      <w:r>
        <w:separator/>
      </w:r>
    </w:p>
  </w:endnote>
  <w:endnote w:type="continuationSeparator" w:id="0">
    <w:p w14:paraId="4E7B7105" w14:textId="77777777" w:rsidR="00335365" w:rsidRDefault="00335365" w:rsidP="00E2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1886" w14:textId="77777777" w:rsidR="00D40314" w:rsidRPr="0039568F" w:rsidRDefault="006A0A45">
    <w:pPr>
      <w:tabs>
        <w:tab w:val="center" w:pos="4550"/>
        <w:tab w:val="left" w:pos="5818"/>
      </w:tabs>
      <w:ind w:right="260"/>
      <w:jc w:val="right"/>
      <w:rPr>
        <w:color w:val="222A35" w:themeColor="text2" w:themeShade="80"/>
        <w:sz w:val="18"/>
        <w:szCs w:val="18"/>
      </w:rPr>
    </w:pPr>
    <w:r w:rsidRPr="0039568F">
      <w:rPr>
        <w:color w:val="8496B0" w:themeColor="text2" w:themeTint="99"/>
        <w:spacing w:val="60"/>
        <w:sz w:val="18"/>
        <w:szCs w:val="18"/>
        <w:lang w:val="es-ES"/>
      </w:rPr>
      <w:t>Página</w:t>
    </w:r>
    <w:r w:rsidRPr="0039568F">
      <w:rPr>
        <w:color w:val="8496B0" w:themeColor="text2" w:themeTint="99"/>
        <w:sz w:val="18"/>
        <w:szCs w:val="18"/>
        <w:lang w:val="es-ES"/>
      </w:rPr>
      <w:t xml:space="preserve"> </w:t>
    </w:r>
    <w:r w:rsidRPr="0039568F">
      <w:rPr>
        <w:color w:val="323E4F" w:themeColor="text2" w:themeShade="BF"/>
        <w:sz w:val="18"/>
        <w:szCs w:val="18"/>
      </w:rPr>
      <w:fldChar w:fldCharType="begin"/>
    </w:r>
    <w:r w:rsidRPr="0039568F">
      <w:rPr>
        <w:color w:val="323E4F" w:themeColor="text2" w:themeShade="BF"/>
        <w:sz w:val="18"/>
        <w:szCs w:val="18"/>
      </w:rPr>
      <w:instrText>PAGE   \* MERGEFORMAT</w:instrText>
    </w:r>
    <w:r w:rsidRPr="0039568F">
      <w:rPr>
        <w:color w:val="323E4F" w:themeColor="text2" w:themeShade="BF"/>
        <w:sz w:val="18"/>
        <w:szCs w:val="18"/>
      </w:rPr>
      <w:fldChar w:fldCharType="separate"/>
    </w:r>
    <w:r w:rsidRPr="0039568F">
      <w:rPr>
        <w:color w:val="323E4F" w:themeColor="text2" w:themeShade="BF"/>
        <w:sz w:val="18"/>
        <w:szCs w:val="18"/>
        <w:lang w:val="es-ES"/>
      </w:rPr>
      <w:t>1</w:t>
    </w:r>
    <w:r w:rsidRPr="0039568F">
      <w:rPr>
        <w:color w:val="323E4F" w:themeColor="text2" w:themeShade="BF"/>
        <w:sz w:val="18"/>
        <w:szCs w:val="18"/>
      </w:rPr>
      <w:fldChar w:fldCharType="end"/>
    </w:r>
    <w:r w:rsidRPr="0039568F">
      <w:rPr>
        <w:color w:val="323E4F" w:themeColor="text2" w:themeShade="BF"/>
        <w:sz w:val="18"/>
        <w:szCs w:val="18"/>
        <w:lang w:val="es-ES"/>
      </w:rPr>
      <w:t xml:space="preserve"> | </w:t>
    </w:r>
    <w:r w:rsidRPr="0039568F">
      <w:rPr>
        <w:color w:val="323E4F" w:themeColor="text2" w:themeShade="BF"/>
        <w:sz w:val="18"/>
        <w:szCs w:val="18"/>
      </w:rPr>
      <w:fldChar w:fldCharType="begin"/>
    </w:r>
    <w:r w:rsidRPr="0039568F">
      <w:rPr>
        <w:color w:val="323E4F" w:themeColor="text2" w:themeShade="BF"/>
        <w:sz w:val="18"/>
        <w:szCs w:val="18"/>
      </w:rPr>
      <w:instrText>NUMPAGES  \* Arabic  \* MERGEFORMAT</w:instrText>
    </w:r>
    <w:r w:rsidRPr="0039568F">
      <w:rPr>
        <w:color w:val="323E4F" w:themeColor="text2" w:themeShade="BF"/>
        <w:sz w:val="18"/>
        <w:szCs w:val="18"/>
      </w:rPr>
      <w:fldChar w:fldCharType="separate"/>
    </w:r>
    <w:r w:rsidRPr="0039568F">
      <w:rPr>
        <w:color w:val="323E4F" w:themeColor="text2" w:themeShade="BF"/>
        <w:sz w:val="18"/>
        <w:szCs w:val="18"/>
        <w:lang w:val="es-ES"/>
      </w:rPr>
      <w:t>1</w:t>
    </w:r>
    <w:r w:rsidRPr="0039568F">
      <w:rPr>
        <w:color w:val="323E4F" w:themeColor="text2" w:themeShade="BF"/>
        <w:sz w:val="18"/>
        <w:szCs w:val="18"/>
      </w:rPr>
      <w:fldChar w:fldCharType="end"/>
    </w:r>
  </w:p>
  <w:p w14:paraId="7C3BA7A4" w14:textId="77777777" w:rsidR="00D40314" w:rsidRPr="007A29B2" w:rsidRDefault="00D40314" w:rsidP="00E50938">
    <w:pPr>
      <w:pStyle w:val="Piedepgina"/>
      <w:tabs>
        <w:tab w:val="clear" w:pos="8504"/>
        <w:tab w:val="right" w:pos="7938"/>
      </w:tabs>
      <w:ind w:right="-1"/>
      <w:jc w:val="right"/>
      <w:rPr>
        <w:rFonts w:ascii="Arial Narrow" w:hAnsi="Arial Narrow"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A1DF1" w14:textId="77777777" w:rsidR="00335365" w:rsidRDefault="00335365" w:rsidP="00E215A4">
      <w:pPr>
        <w:spacing w:after="0" w:line="240" w:lineRule="auto"/>
      </w:pPr>
      <w:r>
        <w:separator/>
      </w:r>
    </w:p>
  </w:footnote>
  <w:footnote w:type="continuationSeparator" w:id="0">
    <w:p w14:paraId="07F37975" w14:textId="77777777" w:rsidR="00335365" w:rsidRDefault="00335365" w:rsidP="00E215A4">
      <w:pPr>
        <w:spacing w:after="0" w:line="240" w:lineRule="auto"/>
      </w:pPr>
      <w:r>
        <w:continuationSeparator/>
      </w:r>
    </w:p>
  </w:footnote>
  <w:footnote w:id="1">
    <w:p w14:paraId="6C83F23F" w14:textId="77777777" w:rsidR="00E215A4" w:rsidRDefault="00E215A4" w:rsidP="00E215A4">
      <w:pPr>
        <w:pStyle w:val="Textonotapie"/>
        <w:jc w:val="both"/>
      </w:pPr>
      <w:r>
        <w:rPr>
          <w:rStyle w:val="Refdenotaalpie"/>
        </w:rPr>
        <w:footnoteRef/>
      </w:r>
      <w:r>
        <w:t xml:space="preserve"> </w:t>
      </w:r>
      <w:r w:rsidRPr="00731AD2">
        <w:rPr>
          <w:rFonts w:ascii="Tahoma" w:hAnsi="Tahoma" w:cs="Tahoma"/>
          <w:sz w:val="16"/>
          <w:szCs w:val="16"/>
        </w:rPr>
        <w:t>STC</w:t>
      </w:r>
      <w:r>
        <w:rPr>
          <w:rFonts w:ascii="Tahoma" w:hAnsi="Tahoma" w:cs="Tahoma"/>
          <w:sz w:val="16"/>
          <w:szCs w:val="16"/>
        </w:rPr>
        <w:t xml:space="preserve">. </w:t>
      </w:r>
      <w:r w:rsidRPr="00731AD2">
        <w:rPr>
          <w:rFonts w:ascii="Tahoma" w:hAnsi="Tahoma" w:cs="Tahoma"/>
          <w:sz w:val="16"/>
          <w:szCs w:val="16"/>
        </w:rPr>
        <w:t>Exp. N° 00031-2009-PHC/TC-Ayacucho, del 18/06/2009, caso Jorge Luis Arellano Alania</w:t>
      </w:r>
      <w:r>
        <w:rPr>
          <w:rFonts w:ascii="Tahoma" w:hAnsi="Tahoma" w:cs="Tahoma"/>
          <w:sz w:val="16"/>
          <w:szCs w:val="16"/>
        </w:rPr>
        <w:t xml:space="preserve">, </w:t>
      </w:r>
      <w:r w:rsidRPr="00731AD2">
        <w:rPr>
          <w:rFonts w:ascii="Tahoma" w:hAnsi="Tahoma" w:cs="Tahoma"/>
          <w:i/>
          <w:iCs/>
          <w:sz w:val="16"/>
          <w:szCs w:val="16"/>
        </w:rPr>
        <w:t>“[…]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r w:rsidRPr="00731AD2">
        <w:rPr>
          <w:rFonts w:ascii="Tahoma" w:hAnsi="Tahoma" w:cs="Tahoma"/>
          <w:sz w:val="16"/>
          <w:szCs w:val="16"/>
        </w:rPr>
        <w:t>” (fund. Jur. Décimo primero).</w:t>
      </w:r>
    </w:p>
  </w:footnote>
  <w:footnote w:id="2">
    <w:p w14:paraId="1CF13BEC" w14:textId="77777777" w:rsidR="00E215A4" w:rsidRPr="00A97796" w:rsidRDefault="00E215A4" w:rsidP="00E215A4">
      <w:pPr>
        <w:pStyle w:val="Textonotapie"/>
        <w:jc w:val="both"/>
        <w:rPr>
          <w:rFonts w:ascii="Tahoma" w:hAnsi="Tahoma" w:cs="Tahoma"/>
          <w:sz w:val="16"/>
          <w:szCs w:val="16"/>
        </w:rPr>
      </w:pPr>
      <w:r>
        <w:rPr>
          <w:rStyle w:val="Refdenotaalpie"/>
        </w:rPr>
        <w:footnoteRef/>
      </w:r>
      <w:r>
        <w:t xml:space="preserve"> </w:t>
      </w:r>
      <w:bookmarkStart w:id="8" w:name="_Hlk210928086"/>
      <w:r w:rsidRPr="00A97796">
        <w:rPr>
          <w:rFonts w:ascii="Tahoma" w:hAnsi="Tahoma" w:cs="Tahoma"/>
          <w:sz w:val="16"/>
          <w:szCs w:val="16"/>
        </w:rPr>
        <w:t xml:space="preserve">La Corte Suprema de Justicia, a través de la Sentencia Plenaria Casatoria N° 01-2017/CIJ-433, del 11/10/2017, estableció que: </w:t>
      </w:r>
      <w:r w:rsidRPr="00A97796">
        <w:rPr>
          <w:rFonts w:ascii="Tahoma" w:hAnsi="Tahoma" w:cs="Tahoma"/>
          <w:i/>
          <w:iCs/>
          <w:sz w:val="16"/>
          <w:szCs w:val="16"/>
        </w:rPr>
        <w:t>“Para iniciar diligencias preliminares solo se exige elementos de convicción que sostengan una ‘sospecha inicial simple’ […]”</w:t>
      </w:r>
      <w:r w:rsidRPr="00A97796">
        <w:rPr>
          <w:rFonts w:ascii="Tahoma" w:hAnsi="Tahoma" w:cs="Tahoma"/>
          <w:sz w:val="16"/>
          <w:szCs w:val="16"/>
        </w:rPr>
        <w:t xml:space="preserve">, precisándose en la misma sentencia plenaria: </w:t>
      </w:r>
      <w:r w:rsidRPr="00A97796">
        <w:rPr>
          <w:rFonts w:ascii="Tahoma" w:hAnsi="Tahoma" w:cs="Tahoma"/>
          <w:i/>
          <w:iCs/>
          <w:sz w:val="16"/>
          <w:szCs w:val="16"/>
        </w:rPr>
        <w:t>“</w:t>
      </w:r>
      <w:r w:rsidRPr="00A97796">
        <w:rPr>
          <w:rFonts w:ascii="Tahoma" w:hAnsi="Tahoma" w:cs="Tahoma"/>
          <w:b/>
          <w:bCs/>
          <w:i/>
          <w:iCs/>
          <w:sz w:val="16"/>
          <w:szCs w:val="16"/>
        </w:rPr>
        <w:t>La sospecha inicial simple</w:t>
      </w:r>
      <w:r w:rsidRPr="00A97796">
        <w:rPr>
          <w:rFonts w:ascii="Tahoma" w:hAnsi="Tahoma" w:cs="Tahoma"/>
          <w:i/>
          <w:iCs/>
          <w:sz w:val="16"/>
          <w:szCs w:val="16"/>
        </w:rPr>
        <w:t xml:space="preserve"> – el grado menos intensivo de la sospecha – requiere, por parte del Fiscal, </w:t>
      </w:r>
      <w:r w:rsidRPr="00A97796">
        <w:rPr>
          <w:rFonts w:ascii="Tahoma" w:hAnsi="Tahoma" w:cs="Tahoma"/>
          <w:b/>
          <w:bCs/>
          <w:i/>
          <w:iCs/>
          <w:sz w:val="16"/>
          <w:szCs w:val="16"/>
        </w:rPr>
        <w:t>puntos de partida objetivos, es decir, un apoyo, justificado por hechos concretos</w:t>
      </w:r>
      <w:r w:rsidRPr="00A97796">
        <w:rPr>
          <w:rFonts w:ascii="Tahoma" w:hAnsi="Tahoma" w:cs="Tahoma"/>
          <w:i/>
          <w:iCs/>
          <w:sz w:val="16"/>
          <w:szCs w:val="16"/>
        </w:rPr>
        <w:t xml:space="preserve"> – solo con cierto nivel de delimitación – y basado en la experiencia criminalística, de que se ha cometido un hecho punible perseguible que puede ser constitutivo de delito […] [Cfr.: Claus Roxin, Obra citada, p.329]. Se requiere de indicios procedimentales o fácticos relativos – aunque con cierto nivel de delimitación-, sin los cuales no puede fundarse sospecha alguna – esto último, por cierto, no es lo mismo que prueba indiciaria o por indicios […]”. </w:t>
      </w:r>
      <w:r w:rsidRPr="00A97796">
        <w:rPr>
          <w:rFonts w:ascii="Tahoma" w:hAnsi="Tahoma" w:cs="Tahoma"/>
          <w:sz w:val="16"/>
          <w:szCs w:val="16"/>
        </w:rPr>
        <w:t>(fund. Jur. 24° literal A)</w:t>
      </w:r>
      <w:bookmarkEnd w:id="8"/>
    </w:p>
  </w:footnote>
  <w:footnote w:id="3">
    <w:p w14:paraId="6D9488E6" w14:textId="77777777" w:rsidR="00E215A4" w:rsidRPr="003855F7" w:rsidRDefault="00E215A4" w:rsidP="00E215A4">
      <w:pPr>
        <w:pStyle w:val="Textonotapie"/>
        <w:rPr>
          <w:rFonts w:ascii="Arial" w:hAnsi="Arial" w:cs="Arial"/>
          <w:sz w:val="14"/>
        </w:rPr>
      </w:pPr>
      <w:r w:rsidRPr="003855F7">
        <w:rPr>
          <w:rStyle w:val="Refdenotaalpie"/>
          <w:rFonts w:ascii="Arial" w:hAnsi="Arial" w:cs="Arial"/>
          <w:sz w:val="14"/>
        </w:rPr>
        <w:footnoteRef/>
      </w:r>
      <w:r w:rsidRPr="003855F7">
        <w:rPr>
          <w:rFonts w:ascii="Arial" w:hAnsi="Arial" w:cs="Arial"/>
          <w:sz w:val="14"/>
        </w:rPr>
        <w:t xml:space="preserve"> Conforme al artículo 67 del Código Procesal Penal.  Función de investigación de la Policía Nacional</w:t>
      </w:r>
    </w:p>
  </w:footnote>
  <w:footnote w:id="4">
    <w:p w14:paraId="7654DA49" w14:textId="77777777" w:rsidR="00E215A4" w:rsidRDefault="00E215A4" w:rsidP="00E215A4">
      <w:pPr>
        <w:pStyle w:val="Textonotapie"/>
      </w:pPr>
      <w:r w:rsidRPr="003855F7">
        <w:rPr>
          <w:rStyle w:val="Refdenotaalpie"/>
          <w:rFonts w:ascii="Arial" w:hAnsi="Arial" w:cs="Arial"/>
          <w:sz w:val="14"/>
        </w:rPr>
        <w:footnoteRef/>
      </w:r>
      <w:r w:rsidRPr="003855F7">
        <w:rPr>
          <w:rFonts w:ascii="Arial" w:hAnsi="Arial" w:cs="Arial"/>
          <w:sz w:val="14"/>
        </w:rPr>
        <w:t xml:space="preserve"> </w:t>
      </w:r>
      <w:hyperlink r:id="rId1" w:history="1">
        <w:r w:rsidRPr="00E83570">
          <w:rPr>
            <w:rStyle w:val="Hipervnculo"/>
            <w:rFonts w:ascii="Arial" w:hAnsi="Arial" w:cs="Arial"/>
            <w:sz w:val="14"/>
          </w:rPr>
          <w:t>https://www.mpfn.gob.pe/Docs/0/files/manual_evidencia_digital.pdf</w:t>
        </w:r>
      </w:hyperlink>
      <w:r>
        <w:rPr>
          <w:rFonts w:ascii="Arial" w:hAnsi="Arial" w:cs="Arial"/>
          <w:sz w:val="14"/>
        </w:rPr>
        <w:t xml:space="preserve"> </w:t>
      </w:r>
    </w:p>
  </w:footnote>
  <w:footnote w:id="5">
    <w:p w14:paraId="304710BE"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Código Procesal Penal</w:t>
      </w:r>
    </w:p>
    <w:p w14:paraId="315A03FE" w14:textId="77777777" w:rsidR="00E215A4" w:rsidRPr="003443B2" w:rsidRDefault="00E215A4" w:rsidP="00E215A4">
      <w:pPr>
        <w:pStyle w:val="Textonotapie"/>
        <w:jc w:val="both"/>
        <w:rPr>
          <w:rFonts w:ascii="Tahoma" w:hAnsi="Tahoma" w:cs="Tahoma"/>
          <w:sz w:val="14"/>
          <w:szCs w:val="14"/>
        </w:rPr>
      </w:pPr>
      <w:r w:rsidRPr="003443B2">
        <w:rPr>
          <w:rFonts w:ascii="Tahoma" w:hAnsi="Tahoma" w:cs="Tahoma"/>
          <w:sz w:val="14"/>
          <w:szCs w:val="14"/>
        </w:rPr>
        <w:t>Artículo 127 - Notificaciones.- 1. Las disposiciones y las resoluciones deben ser notificadas a los sujetos procesales, por medio físico o electrónico (…). “6. Rige, en lo pertinente, lo dispuesto en el Código Procesal Civil, con las precisiones establecidas en los reglamentos respectivos que dictarán la Fiscalía de la Nación y el Consejo Ejecutivo del Poder Judicial, en el ámbito que les corresponda, sin contravenir las disposiciones vigentes”.</w:t>
      </w:r>
    </w:p>
  </w:footnote>
  <w:footnote w:id="6">
    <w:p w14:paraId="6557FF3D"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Texto Único Ordenado del Código Procesal Civil</w:t>
      </w:r>
    </w:p>
    <w:p w14:paraId="7BE7AA70" w14:textId="77777777" w:rsidR="00E215A4" w:rsidRPr="003443B2" w:rsidRDefault="00E215A4" w:rsidP="00E215A4">
      <w:pPr>
        <w:pStyle w:val="Textonotapie"/>
        <w:jc w:val="both"/>
        <w:rPr>
          <w:rFonts w:ascii="Tahoma" w:hAnsi="Tahoma" w:cs="Tahoma"/>
          <w:sz w:val="14"/>
          <w:szCs w:val="14"/>
        </w:rPr>
      </w:pPr>
      <w:r w:rsidRPr="003443B2">
        <w:rPr>
          <w:rFonts w:ascii="Tahoma" w:hAnsi="Tahoma" w:cs="Tahoma"/>
          <w:sz w:val="14"/>
          <w:szCs w:val="14"/>
        </w:rPr>
        <w:t>Artículo 163.- Notificación por telegrama o facsímil, correo electrónico u otro medio.- En los casos del artículo 157, salvo el traslado de la demanda o de la reconvención, citación para absolver posiciones y la sentencia, las otras resoluciones pueden, a pedido de parte, ser notificadas, además, por telegrama, facsímil, correo electrónico u otro medio idóneo, siempre que los mismos permitan confirmar su recepción. La notificación por correo electrónico sólo se realizará para la parte que lo haya solicitado”.</w:t>
      </w:r>
    </w:p>
    <w:p w14:paraId="01827E62" w14:textId="77777777" w:rsidR="00E215A4" w:rsidRPr="003443B2" w:rsidRDefault="00E215A4" w:rsidP="00E215A4">
      <w:pPr>
        <w:pStyle w:val="Textonotapie"/>
        <w:jc w:val="both"/>
        <w:rPr>
          <w:rFonts w:ascii="Tahoma" w:hAnsi="Tahoma" w:cs="Tahoma"/>
          <w:sz w:val="14"/>
          <w:szCs w:val="14"/>
        </w:rPr>
      </w:pPr>
    </w:p>
  </w:footnote>
  <w:footnote w:id="7">
    <w:p w14:paraId="0637141A"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Reglamento de Notificaciones, Citaciones y Comunicaciones entre Autoridades</w:t>
      </w:r>
    </w:p>
    <w:p w14:paraId="0A0ADA27" w14:textId="77777777" w:rsidR="00E215A4" w:rsidRPr="00336E60" w:rsidRDefault="00E215A4" w:rsidP="00E215A4">
      <w:pPr>
        <w:pStyle w:val="Textonotapie"/>
        <w:jc w:val="both"/>
        <w:rPr>
          <w:rFonts w:ascii="Arial" w:hAnsi="Arial" w:cs="Arial"/>
        </w:rPr>
      </w:pPr>
      <w:r w:rsidRPr="003443B2">
        <w:rPr>
          <w:rFonts w:ascii="Tahoma" w:hAnsi="Tahoma" w:cs="Tahoma"/>
          <w:sz w:val="14"/>
          <w:szCs w:val="14"/>
        </w:rPr>
        <w:t xml:space="preserve">“La notificación electrónica es una forma alternativa a la notificación por cédula y comprende a todas aquellas notificaciones emitidas empleando algún componente electrónico tecnológico (casilla electrónica, correo electrónico y aplicaciones de mensajería instantánea), los cuales posibilitan la entrega de los documentos electrónicos y/o digitalizados, siempre que permitan confirmar la recepción, integridad, fecha y hora en que se produce. </w:t>
      </w:r>
      <w:r w:rsidRPr="003443B2">
        <w:rPr>
          <w:rFonts w:ascii="Tahoma" w:hAnsi="Tahoma" w:cs="Tahoma"/>
          <w:b/>
          <w:sz w:val="14"/>
          <w:szCs w:val="14"/>
        </w:rPr>
        <w:t>Los destinatarios son notificados electrónicamente, siempre y cuando expresen su consentimiento o aceptación para someterse voluntariamente a dicha forma de comunicación</w:t>
      </w:r>
      <w:r w:rsidRPr="003443B2">
        <w:rPr>
          <w:rFonts w:ascii="Tahoma" w:hAnsi="Tahoma" w:cs="Tahoma"/>
          <w:sz w:val="14"/>
          <w:szCs w:val="14"/>
        </w:rPr>
        <w:t>, según lo estipulado en el artículo 28 del presente reglamento, siendo válidas y plenamente eficaces todas las notificaciones, emplazamientos y comunicaciones que así se produzcan”.</w:t>
      </w:r>
      <w:r>
        <w:rPr>
          <w:rFonts w:ascii="Tahoma" w:hAnsi="Tahoma" w:cs="Tahoma"/>
          <w:sz w:val="14"/>
          <w:szCs w:val="1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EF6A" w14:textId="77777777" w:rsidR="00D40314" w:rsidRPr="00DD7ECC" w:rsidRDefault="006A0A45" w:rsidP="00DF6AC2">
    <w:pPr>
      <w:pStyle w:val="Encabezado"/>
    </w:pPr>
    <w:bookmarkStart w:id="11" w:name="_Hlk219917620"/>
    <w:bookmarkStart w:id="12" w:name="_Hlk219917621"/>
    <w:r w:rsidRPr="00DD7ECC">
      <w:rPr>
        <w:noProof/>
      </w:rPr>
      <w:drawing>
        <wp:anchor distT="0" distB="0" distL="114300" distR="114300" simplePos="0" relativeHeight="251660288" behindDoc="1" locked="0" layoutInCell="1" allowOverlap="1" wp14:anchorId="38AD7D06" wp14:editId="72A22040">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lang w:eastAsia="es-PE"/>
      </w:rPr>
      <mc:AlternateContent>
        <mc:Choice Requires="wps">
          <w:drawing>
            <wp:anchor distT="0" distB="0" distL="114935" distR="114935" simplePos="0" relativeHeight="251659264" behindDoc="0" locked="0" layoutInCell="1" allowOverlap="1" wp14:anchorId="50BC259E" wp14:editId="5CFC0DAA">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15FE61" w14:textId="1A2D8EE0" w:rsidR="00D40314" w:rsidRPr="00DD7ECC" w:rsidRDefault="00455D7D" w:rsidP="00455D7D">
                          <w:pPr>
                            <w:tabs>
                              <w:tab w:val="center" w:pos="3686"/>
                            </w:tabs>
                            <w:jc w:val="center"/>
                            <w:rPr>
                              <w:rFonts w:ascii="Palatino Linotype" w:hAnsi="Palatino Linotype"/>
                              <w:i/>
                              <w:iCs/>
                              <w:color w:val="002060"/>
                            </w:rPr>
                          </w:pPr>
                          <w:r w:rsidRPr="00455D7D">
                            <w:rPr>
                              <w:rFonts w:ascii="Bookman Old Style" w:hAnsi="Bookman Old Style" w:cs="Tahoma"/>
                              <w:b/>
                              <w:i/>
                              <w:iCs/>
                              <w:color w:val="002060"/>
                              <w:sz w:val="18"/>
                              <w:szCs w:val="20"/>
                            </w:rPr>
                            <w:t>“Año de la Esperanza y el Fortalecimiento de la Democracia”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C259E"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3F15FE61" w14:textId="1A2D8EE0" w:rsidR="00D40314" w:rsidRPr="00DD7ECC" w:rsidRDefault="00455D7D" w:rsidP="00455D7D">
                    <w:pPr>
                      <w:tabs>
                        <w:tab w:val="center" w:pos="3686"/>
                      </w:tabs>
                      <w:jc w:val="center"/>
                      <w:rPr>
                        <w:rFonts w:ascii="Palatino Linotype" w:hAnsi="Palatino Linotype"/>
                        <w:i/>
                        <w:iCs/>
                        <w:color w:val="002060"/>
                      </w:rPr>
                    </w:pPr>
                    <w:r w:rsidRPr="00455D7D">
                      <w:rPr>
                        <w:rFonts w:ascii="Bookman Old Style" w:hAnsi="Bookman Old Style" w:cs="Tahoma"/>
                        <w:b/>
                        <w:i/>
                        <w:iCs/>
                        <w:color w:val="002060"/>
                        <w:sz w:val="18"/>
                        <w:szCs w:val="20"/>
                      </w:rPr>
                      <w:t>“Año de la Esperanza y el Fortalecimiento de la Democracia”</w:t>
                    </w:r>
                  </w:p>
                </w:txbxContent>
              </v:textbox>
              <w10:wrap anchorx="margin" anchory="page"/>
            </v:shape>
          </w:pict>
        </mc:Fallback>
      </mc:AlternateContent>
    </w:r>
    <w:r w:rsidRPr="00DD7ECC">
      <w:tab/>
    </w:r>
    <w:r w:rsidRPr="00DD7ECC">
      <w:tab/>
    </w:r>
    <w:r w:rsidRPr="00DD7ECC">
      <w:tab/>
    </w:r>
  </w:p>
  <w:p w14:paraId="0E15951F" w14:textId="77777777" w:rsidR="00D40314" w:rsidRPr="00DD7ECC" w:rsidRDefault="00D40314" w:rsidP="00DF6AC2">
    <w:pPr>
      <w:pStyle w:val="Encabezado"/>
    </w:pPr>
  </w:p>
  <w:p w14:paraId="6D06710B" w14:textId="77777777" w:rsidR="00D40314" w:rsidRPr="00DD7ECC" w:rsidRDefault="00D40314" w:rsidP="00DF6AC2">
    <w:pPr>
      <w:pStyle w:val="Encabezado"/>
    </w:pPr>
  </w:p>
  <w:p w14:paraId="2B2BA856" w14:textId="77777777" w:rsidR="00D40314" w:rsidRPr="00DD7ECC" w:rsidRDefault="00D40314" w:rsidP="00DF6AC2">
    <w:pPr>
      <w:pStyle w:val="Encabezado"/>
    </w:pPr>
  </w:p>
  <w:p w14:paraId="44E5B01A" w14:textId="77777777" w:rsidR="00D40314" w:rsidRPr="00DD7ECC" w:rsidRDefault="006A0A45" w:rsidP="00DF6AC2">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3AA1AC83" w14:textId="3A60ED5D" w:rsidR="00D40314" w:rsidRPr="00DD7ECC" w:rsidRDefault="002331A0" w:rsidP="00DF6AC2">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6763F9F9" w14:textId="77777777" w:rsidR="00D40314" w:rsidRPr="00DF6AC2" w:rsidRDefault="006A0A45" w:rsidP="00DF6AC2">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bookmarkEnd w:id="11"/>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01855"/>
    <w:multiLevelType w:val="multilevel"/>
    <w:tmpl w:val="B6C05AF0"/>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324F42BC"/>
    <w:multiLevelType w:val="hybridMultilevel"/>
    <w:tmpl w:val="DA0827AC"/>
    <w:lvl w:ilvl="0" w:tplc="E4FC5E52">
      <w:start w:val="3"/>
      <w:numFmt w:val="bullet"/>
      <w:lvlText w:val="-"/>
      <w:lvlJc w:val="left"/>
      <w:pPr>
        <w:ind w:left="720" w:hanging="360"/>
      </w:pPr>
      <w:rPr>
        <w:rFonts w:ascii="Arial" w:eastAsia="MS UI Gothic"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5F47000"/>
    <w:multiLevelType w:val="multilevel"/>
    <w:tmpl w:val="3D207F0A"/>
    <w:lvl w:ilvl="0">
      <w:start w:val="1"/>
      <w:numFmt w:val="upperRoman"/>
      <w:lvlText w:val="%1."/>
      <w:lvlJc w:val="left"/>
      <w:pPr>
        <w:ind w:left="720" w:hanging="360"/>
      </w:pPr>
      <w:rPr>
        <w:rFonts w:ascii="Tahoma" w:hAnsi="Tahoma" w:cs="Tahoma"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rPr>
        <w:b/>
      </w:r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570E01C2"/>
    <w:multiLevelType w:val="hybridMultilevel"/>
    <w:tmpl w:val="1EDE9130"/>
    <w:lvl w:ilvl="0" w:tplc="78E2E0B6">
      <w:start w:val="1"/>
      <w:numFmt w:val="decimal"/>
      <w:lvlText w:val="%1."/>
      <w:lvlJc w:val="left"/>
      <w:pPr>
        <w:ind w:left="720" w:hanging="360"/>
      </w:pPr>
      <w:rPr>
        <w:b/>
        <w:i w:val="0"/>
        <w:iCs w:val="0"/>
        <w:color w:val="000000" w:themeColor="text1"/>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64F60D96"/>
    <w:multiLevelType w:val="multilevel"/>
    <w:tmpl w:val="7A0A5C5E"/>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5168215">
    <w:abstractNumId w:val="2"/>
  </w:num>
  <w:num w:numId="2" w16cid:durableId="931820824">
    <w:abstractNumId w:val="0"/>
  </w:num>
  <w:num w:numId="3" w16cid:durableId="315375598">
    <w:abstractNumId w:val="3"/>
  </w:num>
  <w:num w:numId="4" w16cid:durableId="1073311285">
    <w:abstractNumId w:val="4"/>
  </w:num>
  <w:num w:numId="5" w16cid:durableId="1324308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A4"/>
    <w:rsid w:val="00050A8C"/>
    <w:rsid w:val="00140D7F"/>
    <w:rsid w:val="001A13E4"/>
    <w:rsid w:val="002312A7"/>
    <w:rsid w:val="002331A0"/>
    <w:rsid w:val="002D456D"/>
    <w:rsid w:val="00325A50"/>
    <w:rsid w:val="00335365"/>
    <w:rsid w:val="00364069"/>
    <w:rsid w:val="004503A4"/>
    <w:rsid w:val="00452B21"/>
    <w:rsid w:val="00455D7D"/>
    <w:rsid w:val="004B2E96"/>
    <w:rsid w:val="004C23A4"/>
    <w:rsid w:val="00533405"/>
    <w:rsid w:val="005442BD"/>
    <w:rsid w:val="005F21D6"/>
    <w:rsid w:val="005F5477"/>
    <w:rsid w:val="006114FC"/>
    <w:rsid w:val="00662BCF"/>
    <w:rsid w:val="006A0A45"/>
    <w:rsid w:val="006F3C3E"/>
    <w:rsid w:val="00B25158"/>
    <w:rsid w:val="00BB6D4F"/>
    <w:rsid w:val="00BC52A3"/>
    <w:rsid w:val="00BE0F4D"/>
    <w:rsid w:val="00C043ED"/>
    <w:rsid w:val="00C94275"/>
    <w:rsid w:val="00CD0FB1"/>
    <w:rsid w:val="00CD30D8"/>
    <w:rsid w:val="00D34D5B"/>
    <w:rsid w:val="00D40314"/>
    <w:rsid w:val="00D42BE7"/>
    <w:rsid w:val="00D54302"/>
    <w:rsid w:val="00E215A4"/>
    <w:rsid w:val="00F1521F"/>
    <w:rsid w:val="00F76405"/>
    <w:rsid w:val="00F768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1C673"/>
  <w15:chartTrackingRefBased/>
  <w15:docId w15:val="{18AF2589-6866-404D-B060-D7989B56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A4"/>
  </w:style>
  <w:style w:type="paragraph" w:styleId="Ttulo1">
    <w:name w:val="heading 1"/>
    <w:basedOn w:val="Normal"/>
    <w:next w:val="Normal"/>
    <w:link w:val="Ttulo1Car"/>
    <w:uiPriority w:val="9"/>
    <w:qFormat/>
    <w:rsid w:val="00E2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2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215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215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215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215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5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5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5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5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215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215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215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215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215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5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5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5A4"/>
    <w:rPr>
      <w:rFonts w:eastAsiaTheme="majorEastAsia" w:cstheme="majorBidi"/>
      <w:color w:val="272727" w:themeColor="text1" w:themeTint="D8"/>
    </w:rPr>
  </w:style>
  <w:style w:type="paragraph" w:styleId="Ttulo">
    <w:name w:val="Title"/>
    <w:basedOn w:val="Normal"/>
    <w:next w:val="Normal"/>
    <w:link w:val="TtuloCar"/>
    <w:uiPriority w:val="10"/>
    <w:qFormat/>
    <w:rsid w:val="00E2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5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5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5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5A4"/>
    <w:pPr>
      <w:spacing w:before="160"/>
      <w:jc w:val="center"/>
    </w:pPr>
    <w:rPr>
      <w:i/>
      <w:iCs/>
      <w:color w:val="404040" w:themeColor="text1" w:themeTint="BF"/>
    </w:rPr>
  </w:style>
  <w:style w:type="character" w:customStyle="1" w:styleId="CitaCar">
    <w:name w:val="Cita Car"/>
    <w:basedOn w:val="Fuentedeprrafopredeter"/>
    <w:link w:val="Cita"/>
    <w:uiPriority w:val="29"/>
    <w:rsid w:val="00E215A4"/>
    <w:rPr>
      <w:i/>
      <w:iCs/>
      <w:color w:val="404040" w:themeColor="text1" w:themeTint="BF"/>
    </w:rPr>
  </w:style>
  <w:style w:type="paragraph" w:styleId="Prrafodelista">
    <w:name w:val="List Paragraph"/>
    <w:aliases w:val="Cuadro 2-1,Párrafo de lista2,Párrafo de lista21,List Paragraph,Number List 1,Dot pt,No Spacing1,List Paragraph Char Char Char,Indicator Text,List Paragraph1,Numbered Para 1,Colorful List - Accent 11,Bullet 1,F5 List Paragraph,H,TITULO A"/>
    <w:basedOn w:val="Normal"/>
    <w:link w:val="PrrafodelistaCar"/>
    <w:uiPriority w:val="34"/>
    <w:qFormat/>
    <w:rsid w:val="00E215A4"/>
    <w:pPr>
      <w:ind w:left="720"/>
      <w:contextualSpacing/>
    </w:pPr>
  </w:style>
  <w:style w:type="character" w:styleId="nfasisintenso">
    <w:name w:val="Intense Emphasis"/>
    <w:basedOn w:val="Fuentedeprrafopredeter"/>
    <w:uiPriority w:val="21"/>
    <w:qFormat/>
    <w:rsid w:val="00E215A4"/>
    <w:rPr>
      <w:i/>
      <w:iCs/>
      <w:color w:val="2F5496" w:themeColor="accent1" w:themeShade="BF"/>
    </w:rPr>
  </w:style>
  <w:style w:type="paragraph" w:styleId="Citadestacada">
    <w:name w:val="Intense Quote"/>
    <w:basedOn w:val="Normal"/>
    <w:next w:val="Normal"/>
    <w:link w:val="CitadestacadaCar"/>
    <w:uiPriority w:val="30"/>
    <w:qFormat/>
    <w:rsid w:val="00E2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215A4"/>
    <w:rPr>
      <w:i/>
      <w:iCs/>
      <w:color w:val="2F5496" w:themeColor="accent1" w:themeShade="BF"/>
    </w:rPr>
  </w:style>
  <w:style w:type="character" w:styleId="Referenciaintensa">
    <w:name w:val="Intense Reference"/>
    <w:basedOn w:val="Fuentedeprrafopredeter"/>
    <w:uiPriority w:val="32"/>
    <w:qFormat/>
    <w:rsid w:val="00E215A4"/>
    <w:rPr>
      <w:b/>
      <w:bCs/>
      <w:smallCaps/>
      <w:color w:val="2F5496" w:themeColor="accent1" w:themeShade="BF"/>
      <w:spacing w:val="5"/>
    </w:rPr>
  </w:style>
  <w:style w:type="paragraph" w:styleId="Textonotapie">
    <w:name w:val="footnote text"/>
    <w:aliases w:val="Car Car,Car Car Car,Car,Car Car Car Car Car Car,Footnote Text Char Char Char Char Char,Footnote Text Char Char Char Char,Footnote reference,FA Fu,Footnote Text Char Char Char,Footnote Text Cha,FA Fußnotentext,FA Fuﬂnotentext"/>
    <w:basedOn w:val="Normal"/>
    <w:link w:val="TextonotapieCar"/>
    <w:uiPriority w:val="99"/>
    <w:unhideWhenUsed/>
    <w:qFormat/>
    <w:rsid w:val="00E215A4"/>
    <w:pPr>
      <w:spacing w:after="0" w:line="240" w:lineRule="auto"/>
    </w:pPr>
    <w:rPr>
      <w:sz w:val="20"/>
      <w:szCs w:val="20"/>
    </w:rPr>
  </w:style>
  <w:style w:type="character" w:customStyle="1" w:styleId="TextonotapieCar">
    <w:name w:val="Texto nota pie Car"/>
    <w:aliases w:val="Car Car Car1,Car Car Car Car,Car Car1,Car Car Car Car Car Car Car,Footnote Text Char Char Char Char Char Car,Footnote Text Char Char Char Char Car,Footnote reference Car,FA Fu Car,Footnote Text Char Char Char Car,Footnote Text Cha Car"/>
    <w:basedOn w:val="Fuentedeprrafopredeter"/>
    <w:link w:val="Textonotapie"/>
    <w:uiPriority w:val="99"/>
    <w:qFormat/>
    <w:rsid w:val="00E215A4"/>
    <w:rPr>
      <w:sz w:val="20"/>
      <w:szCs w:val="20"/>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basedOn w:val="Fuentedeprrafopredeter"/>
    <w:uiPriority w:val="99"/>
    <w:unhideWhenUsed/>
    <w:qFormat/>
    <w:rsid w:val="00E215A4"/>
    <w:rPr>
      <w:vertAlign w:val="superscript"/>
    </w:rPr>
  </w:style>
  <w:style w:type="paragraph" w:styleId="Encabezado">
    <w:name w:val="header"/>
    <w:basedOn w:val="Normal"/>
    <w:link w:val="EncabezadoCar"/>
    <w:uiPriority w:val="99"/>
    <w:unhideWhenUsed/>
    <w:rsid w:val="00E215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15A4"/>
  </w:style>
  <w:style w:type="paragraph" w:styleId="Piedepgina">
    <w:name w:val="footer"/>
    <w:basedOn w:val="Normal"/>
    <w:link w:val="PiedepginaCar"/>
    <w:uiPriority w:val="99"/>
    <w:unhideWhenUsed/>
    <w:rsid w:val="00E215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15A4"/>
  </w:style>
  <w:style w:type="character" w:styleId="Hipervnculo">
    <w:name w:val="Hyperlink"/>
    <w:basedOn w:val="Fuentedeprrafopredeter"/>
    <w:uiPriority w:val="99"/>
    <w:unhideWhenUsed/>
    <w:rsid w:val="00E215A4"/>
    <w:rPr>
      <w:color w:val="0563C1" w:themeColor="hyperlink"/>
      <w:u w:val="single"/>
    </w:rPr>
  </w:style>
  <w:style w:type="character" w:customStyle="1" w:styleId="PrrafodelistaCar">
    <w:name w:val="Párrafo de lista Car"/>
    <w:aliases w:val="Cuadro 2-1 Car,Párrafo de lista2 Car,Párrafo de lista21 Car,List Paragraph Car,Number List 1 Car,Dot pt Car,No Spacing1 Car,List Paragraph Char Char Char Car,Indicator Text Car,List Paragraph1 Car,Numbered Para 1 Car,Bullet 1 Car"/>
    <w:link w:val="Prrafodelista"/>
    <w:uiPriority w:val="34"/>
    <w:qFormat/>
    <w:locked/>
    <w:rsid w:val="00E215A4"/>
  </w:style>
  <w:style w:type="paragraph" w:customStyle="1" w:styleId="Standard">
    <w:name w:val="Standard"/>
    <w:uiPriority w:val="99"/>
    <w:qFormat/>
    <w:rsid w:val="00E215A4"/>
    <w:pPr>
      <w:widowControl w:val="0"/>
      <w:suppressAutoHyphens/>
      <w:spacing w:after="0" w:line="240" w:lineRule="auto"/>
      <w:textAlignment w:val="baseline"/>
    </w:pPr>
    <w:rPr>
      <w:rFonts w:ascii="Times New Roman" w:eastAsia="Arial Unicode MS" w:hAnsi="Times New Roman" w:cs="Times New Roman"/>
      <w:kern w:val="1"/>
      <w:sz w:val="24"/>
      <w:szCs w:val="24"/>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fe.mpfn.gob.pe/denuncias-electronic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mpfn.gob.pe/Docs/0/files/manual_evidencia_digital.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3184</Words>
  <Characters>17513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FN</cp:lastModifiedBy>
  <cp:revision>13</cp:revision>
  <dcterms:created xsi:type="dcterms:W3CDTF">2026-01-14T14:55:00Z</dcterms:created>
  <dcterms:modified xsi:type="dcterms:W3CDTF">2026-08-24T20:03:00Z</dcterms:modified>
</cp:coreProperties>
</file>