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63BA6" w14:textId="77777777" w:rsidR="00CA42E4" w:rsidRPr="00991E7D" w:rsidRDefault="00CA42E4" w:rsidP="00412C87">
      <w:pPr>
        <w:spacing w:line="240" w:lineRule="auto"/>
        <w:contextualSpacing/>
        <w:rPr>
          <w:rFonts w:ascii="Tahoma" w:hAnsi="Tahoma" w:cs="Tahoma"/>
          <w:sz w:val="20"/>
          <w:szCs w:val="20"/>
        </w:rPr>
      </w:pPr>
    </w:p>
    <w:tbl>
      <w:tblPr>
        <w:tblpPr w:leftFromText="141" w:rightFromText="141" w:vertAnchor="text" w:horzAnchor="margin" w:tblpXSpec="right" w:tblpY="137"/>
        <w:tblW w:w="6091" w:type="dxa"/>
        <w:tblLayout w:type="fixed"/>
        <w:tblLook w:val="0000" w:firstRow="0" w:lastRow="0" w:firstColumn="0" w:lastColumn="0" w:noHBand="0" w:noVBand="0"/>
      </w:tblPr>
      <w:tblGrid>
        <w:gridCol w:w="2122"/>
        <w:gridCol w:w="3969"/>
      </w:tblGrid>
      <w:tr w:rsidR="00991E7D" w:rsidRPr="00991E7D" w14:paraId="68374DD7" w14:textId="77777777" w:rsidTr="00991E7D">
        <w:trPr>
          <w:trHeight w:val="81"/>
        </w:trPr>
        <w:tc>
          <w:tcPr>
            <w:tcW w:w="2122" w:type="dxa"/>
            <w:tcBorders>
              <w:top w:val="single" w:sz="4" w:space="0" w:color="000000"/>
              <w:left w:val="single" w:sz="4" w:space="0" w:color="000000"/>
              <w:bottom w:val="single" w:sz="4" w:space="0" w:color="000000"/>
            </w:tcBorders>
            <w:vAlign w:val="center"/>
          </w:tcPr>
          <w:p w14:paraId="6D7B0B18" w14:textId="77777777" w:rsidR="00991E7D" w:rsidRPr="00991E7D" w:rsidRDefault="00991E7D" w:rsidP="00412C87">
            <w:pPr>
              <w:spacing w:after="0" w:line="240" w:lineRule="auto"/>
              <w:contextualSpacing/>
              <w:rPr>
                <w:rFonts w:ascii="Tahoma" w:eastAsia="Arial Narrow" w:hAnsi="Tahoma" w:cs="Tahoma"/>
                <w:b/>
                <w:bCs/>
                <w:sz w:val="20"/>
                <w:szCs w:val="20"/>
              </w:rPr>
            </w:pPr>
            <w:r w:rsidRPr="00991E7D">
              <w:rPr>
                <w:rFonts w:ascii="Tahoma" w:eastAsia="Arial Narrow" w:hAnsi="Tahoma" w:cs="Tahoma"/>
                <w:b/>
                <w:bCs/>
                <w:sz w:val="20"/>
                <w:szCs w:val="20"/>
              </w:rPr>
              <w:t>Carpeta Fiscal</w:t>
            </w:r>
          </w:p>
        </w:tc>
        <w:tc>
          <w:tcPr>
            <w:tcW w:w="3969" w:type="dxa"/>
            <w:tcBorders>
              <w:top w:val="single" w:sz="4" w:space="0" w:color="000000"/>
              <w:left w:val="single" w:sz="4" w:space="0" w:color="000000"/>
              <w:bottom w:val="single" w:sz="4" w:space="0" w:color="000000"/>
              <w:right w:val="single" w:sz="4" w:space="0" w:color="000000"/>
            </w:tcBorders>
            <w:vAlign w:val="center"/>
          </w:tcPr>
          <w:p w14:paraId="246595FA" w14:textId="02C62F65" w:rsidR="00991E7D" w:rsidRPr="00775522" w:rsidRDefault="00775522" w:rsidP="00412C87">
            <w:pPr>
              <w:spacing w:after="0" w:line="240" w:lineRule="auto"/>
              <w:ind w:right="1183"/>
              <w:contextualSpacing/>
              <w:rPr>
                <w:rFonts w:ascii="Tahoma" w:eastAsia="Arial Narrow" w:hAnsi="Tahoma" w:cs="Tahoma"/>
                <w:sz w:val="20"/>
                <w:szCs w:val="20"/>
              </w:rPr>
            </w:pPr>
            <w:r w:rsidRPr="00775522">
              <w:rPr>
                <w:rFonts w:ascii="Tahoma" w:eastAsia="Arial" w:hAnsi="Tahoma" w:cs="Tahoma"/>
                <w:sz w:val="20"/>
                <w:szCs w:val="20"/>
              </w:rPr>
              <w:t>&lt;&lt;caso&gt;&gt;</w:t>
            </w:r>
          </w:p>
        </w:tc>
      </w:tr>
      <w:tr w:rsidR="00991E7D" w:rsidRPr="00991E7D" w14:paraId="21DBBAFB" w14:textId="77777777" w:rsidTr="00991E7D">
        <w:trPr>
          <w:trHeight w:val="58"/>
        </w:trPr>
        <w:tc>
          <w:tcPr>
            <w:tcW w:w="2122" w:type="dxa"/>
            <w:tcBorders>
              <w:left w:val="single" w:sz="4" w:space="0" w:color="000000"/>
              <w:bottom w:val="single" w:sz="4" w:space="0" w:color="000000"/>
            </w:tcBorders>
            <w:vAlign w:val="center"/>
          </w:tcPr>
          <w:p w14:paraId="2CB22FE3" w14:textId="77777777" w:rsidR="00991E7D" w:rsidRPr="00991E7D" w:rsidRDefault="00991E7D" w:rsidP="00412C87">
            <w:pPr>
              <w:widowControl w:val="0"/>
              <w:pBdr>
                <w:top w:val="nil"/>
                <w:left w:val="nil"/>
                <w:bottom w:val="nil"/>
                <w:right w:val="nil"/>
                <w:between w:val="nil"/>
              </w:pBdr>
              <w:spacing w:after="0" w:line="240" w:lineRule="auto"/>
              <w:contextualSpacing/>
              <w:rPr>
                <w:rFonts w:ascii="Tahoma" w:eastAsia="Arial Narrow" w:hAnsi="Tahoma" w:cs="Tahoma"/>
                <w:b/>
                <w:bCs/>
                <w:color w:val="000000"/>
                <w:sz w:val="20"/>
                <w:szCs w:val="20"/>
              </w:rPr>
            </w:pPr>
            <w:bookmarkStart w:id="0" w:name="_30j0zll" w:colFirst="0" w:colLast="0"/>
            <w:bookmarkEnd w:id="0"/>
            <w:r w:rsidRPr="00991E7D">
              <w:rPr>
                <w:rFonts w:ascii="Tahoma" w:eastAsia="Arial Narrow" w:hAnsi="Tahoma" w:cs="Tahoma"/>
                <w:b/>
                <w:bCs/>
                <w:color w:val="000000"/>
                <w:sz w:val="20"/>
                <w:szCs w:val="20"/>
              </w:rPr>
              <w:t>Investigados</w:t>
            </w:r>
          </w:p>
        </w:tc>
        <w:tc>
          <w:tcPr>
            <w:tcW w:w="3969" w:type="dxa"/>
            <w:tcBorders>
              <w:left w:val="single" w:sz="4" w:space="0" w:color="000000"/>
              <w:bottom w:val="single" w:sz="4" w:space="0" w:color="000000"/>
              <w:right w:val="single" w:sz="4" w:space="0" w:color="000000"/>
            </w:tcBorders>
            <w:vAlign w:val="center"/>
          </w:tcPr>
          <w:p w14:paraId="4AE3D7D4" w14:textId="77777777" w:rsidR="00991E7D" w:rsidRPr="00991E7D" w:rsidRDefault="00991E7D" w:rsidP="00412C87">
            <w:pPr>
              <w:widowControl w:val="0"/>
              <w:pBdr>
                <w:top w:val="nil"/>
                <w:left w:val="nil"/>
                <w:bottom w:val="nil"/>
                <w:right w:val="nil"/>
                <w:between w:val="nil"/>
              </w:pBdr>
              <w:spacing w:after="0" w:line="240" w:lineRule="auto"/>
              <w:contextualSpacing/>
              <w:rPr>
                <w:rFonts w:ascii="Tahoma" w:eastAsia="Arial Narrow" w:hAnsi="Tahoma" w:cs="Tahoma"/>
                <w:bCs/>
                <w:color w:val="000000"/>
                <w:sz w:val="20"/>
                <w:szCs w:val="20"/>
              </w:rPr>
            </w:pPr>
            <w:r w:rsidRPr="00991E7D">
              <w:rPr>
                <w:rFonts w:ascii="Tahoma" w:hAnsi="Tahoma" w:cs="Tahoma"/>
                <w:sz w:val="20"/>
                <w:szCs w:val="20"/>
              </w:rPr>
              <w:t>L</w:t>
            </w:r>
            <w:r w:rsidRPr="00991E7D">
              <w:rPr>
                <w:rFonts w:ascii="Tahoma" w:eastAsia="Arial Narrow" w:hAnsi="Tahoma" w:cs="Tahoma"/>
                <w:bCs/>
                <w:color w:val="000000"/>
                <w:sz w:val="20"/>
                <w:szCs w:val="20"/>
              </w:rPr>
              <w:t>os que resulten responsables</w:t>
            </w:r>
          </w:p>
        </w:tc>
      </w:tr>
      <w:tr w:rsidR="00991E7D" w:rsidRPr="00991E7D" w14:paraId="4DA4A7EB" w14:textId="77777777" w:rsidTr="00991E7D">
        <w:trPr>
          <w:trHeight w:val="159"/>
        </w:trPr>
        <w:tc>
          <w:tcPr>
            <w:tcW w:w="2122" w:type="dxa"/>
            <w:tcBorders>
              <w:top w:val="single" w:sz="4" w:space="0" w:color="000000"/>
              <w:left w:val="single" w:sz="4" w:space="0" w:color="000000"/>
              <w:bottom w:val="single" w:sz="4" w:space="0" w:color="000000"/>
            </w:tcBorders>
            <w:vAlign w:val="center"/>
          </w:tcPr>
          <w:p w14:paraId="05A0F64B" w14:textId="77777777" w:rsidR="00991E7D" w:rsidRPr="00991E7D" w:rsidRDefault="00991E7D" w:rsidP="00412C87">
            <w:pPr>
              <w:widowControl w:val="0"/>
              <w:pBdr>
                <w:top w:val="nil"/>
                <w:left w:val="nil"/>
                <w:bottom w:val="nil"/>
                <w:right w:val="nil"/>
                <w:between w:val="nil"/>
              </w:pBdr>
              <w:spacing w:after="0" w:line="240" w:lineRule="auto"/>
              <w:contextualSpacing/>
              <w:rPr>
                <w:rFonts w:ascii="Tahoma" w:eastAsia="Arial Narrow" w:hAnsi="Tahoma" w:cs="Tahoma"/>
                <w:b/>
                <w:bCs/>
                <w:color w:val="000000"/>
                <w:sz w:val="20"/>
                <w:szCs w:val="20"/>
              </w:rPr>
            </w:pPr>
            <w:r w:rsidRPr="00991E7D">
              <w:rPr>
                <w:rFonts w:ascii="Tahoma" w:eastAsia="Arial Narrow" w:hAnsi="Tahoma" w:cs="Tahoma"/>
                <w:b/>
                <w:bCs/>
                <w:color w:val="000000"/>
                <w:sz w:val="20"/>
                <w:szCs w:val="20"/>
              </w:rPr>
              <w:t>Agraviado</w:t>
            </w:r>
          </w:p>
        </w:tc>
        <w:tc>
          <w:tcPr>
            <w:tcW w:w="3969" w:type="dxa"/>
            <w:tcBorders>
              <w:left w:val="single" w:sz="4" w:space="0" w:color="000000"/>
              <w:bottom w:val="single" w:sz="4" w:space="0" w:color="auto"/>
              <w:right w:val="single" w:sz="4" w:space="0" w:color="000000"/>
            </w:tcBorders>
            <w:vAlign w:val="center"/>
          </w:tcPr>
          <w:p w14:paraId="0B155D30" w14:textId="20AF74EE" w:rsidR="00991E7D" w:rsidRPr="00991E7D" w:rsidRDefault="00775522" w:rsidP="00412C87">
            <w:pPr>
              <w:widowControl w:val="0"/>
              <w:pBdr>
                <w:top w:val="nil"/>
                <w:left w:val="nil"/>
                <w:bottom w:val="nil"/>
                <w:right w:val="nil"/>
                <w:between w:val="nil"/>
              </w:pBdr>
              <w:spacing w:after="0" w:line="240" w:lineRule="auto"/>
              <w:ind w:left="1416" w:hanging="1416"/>
              <w:contextualSpacing/>
              <w:jc w:val="both"/>
              <w:rPr>
                <w:rFonts w:ascii="Tahoma" w:eastAsia="Arial Narrow" w:hAnsi="Tahoma" w:cs="Tahoma"/>
                <w:bCs/>
                <w:color w:val="000000"/>
                <w:sz w:val="20"/>
                <w:szCs w:val="20"/>
              </w:rPr>
            </w:pPr>
            <w:r>
              <w:rPr>
                <w:rFonts w:ascii="Tahoma" w:eastAsia="MS UI Gothic" w:hAnsi="Tahoma" w:cs="Tahoma"/>
                <w:sz w:val="20"/>
                <w:szCs w:val="20"/>
                <w:lang w:val="es-ES"/>
              </w:rPr>
              <w:t>&lt;&lt;agraviado&gt;&gt;</w:t>
            </w:r>
          </w:p>
        </w:tc>
      </w:tr>
      <w:tr w:rsidR="00991E7D" w:rsidRPr="00991E7D" w14:paraId="4A4860F3" w14:textId="77777777" w:rsidTr="00991E7D">
        <w:trPr>
          <w:trHeight w:val="58"/>
        </w:trPr>
        <w:tc>
          <w:tcPr>
            <w:tcW w:w="2122" w:type="dxa"/>
            <w:tcBorders>
              <w:top w:val="single" w:sz="4" w:space="0" w:color="000000"/>
              <w:left w:val="single" w:sz="4" w:space="0" w:color="000000"/>
              <w:bottom w:val="single" w:sz="4" w:space="0" w:color="000000"/>
              <w:right w:val="single" w:sz="4" w:space="0" w:color="auto"/>
            </w:tcBorders>
            <w:vAlign w:val="center"/>
          </w:tcPr>
          <w:p w14:paraId="40CAC607" w14:textId="77777777" w:rsidR="00991E7D" w:rsidRPr="00991E7D" w:rsidRDefault="00991E7D" w:rsidP="00412C87">
            <w:pPr>
              <w:widowControl w:val="0"/>
              <w:pBdr>
                <w:top w:val="nil"/>
                <w:left w:val="nil"/>
                <w:bottom w:val="nil"/>
                <w:right w:val="nil"/>
                <w:between w:val="nil"/>
              </w:pBdr>
              <w:spacing w:after="0" w:line="240" w:lineRule="auto"/>
              <w:contextualSpacing/>
              <w:rPr>
                <w:rFonts w:ascii="Tahoma" w:eastAsia="Arial Narrow" w:hAnsi="Tahoma" w:cs="Tahoma"/>
                <w:b/>
                <w:bCs/>
                <w:color w:val="000000"/>
                <w:sz w:val="20"/>
                <w:szCs w:val="20"/>
              </w:rPr>
            </w:pPr>
            <w:r w:rsidRPr="00991E7D">
              <w:rPr>
                <w:rFonts w:ascii="Tahoma" w:eastAsia="Arial Narrow" w:hAnsi="Tahoma" w:cs="Tahoma"/>
                <w:b/>
                <w:bCs/>
                <w:color w:val="000000"/>
                <w:sz w:val="20"/>
                <w:szCs w:val="20"/>
              </w:rPr>
              <w:t>Delito</w:t>
            </w:r>
          </w:p>
        </w:tc>
        <w:tc>
          <w:tcPr>
            <w:tcW w:w="3969" w:type="dxa"/>
            <w:tcBorders>
              <w:top w:val="single" w:sz="4" w:space="0" w:color="auto"/>
              <w:left w:val="single" w:sz="4" w:space="0" w:color="auto"/>
              <w:bottom w:val="single" w:sz="4" w:space="0" w:color="auto"/>
              <w:right w:val="single" w:sz="4" w:space="0" w:color="auto"/>
            </w:tcBorders>
            <w:vAlign w:val="center"/>
          </w:tcPr>
          <w:p w14:paraId="3E1BC459" w14:textId="77777777" w:rsidR="00991E7D" w:rsidRPr="00991E7D" w:rsidRDefault="00991E7D" w:rsidP="00412C87">
            <w:pPr>
              <w:widowControl w:val="0"/>
              <w:pBdr>
                <w:top w:val="nil"/>
                <w:left w:val="nil"/>
                <w:bottom w:val="nil"/>
                <w:right w:val="nil"/>
                <w:between w:val="nil"/>
              </w:pBdr>
              <w:spacing w:after="0" w:line="240" w:lineRule="auto"/>
              <w:contextualSpacing/>
              <w:rPr>
                <w:rFonts w:ascii="Tahoma" w:eastAsia="Arial Narrow" w:hAnsi="Tahoma" w:cs="Tahoma"/>
                <w:bCs/>
                <w:color w:val="000000"/>
                <w:sz w:val="20"/>
                <w:szCs w:val="20"/>
              </w:rPr>
            </w:pPr>
            <w:r w:rsidRPr="00991E7D">
              <w:rPr>
                <w:rFonts w:ascii="Tahoma" w:eastAsia="Arial Narrow" w:hAnsi="Tahoma" w:cs="Tahoma"/>
                <w:bCs/>
                <w:color w:val="000000"/>
                <w:sz w:val="20"/>
                <w:szCs w:val="20"/>
              </w:rPr>
              <w:t xml:space="preserve">Fraude informático  </w:t>
            </w:r>
          </w:p>
        </w:tc>
      </w:tr>
      <w:tr w:rsidR="00991E7D" w:rsidRPr="00991E7D" w14:paraId="6A4C17BD" w14:textId="77777777" w:rsidTr="00991E7D">
        <w:trPr>
          <w:trHeight w:val="58"/>
        </w:trPr>
        <w:tc>
          <w:tcPr>
            <w:tcW w:w="2122" w:type="dxa"/>
            <w:tcBorders>
              <w:top w:val="single" w:sz="4" w:space="0" w:color="000000"/>
              <w:left w:val="single" w:sz="4" w:space="0" w:color="000000"/>
              <w:bottom w:val="single" w:sz="4" w:space="0" w:color="000000"/>
              <w:right w:val="single" w:sz="4" w:space="0" w:color="auto"/>
            </w:tcBorders>
            <w:vAlign w:val="center"/>
          </w:tcPr>
          <w:p w14:paraId="55BC2337" w14:textId="77777777" w:rsidR="00991E7D" w:rsidRPr="00991E7D" w:rsidRDefault="00991E7D" w:rsidP="00412C87">
            <w:pPr>
              <w:widowControl w:val="0"/>
              <w:pBdr>
                <w:top w:val="nil"/>
                <w:left w:val="nil"/>
                <w:bottom w:val="nil"/>
                <w:right w:val="nil"/>
                <w:between w:val="nil"/>
              </w:pBdr>
              <w:spacing w:after="0" w:line="240" w:lineRule="auto"/>
              <w:contextualSpacing/>
              <w:rPr>
                <w:rFonts w:ascii="Tahoma" w:eastAsia="Arial Narrow" w:hAnsi="Tahoma" w:cs="Tahoma"/>
                <w:b/>
                <w:bCs/>
                <w:color w:val="000000"/>
                <w:sz w:val="20"/>
                <w:szCs w:val="20"/>
              </w:rPr>
            </w:pPr>
            <w:r w:rsidRPr="00991E7D">
              <w:rPr>
                <w:rFonts w:ascii="Tahoma" w:eastAsia="Palatino Linotype" w:hAnsi="Tahoma" w:cs="Tahoma"/>
                <w:b/>
                <w:kern w:val="1"/>
                <w:sz w:val="20"/>
                <w:szCs w:val="20"/>
                <w:lang w:eastAsia="hi-IN" w:bidi="hi-IN"/>
              </w:rPr>
              <w:t>Fiscal Responsable</w:t>
            </w:r>
          </w:p>
        </w:tc>
        <w:tc>
          <w:tcPr>
            <w:tcW w:w="3969" w:type="dxa"/>
            <w:tcBorders>
              <w:top w:val="single" w:sz="4" w:space="0" w:color="auto"/>
              <w:left w:val="single" w:sz="4" w:space="0" w:color="auto"/>
              <w:bottom w:val="single" w:sz="4" w:space="0" w:color="auto"/>
              <w:right w:val="single" w:sz="4" w:space="0" w:color="auto"/>
            </w:tcBorders>
            <w:vAlign w:val="center"/>
          </w:tcPr>
          <w:p w14:paraId="2D9FE620" w14:textId="2FCEB33E" w:rsidR="00991E7D" w:rsidRPr="00991E7D" w:rsidRDefault="00775522" w:rsidP="00412C87">
            <w:pPr>
              <w:widowControl w:val="0"/>
              <w:pBdr>
                <w:top w:val="nil"/>
                <w:left w:val="nil"/>
                <w:bottom w:val="nil"/>
                <w:right w:val="nil"/>
                <w:between w:val="nil"/>
              </w:pBdr>
              <w:spacing w:after="0" w:line="240" w:lineRule="auto"/>
              <w:contextualSpacing/>
              <w:rPr>
                <w:rFonts w:ascii="Tahoma" w:eastAsia="Arial Narrow" w:hAnsi="Tahoma" w:cs="Tahoma"/>
                <w:bCs/>
                <w:color w:val="000000"/>
                <w:sz w:val="20"/>
                <w:szCs w:val="20"/>
              </w:rPr>
            </w:pPr>
            <w:r>
              <w:rPr>
                <w:rFonts w:ascii="Tahoma" w:eastAsia="Arial Narrow" w:hAnsi="Tahoma" w:cs="Tahoma"/>
                <w:bCs/>
                <w:color w:val="000000"/>
                <w:sz w:val="20"/>
                <w:szCs w:val="20"/>
              </w:rPr>
              <w:t>&lt;&lt;</w:t>
            </w:r>
            <w:proofErr w:type="spellStart"/>
            <w:r>
              <w:rPr>
                <w:rFonts w:ascii="Tahoma" w:eastAsia="Arial Narrow" w:hAnsi="Tahoma" w:cs="Tahoma"/>
                <w:bCs/>
                <w:color w:val="000000"/>
                <w:sz w:val="20"/>
                <w:szCs w:val="20"/>
              </w:rPr>
              <w:t>fiscal_responsable</w:t>
            </w:r>
            <w:proofErr w:type="spellEnd"/>
            <w:r>
              <w:rPr>
                <w:rFonts w:ascii="Tahoma" w:eastAsia="Arial Narrow" w:hAnsi="Tahoma" w:cs="Tahoma"/>
                <w:bCs/>
                <w:color w:val="000000"/>
                <w:sz w:val="20"/>
                <w:szCs w:val="20"/>
              </w:rPr>
              <w:t>&gt;&gt;</w:t>
            </w:r>
            <w:r w:rsidR="00991E7D" w:rsidRPr="00991E7D">
              <w:rPr>
                <w:rFonts w:ascii="Tahoma" w:eastAsia="Arial Narrow" w:hAnsi="Tahoma" w:cs="Tahoma"/>
                <w:bCs/>
                <w:color w:val="000000"/>
                <w:sz w:val="20"/>
                <w:szCs w:val="20"/>
              </w:rPr>
              <w:t xml:space="preserve"> </w:t>
            </w:r>
          </w:p>
        </w:tc>
      </w:tr>
    </w:tbl>
    <w:p w14:paraId="04379DC2" w14:textId="77777777" w:rsidR="00991E7D" w:rsidRPr="00991E7D" w:rsidRDefault="00991E7D" w:rsidP="00412C87">
      <w:pPr>
        <w:spacing w:line="240" w:lineRule="auto"/>
        <w:contextualSpacing/>
        <w:rPr>
          <w:rFonts w:ascii="Tahoma" w:hAnsi="Tahoma" w:cs="Tahoma"/>
          <w:sz w:val="20"/>
          <w:szCs w:val="20"/>
        </w:rPr>
      </w:pPr>
    </w:p>
    <w:p w14:paraId="64ABC4C3" w14:textId="77777777" w:rsidR="00991E7D" w:rsidRPr="00991E7D" w:rsidRDefault="00991E7D" w:rsidP="00412C87">
      <w:pPr>
        <w:spacing w:line="240" w:lineRule="auto"/>
        <w:contextualSpacing/>
        <w:rPr>
          <w:rFonts w:ascii="Tahoma" w:hAnsi="Tahoma" w:cs="Tahoma"/>
          <w:sz w:val="20"/>
          <w:szCs w:val="20"/>
        </w:rPr>
      </w:pPr>
    </w:p>
    <w:p w14:paraId="2CA849E7" w14:textId="77777777" w:rsidR="00991E7D" w:rsidRPr="00991E7D" w:rsidRDefault="00991E7D" w:rsidP="00412C87">
      <w:pPr>
        <w:spacing w:line="240" w:lineRule="auto"/>
        <w:contextualSpacing/>
        <w:rPr>
          <w:rFonts w:ascii="Tahoma" w:hAnsi="Tahoma" w:cs="Tahoma"/>
          <w:sz w:val="20"/>
          <w:szCs w:val="20"/>
        </w:rPr>
      </w:pPr>
    </w:p>
    <w:p w14:paraId="4F27ED52" w14:textId="77777777" w:rsidR="00991E7D" w:rsidRPr="00991E7D" w:rsidRDefault="00991E7D" w:rsidP="00412C87">
      <w:pPr>
        <w:spacing w:line="240" w:lineRule="auto"/>
        <w:contextualSpacing/>
        <w:rPr>
          <w:rFonts w:ascii="Tahoma" w:hAnsi="Tahoma" w:cs="Tahoma"/>
          <w:sz w:val="20"/>
          <w:szCs w:val="20"/>
        </w:rPr>
      </w:pPr>
    </w:p>
    <w:p w14:paraId="33D212F4" w14:textId="77777777" w:rsidR="00412C87" w:rsidRDefault="00412C87" w:rsidP="00412C87">
      <w:pPr>
        <w:widowControl w:val="0"/>
        <w:suppressAutoHyphens/>
        <w:spacing w:after="0" w:line="240" w:lineRule="auto"/>
        <w:contextualSpacing/>
        <w:jc w:val="center"/>
        <w:rPr>
          <w:rFonts w:ascii="Tahoma" w:hAnsi="Tahoma" w:cs="Tahoma"/>
          <w:b/>
          <w:bCs/>
          <w:sz w:val="20"/>
          <w:szCs w:val="20"/>
        </w:rPr>
      </w:pPr>
    </w:p>
    <w:p w14:paraId="06E0A62B" w14:textId="77777777" w:rsidR="00412C87" w:rsidRDefault="00412C87" w:rsidP="00412C87">
      <w:pPr>
        <w:widowControl w:val="0"/>
        <w:suppressAutoHyphens/>
        <w:spacing w:after="0" w:line="240" w:lineRule="auto"/>
        <w:contextualSpacing/>
        <w:jc w:val="center"/>
        <w:rPr>
          <w:rFonts w:ascii="Tahoma" w:hAnsi="Tahoma" w:cs="Tahoma"/>
          <w:b/>
          <w:bCs/>
          <w:sz w:val="20"/>
          <w:szCs w:val="20"/>
        </w:rPr>
      </w:pPr>
    </w:p>
    <w:p w14:paraId="6647B729" w14:textId="77777777" w:rsidR="00412C87" w:rsidRDefault="00412C87" w:rsidP="00412C87">
      <w:pPr>
        <w:widowControl w:val="0"/>
        <w:suppressAutoHyphens/>
        <w:spacing w:after="0" w:line="240" w:lineRule="auto"/>
        <w:contextualSpacing/>
        <w:jc w:val="center"/>
        <w:rPr>
          <w:rFonts w:ascii="Tahoma" w:hAnsi="Tahoma" w:cs="Tahoma"/>
          <w:b/>
          <w:bCs/>
          <w:sz w:val="20"/>
          <w:szCs w:val="20"/>
        </w:rPr>
      </w:pPr>
    </w:p>
    <w:p w14:paraId="49C84ACA" w14:textId="735385FA" w:rsidR="00991E7D" w:rsidRPr="00991E7D" w:rsidRDefault="00991E7D" w:rsidP="00412C87">
      <w:pPr>
        <w:widowControl w:val="0"/>
        <w:suppressAutoHyphens/>
        <w:spacing w:after="0" w:line="240" w:lineRule="auto"/>
        <w:contextualSpacing/>
        <w:jc w:val="center"/>
        <w:rPr>
          <w:rFonts w:ascii="Tahoma" w:hAnsi="Tahoma" w:cs="Tahoma"/>
          <w:b/>
          <w:bCs/>
          <w:sz w:val="20"/>
          <w:szCs w:val="20"/>
          <w:u w:val="single"/>
        </w:rPr>
      </w:pPr>
      <w:r w:rsidRPr="00991E7D">
        <w:rPr>
          <w:rFonts w:ascii="Tahoma" w:hAnsi="Tahoma" w:cs="Tahoma"/>
          <w:b/>
          <w:bCs/>
          <w:sz w:val="20"/>
          <w:szCs w:val="20"/>
        </w:rPr>
        <w:t>DISPOSICIÓN DE ARCHIVO LIMINAR</w:t>
      </w:r>
    </w:p>
    <w:p w14:paraId="23EA05B8" w14:textId="77777777" w:rsidR="00991E7D" w:rsidRPr="00991E7D" w:rsidRDefault="00991E7D" w:rsidP="00412C87">
      <w:pPr>
        <w:widowControl w:val="0"/>
        <w:suppressAutoHyphens/>
        <w:spacing w:after="0" w:line="240" w:lineRule="auto"/>
        <w:contextualSpacing/>
        <w:rPr>
          <w:rFonts w:ascii="Tahoma" w:hAnsi="Tahoma" w:cs="Tahoma"/>
          <w:b/>
          <w:bCs/>
          <w:sz w:val="20"/>
          <w:szCs w:val="20"/>
        </w:rPr>
      </w:pPr>
    </w:p>
    <w:p w14:paraId="63EA319E" w14:textId="24E82C1D" w:rsidR="00991E7D" w:rsidRPr="00991E7D" w:rsidRDefault="00991E7D" w:rsidP="00412C87">
      <w:pPr>
        <w:widowControl w:val="0"/>
        <w:suppressAutoHyphens/>
        <w:spacing w:after="0" w:line="240" w:lineRule="auto"/>
        <w:contextualSpacing/>
        <w:rPr>
          <w:rFonts w:ascii="Tahoma" w:hAnsi="Tahoma" w:cs="Tahoma"/>
          <w:b/>
          <w:bCs/>
          <w:sz w:val="20"/>
          <w:szCs w:val="20"/>
        </w:rPr>
      </w:pPr>
      <w:r w:rsidRPr="00991E7D">
        <w:rPr>
          <w:rFonts w:ascii="Tahoma" w:hAnsi="Tahoma" w:cs="Tahoma"/>
          <w:b/>
          <w:bCs/>
          <w:sz w:val="20"/>
          <w:szCs w:val="20"/>
        </w:rPr>
        <w:t xml:space="preserve">DISPOSICIÓN </w:t>
      </w:r>
      <w:r w:rsidR="00412C87">
        <w:rPr>
          <w:rFonts w:ascii="Tahoma" w:hAnsi="Tahoma" w:cs="Tahoma"/>
          <w:b/>
          <w:bCs/>
          <w:sz w:val="20"/>
          <w:szCs w:val="20"/>
        </w:rPr>
        <w:t>N</w:t>
      </w:r>
      <w:r w:rsidRPr="00991E7D">
        <w:rPr>
          <w:rFonts w:ascii="Tahoma" w:hAnsi="Tahoma" w:cs="Tahoma"/>
          <w:b/>
          <w:bCs/>
          <w:sz w:val="20"/>
          <w:szCs w:val="20"/>
        </w:rPr>
        <w:t>° 01</w:t>
      </w:r>
    </w:p>
    <w:p w14:paraId="2A7E6912" w14:textId="77777777" w:rsidR="00991E7D" w:rsidRPr="00991E7D" w:rsidRDefault="00991E7D" w:rsidP="00412C87">
      <w:pPr>
        <w:widowControl w:val="0"/>
        <w:suppressAutoHyphens/>
        <w:spacing w:after="0" w:line="240" w:lineRule="auto"/>
        <w:contextualSpacing/>
        <w:rPr>
          <w:rFonts w:ascii="Tahoma" w:hAnsi="Tahoma" w:cs="Tahoma"/>
          <w:b/>
          <w:bCs/>
          <w:sz w:val="20"/>
          <w:szCs w:val="20"/>
          <w:u w:val="single"/>
        </w:rPr>
      </w:pPr>
    </w:p>
    <w:p w14:paraId="3B9AA129" w14:textId="04D2879D" w:rsidR="00991E7D" w:rsidRDefault="00991E7D" w:rsidP="00412C87">
      <w:pPr>
        <w:widowControl w:val="0"/>
        <w:suppressAutoHyphens/>
        <w:spacing w:after="0" w:line="240" w:lineRule="auto"/>
        <w:contextualSpacing/>
        <w:rPr>
          <w:rFonts w:ascii="Tahoma" w:eastAsia="Arial Unicode MS" w:hAnsi="Tahoma" w:cs="Tahoma"/>
          <w:kern w:val="1"/>
          <w:sz w:val="20"/>
          <w:szCs w:val="20"/>
          <w:lang w:eastAsia="hi-IN" w:bidi="hi-IN"/>
        </w:rPr>
      </w:pPr>
      <w:r w:rsidRPr="00991E7D">
        <w:rPr>
          <w:rFonts w:ascii="Tahoma" w:hAnsi="Tahoma" w:cs="Tahoma"/>
          <w:sz w:val="20"/>
          <w:szCs w:val="20"/>
        </w:rPr>
        <w:t xml:space="preserve">Santiago de Surco, </w:t>
      </w:r>
      <w:bookmarkStart w:id="1" w:name="_Hlk219917716"/>
      <w:r w:rsidR="00775522" w:rsidRPr="004C23A4">
        <w:rPr>
          <w:rFonts w:ascii="Tahoma" w:eastAsia="Arial Unicode MS" w:hAnsi="Tahoma" w:cs="Tahoma"/>
          <w:kern w:val="1"/>
          <w:sz w:val="20"/>
          <w:szCs w:val="20"/>
          <w:lang w:eastAsia="hi-IN" w:bidi="hi-IN"/>
        </w:rPr>
        <w:t>&lt;&lt;</w:t>
      </w:r>
      <w:proofErr w:type="spellStart"/>
      <w:r w:rsidR="00775522" w:rsidRPr="004C23A4">
        <w:rPr>
          <w:rFonts w:ascii="Tahoma" w:eastAsia="Arial Unicode MS" w:hAnsi="Tahoma" w:cs="Tahoma"/>
          <w:kern w:val="1"/>
          <w:sz w:val="20"/>
          <w:szCs w:val="20"/>
          <w:lang w:eastAsia="hi-IN" w:bidi="hi-IN"/>
        </w:rPr>
        <w:t>fecha_actual</w:t>
      </w:r>
      <w:proofErr w:type="spellEnd"/>
      <w:r w:rsidR="00775522" w:rsidRPr="004C23A4">
        <w:rPr>
          <w:rFonts w:ascii="Tahoma" w:eastAsia="Arial Unicode MS" w:hAnsi="Tahoma" w:cs="Tahoma"/>
          <w:kern w:val="1"/>
          <w:sz w:val="20"/>
          <w:szCs w:val="20"/>
          <w:lang w:eastAsia="hi-IN" w:bidi="hi-IN"/>
        </w:rPr>
        <w:t>&gt;&gt;</w:t>
      </w:r>
      <w:bookmarkEnd w:id="1"/>
    </w:p>
    <w:p w14:paraId="6CC05537" w14:textId="77777777" w:rsidR="00775522" w:rsidRPr="00991E7D" w:rsidRDefault="00775522" w:rsidP="00412C87">
      <w:pPr>
        <w:widowControl w:val="0"/>
        <w:suppressAutoHyphens/>
        <w:spacing w:after="0" w:line="240" w:lineRule="auto"/>
        <w:contextualSpacing/>
        <w:rPr>
          <w:rFonts w:ascii="Tahoma" w:eastAsia="Lucida Sans Unicode" w:hAnsi="Tahoma" w:cs="Tahoma"/>
          <w:kern w:val="3"/>
          <w:sz w:val="20"/>
          <w:szCs w:val="20"/>
          <w:lang w:val="es-ES" w:eastAsia="zh-CN" w:bidi="hi-IN"/>
        </w:rPr>
      </w:pPr>
    </w:p>
    <w:p w14:paraId="36258015" w14:textId="77777777" w:rsidR="00991E7D" w:rsidRPr="00991E7D" w:rsidRDefault="00991E7D" w:rsidP="00412C87">
      <w:pPr>
        <w:widowControl w:val="0"/>
        <w:numPr>
          <w:ilvl w:val="0"/>
          <w:numId w:val="1"/>
        </w:numPr>
        <w:tabs>
          <w:tab w:val="left" w:pos="284"/>
        </w:tabs>
        <w:suppressAutoHyphens/>
        <w:overflowPunct w:val="0"/>
        <w:autoSpaceDE w:val="0"/>
        <w:autoSpaceDN w:val="0"/>
        <w:spacing w:after="0" w:line="240" w:lineRule="auto"/>
        <w:ind w:left="284" w:hanging="284"/>
        <w:contextualSpacing/>
        <w:jc w:val="both"/>
        <w:textAlignment w:val="baseline"/>
        <w:rPr>
          <w:rFonts w:ascii="Tahoma" w:eastAsia="SimSun" w:hAnsi="Tahoma" w:cs="Tahoma"/>
          <w:b/>
          <w:kern w:val="3"/>
          <w:sz w:val="20"/>
          <w:szCs w:val="20"/>
          <w:u w:val="single"/>
          <w:lang w:eastAsia="zh-CN" w:bidi="hi-IN"/>
        </w:rPr>
      </w:pPr>
      <w:r w:rsidRPr="00991E7D">
        <w:rPr>
          <w:rFonts w:ascii="Tahoma" w:eastAsia="SimSun" w:hAnsi="Tahoma" w:cs="Tahoma"/>
          <w:b/>
          <w:kern w:val="3"/>
          <w:sz w:val="20"/>
          <w:szCs w:val="20"/>
          <w:lang w:eastAsia="zh-CN" w:bidi="hi-IN"/>
        </w:rPr>
        <w:t>VISTO</w:t>
      </w:r>
    </w:p>
    <w:p w14:paraId="57AF6577" w14:textId="77777777" w:rsidR="00991E7D" w:rsidRPr="00991E7D" w:rsidRDefault="00991E7D" w:rsidP="00412C87">
      <w:pPr>
        <w:widowControl w:val="0"/>
        <w:tabs>
          <w:tab w:val="left" w:pos="284"/>
        </w:tabs>
        <w:suppressAutoHyphens/>
        <w:overflowPunct w:val="0"/>
        <w:autoSpaceDE w:val="0"/>
        <w:autoSpaceDN w:val="0"/>
        <w:spacing w:after="0" w:line="240" w:lineRule="auto"/>
        <w:ind w:left="284"/>
        <w:contextualSpacing/>
        <w:jc w:val="both"/>
        <w:textAlignment w:val="baseline"/>
        <w:rPr>
          <w:rFonts w:ascii="Tahoma" w:eastAsia="SimSun" w:hAnsi="Tahoma" w:cs="Tahoma"/>
          <w:b/>
          <w:kern w:val="3"/>
          <w:sz w:val="20"/>
          <w:szCs w:val="20"/>
          <w:u w:val="single"/>
          <w:lang w:eastAsia="zh-CN" w:bidi="hi-IN"/>
        </w:rPr>
      </w:pPr>
    </w:p>
    <w:p w14:paraId="7ED47D23" w14:textId="7E1A4A76" w:rsidR="00991E7D" w:rsidRPr="00991E7D" w:rsidRDefault="00991E7D" w:rsidP="00412C87">
      <w:pPr>
        <w:widowControl w:val="0"/>
        <w:suppressAutoHyphens/>
        <w:autoSpaceDN w:val="0"/>
        <w:spacing w:after="0" w:line="240" w:lineRule="auto"/>
        <w:contextualSpacing/>
        <w:jc w:val="both"/>
        <w:textAlignment w:val="baseline"/>
        <w:rPr>
          <w:rFonts w:ascii="Tahoma" w:eastAsia="Arial Unicode MS" w:hAnsi="Tahoma" w:cs="Tahoma"/>
          <w:kern w:val="1"/>
          <w:sz w:val="20"/>
          <w:szCs w:val="20"/>
          <w:lang w:eastAsia="hi-IN" w:bidi="hi-IN"/>
        </w:rPr>
      </w:pPr>
      <w:r w:rsidRPr="00991E7D">
        <w:rPr>
          <w:rFonts w:ascii="Tahoma" w:eastAsia="Arial Unicode MS" w:hAnsi="Tahoma" w:cs="Tahoma"/>
          <w:kern w:val="1"/>
          <w:sz w:val="20"/>
          <w:szCs w:val="20"/>
          <w:lang w:eastAsia="hi-IN" w:bidi="hi-IN"/>
        </w:rPr>
        <w:t xml:space="preserve">El Oficio N° </w:t>
      </w:r>
      <w:bookmarkStart w:id="2" w:name="_Hlk219917741"/>
      <w:r w:rsidR="00775522" w:rsidRPr="004C23A4">
        <w:rPr>
          <w:rFonts w:ascii="Tahoma" w:eastAsia="SimSun" w:hAnsi="Tahoma" w:cs="Tahoma"/>
          <w:kern w:val="3"/>
          <w:sz w:val="20"/>
          <w:szCs w:val="20"/>
          <w:lang w:eastAsia="zh-CN" w:bidi="hi-IN"/>
        </w:rPr>
        <w:t>&lt;&lt;oficio&gt;&gt;</w:t>
      </w:r>
      <w:bookmarkEnd w:id="2"/>
      <w:r w:rsidRPr="00991E7D">
        <w:rPr>
          <w:rFonts w:ascii="Tahoma" w:eastAsia="Arial Unicode MS" w:hAnsi="Tahoma" w:cs="Tahoma"/>
          <w:kern w:val="1"/>
          <w:sz w:val="20"/>
          <w:szCs w:val="20"/>
          <w:lang w:eastAsia="hi-IN" w:bidi="hi-IN"/>
        </w:rPr>
        <w:t xml:space="preserve">, </w:t>
      </w:r>
      <w:r w:rsidR="00D91378">
        <w:rPr>
          <w:rFonts w:ascii="Tahoma" w:eastAsia="SimSun" w:hAnsi="Tahoma" w:cs="Tahoma"/>
          <w:kern w:val="3"/>
          <w:sz w:val="20"/>
          <w:szCs w:val="20"/>
          <w:lang w:eastAsia="zh-CN" w:bidi="hi-IN"/>
        </w:rPr>
        <w:t>a través del cual el &lt;&lt;remitente&gt;&gt;</w:t>
      </w:r>
      <w:r w:rsidRPr="00991E7D">
        <w:rPr>
          <w:rFonts w:ascii="Tahoma" w:eastAsia="Arial Unicode MS" w:hAnsi="Tahoma" w:cs="Tahoma"/>
          <w:kern w:val="1"/>
          <w:sz w:val="20"/>
          <w:szCs w:val="20"/>
          <w:lang w:eastAsia="hi-IN" w:bidi="hi-IN"/>
        </w:rPr>
        <w:t>, remite</w:t>
      </w:r>
      <w:r w:rsidR="00412C87">
        <w:rPr>
          <w:rFonts w:ascii="Tahoma" w:eastAsia="Arial Unicode MS" w:hAnsi="Tahoma" w:cs="Tahoma"/>
          <w:kern w:val="1"/>
          <w:sz w:val="20"/>
          <w:szCs w:val="20"/>
          <w:lang w:eastAsia="hi-IN" w:bidi="hi-IN"/>
        </w:rPr>
        <w:t xml:space="preserve"> la denuncia</w:t>
      </w:r>
      <w:r w:rsidRPr="00991E7D">
        <w:rPr>
          <w:rFonts w:ascii="Tahoma" w:eastAsia="Arial Unicode MS" w:hAnsi="Tahoma" w:cs="Tahoma"/>
          <w:kern w:val="1"/>
          <w:sz w:val="20"/>
          <w:szCs w:val="20"/>
          <w:lang w:eastAsia="hi-IN" w:bidi="hi-IN"/>
        </w:rPr>
        <w:t xml:space="preserve"> </w:t>
      </w:r>
      <w:r w:rsidRPr="00991E7D">
        <w:rPr>
          <w:rFonts w:ascii="Tahoma" w:eastAsia="Arial Unicode MS" w:hAnsi="Tahoma" w:cs="Tahoma"/>
          <w:bCs/>
          <w:kern w:val="1"/>
          <w:sz w:val="20"/>
          <w:szCs w:val="20"/>
          <w:lang w:eastAsia="hi-IN" w:bidi="hi-IN"/>
        </w:rPr>
        <w:t xml:space="preserve">de parte interpuesta por </w:t>
      </w:r>
      <w:r>
        <w:rPr>
          <w:rFonts w:ascii="Tahoma" w:eastAsia="Arial Unicode MS" w:hAnsi="Tahoma" w:cs="Tahoma"/>
          <w:bCs/>
          <w:kern w:val="1"/>
          <w:sz w:val="20"/>
          <w:szCs w:val="20"/>
          <w:lang w:eastAsia="hi-IN" w:bidi="hi-IN"/>
        </w:rPr>
        <w:t>el</w:t>
      </w:r>
      <w:r w:rsidRPr="00991E7D">
        <w:rPr>
          <w:rFonts w:ascii="Tahoma" w:eastAsia="Arial Unicode MS" w:hAnsi="Tahoma" w:cs="Tahoma"/>
          <w:bCs/>
          <w:kern w:val="1"/>
          <w:sz w:val="20"/>
          <w:szCs w:val="20"/>
          <w:lang w:eastAsia="hi-IN" w:bidi="hi-IN"/>
        </w:rPr>
        <w:t xml:space="preserve"> ciudadan</w:t>
      </w:r>
      <w:r>
        <w:rPr>
          <w:rFonts w:ascii="Tahoma" w:eastAsia="Arial Unicode MS" w:hAnsi="Tahoma" w:cs="Tahoma"/>
          <w:bCs/>
          <w:kern w:val="1"/>
          <w:sz w:val="20"/>
          <w:szCs w:val="20"/>
          <w:lang w:eastAsia="hi-IN" w:bidi="hi-IN"/>
        </w:rPr>
        <w:t>o</w:t>
      </w:r>
      <w:r w:rsidRPr="00991E7D">
        <w:rPr>
          <w:rFonts w:ascii="Tahoma" w:eastAsia="Arial Unicode MS" w:hAnsi="Tahoma" w:cs="Tahoma"/>
          <w:bCs/>
          <w:kern w:val="1"/>
          <w:sz w:val="20"/>
          <w:szCs w:val="20"/>
          <w:lang w:eastAsia="hi-IN" w:bidi="hi-IN"/>
        </w:rPr>
        <w:t xml:space="preserve"> </w:t>
      </w:r>
      <w:r w:rsidR="00D91378" w:rsidRPr="00D91378">
        <w:rPr>
          <w:rFonts w:ascii="Tahoma" w:eastAsia="Arial Unicode MS" w:hAnsi="Tahoma" w:cs="Tahoma"/>
          <w:kern w:val="1"/>
          <w:sz w:val="20"/>
          <w:szCs w:val="20"/>
          <w:lang w:eastAsia="hi-IN" w:bidi="hi-IN"/>
        </w:rPr>
        <w:t>&lt;&lt;agraviado&gt;&gt;</w:t>
      </w:r>
      <w:r w:rsidRPr="00991E7D">
        <w:rPr>
          <w:rFonts w:ascii="Tahoma" w:eastAsia="MS UI Gothic" w:hAnsi="Tahoma" w:cs="Tahoma"/>
          <w:sz w:val="20"/>
          <w:szCs w:val="20"/>
          <w:lang w:val="es-ES"/>
        </w:rPr>
        <w:t>,</w:t>
      </w:r>
      <w:r w:rsidRPr="00991E7D">
        <w:rPr>
          <w:rFonts w:ascii="Tahoma" w:eastAsia="Arial Unicode MS" w:hAnsi="Tahoma" w:cs="Tahoma"/>
          <w:kern w:val="1"/>
          <w:sz w:val="20"/>
          <w:szCs w:val="20"/>
          <w:lang w:eastAsia="hi-IN" w:bidi="hi-IN"/>
        </w:rPr>
        <w:t xml:space="preserve"> contra </w:t>
      </w:r>
      <w:r w:rsidRPr="00991E7D">
        <w:rPr>
          <w:rFonts w:ascii="Tahoma" w:eastAsia="Arial Unicode MS" w:hAnsi="Tahoma" w:cs="Tahoma"/>
          <w:b/>
          <w:kern w:val="1"/>
          <w:sz w:val="20"/>
          <w:szCs w:val="20"/>
          <w:lang w:eastAsia="hi-IN" w:bidi="hi-IN"/>
        </w:rPr>
        <w:t xml:space="preserve">LOS QUE RESULTEN RESPONSABLES </w:t>
      </w:r>
      <w:r w:rsidRPr="00991E7D">
        <w:rPr>
          <w:rFonts w:ascii="Tahoma" w:eastAsia="Arial Unicode MS" w:hAnsi="Tahoma" w:cs="Tahoma"/>
          <w:bCs/>
          <w:kern w:val="1"/>
          <w:sz w:val="20"/>
          <w:szCs w:val="20"/>
          <w:lang w:eastAsia="hi-IN" w:bidi="hi-IN"/>
        </w:rPr>
        <w:t>(sujetos en vías de identificación)</w:t>
      </w:r>
      <w:r w:rsidRPr="00991E7D">
        <w:rPr>
          <w:rFonts w:ascii="Tahoma" w:eastAsia="Arial Unicode MS" w:hAnsi="Tahoma" w:cs="Tahoma"/>
          <w:kern w:val="1"/>
          <w:sz w:val="20"/>
          <w:szCs w:val="20"/>
          <w:lang w:eastAsia="hi-IN" w:bidi="hi-IN"/>
        </w:rPr>
        <w:t xml:space="preserve">, por la presunta comisión del delito informático contra el patrimonio, en la modalidad de </w:t>
      </w:r>
      <w:r w:rsidRPr="00991E7D">
        <w:rPr>
          <w:rFonts w:ascii="Tahoma" w:eastAsia="Arial Unicode MS" w:hAnsi="Tahoma" w:cs="Tahoma"/>
          <w:b/>
          <w:kern w:val="1"/>
          <w:sz w:val="20"/>
          <w:szCs w:val="20"/>
          <w:lang w:eastAsia="hi-IN" w:bidi="hi-IN"/>
        </w:rPr>
        <w:t>FRAUDE INFORMÁTICO</w:t>
      </w:r>
      <w:r w:rsidRPr="00991E7D">
        <w:rPr>
          <w:rFonts w:ascii="Tahoma" w:eastAsia="Arial Unicode MS" w:hAnsi="Tahoma" w:cs="Tahoma"/>
          <w:kern w:val="1"/>
          <w:sz w:val="20"/>
          <w:szCs w:val="20"/>
          <w:lang w:eastAsia="hi-IN" w:bidi="hi-IN"/>
        </w:rPr>
        <w:t xml:space="preserve">, en su agravio; y, </w:t>
      </w:r>
    </w:p>
    <w:p w14:paraId="38D1B209" w14:textId="77777777" w:rsidR="00991E7D" w:rsidRPr="00991E7D" w:rsidRDefault="00991E7D" w:rsidP="00412C87">
      <w:pPr>
        <w:widowControl w:val="0"/>
        <w:suppressAutoHyphens/>
        <w:autoSpaceDN w:val="0"/>
        <w:spacing w:after="0" w:line="240" w:lineRule="auto"/>
        <w:contextualSpacing/>
        <w:jc w:val="both"/>
        <w:textAlignment w:val="baseline"/>
        <w:rPr>
          <w:rFonts w:ascii="Tahoma" w:eastAsia="SimSun" w:hAnsi="Tahoma" w:cs="Tahoma"/>
          <w:w w:val="96"/>
          <w:kern w:val="1"/>
          <w:sz w:val="20"/>
          <w:szCs w:val="20"/>
          <w:lang w:eastAsia="hi-IN" w:bidi="hi-IN"/>
        </w:rPr>
      </w:pPr>
    </w:p>
    <w:p w14:paraId="5FA7C2BB" w14:textId="77777777" w:rsidR="00991E7D" w:rsidRPr="00991E7D" w:rsidRDefault="00991E7D" w:rsidP="00412C87">
      <w:pPr>
        <w:widowControl w:val="0"/>
        <w:numPr>
          <w:ilvl w:val="0"/>
          <w:numId w:val="1"/>
        </w:numPr>
        <w:tabs>
          <w:tab w:val="left" w:pos="284"/>
        </w:tabs>
        <w:suppressAutoHyphens/>
        <w:overflowPunct w:val="0"/>
        <w:autoSpaceDE w:val="0"/>
        <w:autoSpaceDN w:val="0"/>
        <w:spacing w:after="0" w:line="240" w:lineRule="auto"/>
        <w:ind w:left="284" w:hanging="284"/>
        <w:contextualSpacing/>
        <w:jc w:val="both"/>
        <w:textAlignment w:val="baseline"/>
        <w:rPr>
          <w:rFonts w:ascii="Tahoma" w:eastAsia="SimSun" w:hAnsi="Tahoma" w:cs="Tahoma"/>
          <w:b/>
          <w:w w:val="96"/>
          <w:kern w:val="1"/>
          <w:sz w:val="20"/>
          <w:szCs w:val="20"/>
          <w:lang w:eastAsia="hi-IN" w:bidi="hi-IN"/>
        </w:rPr>
      </w:pPr>
      <w:r w:rsidRPr="00991E7D">
        <w:rPr>
          <w:rFonts w:ascii="Tahoma" w:hAnsi="Tahoma" w:cs="Tahoma"/>
          <w:b/>
          <w:bCs/>
          <w:sz w:val="20"/>
          <w:szCs w:val="20"/>
        </w:rPr>
        <w:t>CONSIDERANDO:</w:t>
      </w:r>
    </w:p>
    <w:p w14:paraId="41E67A5E" w14:textId="77777777" w:rsidR="00991E7D" w:rsidRPr="00991E7D" w:rsidRDefault="00991E7D" w:rsidP="00412C87">
      <w:pPr>
        <w:widowControl w:val="0"/>
        <w:suppressAutoHyphens/>
        <w:spacing w:after="0" w:line="240" w:lineRule="auto"/>
        <w:contextualSpacing/>
        <w:jc w:val="both"/>
        <w:rPr>
          <w:rFonts w:ascii="Tahoma" w:eastAsia="SimSun" w:hAnsi="Tahoma" w:cs="Tahoma"/>
          <w:w w:val="96"/>
          <w:kern w:val="1"/>
          <w:sz w:val="20"/>
          <w:szCs w:val="20"/>
          <w:lang w:eastAsia="hi-IN" w:bidi="hi-IN"/>
        </w:rPr>
      </w:pPr>
    </w:p>
    <w:p w14:paraId="41F13A58" w14:textId="77777777" w:rsidR="00991E7D" w:rsidRPr="00991E7D" w:rsidRDefault="00991E7D" w:rsidP="00412C87">
      <w:pPr>
        <w:widowControl w:val="0"/>
        <w:suppressAutoHyphens/>
        <w:spacing w:after="0" w:line="240" w:lineRule="auto"/>
        <w:ind w:left="284"/>
        <w:contextualSpacing/>
        <w:jc w:val="both"/>
        <w:rPr>
          <w:rFonts w:ascii="Tahoma" w:hAnsi="Tahoma" w:cs="Tahoma"/>
          <w:b/>
          <w:bCs/>
          <w:sz w:val="20"/>
          <w:szCs w:val="20"/>
        </w:rPr>
      </w:pPr>
      <w:r w:rsidRPr="00991E7D">
        <w:rPr>
          <w:rFonts w:ascii="Tahoma" w:hAnsi="Tahoma" w:cs="Tahoma"/>
          <w:b/>
          <w:bCs/>
          <w:sz w:val="20"/>
          <w:szCs w:val="20"/>
        </w:rPr>
        <w:t>PRIMERO. -</w:t>
      </w:r>
      <w:r w:rsidRPr="00991E7D">
        <w:rPr>
          <w:rFonts w:ascii="Tahoma" w:eastAsia="SimSun" w:hAnsi="Tahoma" w:cs="Tahoma"/>
          <w:b/>
          <w:w w:val="96"/>
          <w:kern w:val="1"/>
          <w:sz w:val="20"/>
          <w:szCs w:val="20"/>
          <w:lang w:eastAsia="hi-IN" w:bidi="hi-IN"/>
        </w:rPr>
        <w:t xml:space="preserve"> </w:t>
      </w:r>
      <w:r w:rsidRPr="00991E7D">
        <w:rPr>
          <w:rFonts w:ascii="Tahoma" w:hAnsi="Tahoma" w:cs="Tahoma"/>
          <w:b/>
          <w:bCs/>
          <w:sz w:val="20"/>
          <w:szCs w:val="20"/>
        </w:rPr>
        <w:t>HECHOS DENUNCIADOS</w:t>
      </w:r>
    </w:p>
    <w:p w14:paraId="5E5825C6" w14:textId="77777777" w:rsidR="00991E7D" w:rsidRPr="00991E7D" w:rsidRDefault="00991E7D" w:rsidP="00412C87">
      <w:pPr>
        <w:widowControl w:val="0"/>
        <w:suppressAutoHyphens/>
        <w:spacing w:after="0" w:line="240" w:lineRule="auto"/>
        <w:ind w:left="284"/>
        <w:contextualSpacing/>
        <w:jc w:val="both"/>
        <w:rPr>
          <w:rFonts w:ascii="Tahoma" w:hAnsi="Tahoma" w:cs="Tahoma"/>
          <w:b/>
          <w:bCs/>
          <w:sz w:val="20"/>
          <w:szCs w:val="20"/>
        </w:rPr>
      </w:pPr>
    </w:p>
    <w:p w14:paraId="76ADF4AB" w14:textId="5AB8A232" w:rsidR="00991E7D" w:rsidRPr="00991E7D" w:rsidRDefault="00D91378" w:rsidP="00412C87">
      <w:pPr>
        <w:pStyle w:val="Prrafodelista"/>
        <w:widowControl w:val="0"/>
        <w:numPr>
          <w:ilvl w:val="2"/>
          <w:numId w:val="1"/>
        </w:numPr>
        <w:suppressAutoHyphens/>
        <w:spacing w:after="0" w:line="240" w:lineRule="auto"/>
        <w:ind w:left="284"/>
        <w:jc w:val="both"/>
        <w:rPr>
          <w:rStyle w:val="fadeinm1hgl8"/>
          <w:rFonts w:ascii="Tahoma" w:eastAsia="SimSun" w:hAnsi="Tahoma" w:cs="Tahoma"/>
          <w:b/>
          <w:w w:val="96"/>
          <w:kern w:val="1"/>
          <w:sz w:val="20"/>
          <w:szCs w:val="20"/>
          <w:lang w:eastAsia="hi-IN" w:bidi="hi-IN"/>
        </w:rPr>
      </w:pPr>
      <w:r>
        <w:rPr>
          <w:rFonts w:ascii="Tahoma" w:eastAsia="Arial MT" w:hAnsi="Tahoma" w:cs="Tahoma"/>
          <w:sz w:val="20"/>
          <w:szCs w:val="20"/>
        </w:rPr>
        <w:t>&lt;&lt;hechos&gt;&gt;</w:t>
      </w:r>
    </w:p>
    <w:p w14:paraId="0A9038DD" w14:textId="77777777" w:rsidR="00991E7D" w:rsidRPr="00C808B7" w:rsidRDefault="00991E7D" w:rsidP="00412C87">
      <w:pPr>
        <w:widowControl w:val="0"/>
        <w:shd w:val="clear" w:color="auto" w:fill="FFFFFF"/>
        <w:autoSpaceDE w:val="0"/>
        <w:autoSpaceDN w:val="0"/>
        <w:spacing w:after="0" w:line="240" w:lineRule="auto"/>
        <w:contextualSpacing/>
        <w:jc w:val="both"/>
        <w:rPr>
          <w:rFonts w:ascii="Tahoma" w:eastAsia="Arial MT" w:hAnsi="Tahoma" w:cs="Tahoma"/>
          <w:sz w:val="20"/>
          <w:szCs w:val="20"/>
        </w:rPr>
      </w:pPr>
    </w:p>
    <w:p w14:paraId="59E229C2" w14:textId="77777777" w:rsidR="00991E7D" w:rsidRPr="00991E7D" w:rsidRDefault="00991E7D" w:rsidP="00412C87">
      <w:pPr>
        <w:widowControl w:val="0"/>
        <w:shd w:val="clear" w:color="auto" w:fill="FFFFFF"/>
        <w:autoSpaceDE w:val="0"/>
        <w:autoSpaceDN w:val="0"/>
        <w:spacing w:after="0" w:line="240" w:lineRule="auto"/>
        <w:contextualSpacing/>
        <w:jc w:val="both"/>
        <w:rPr>
          <w:rFonts w:ascii="Tahoma" w:hAnsi="Tahoma" w:cs="Tahoma"/>
          <w:b/>
          <w:bCs/>
          <w:sz w:val="20"/>
          <w:szCs w:val="20"/>
        </w:rPr>
      </w:pPr>
      <w:r w:rsidRPr="00991E7D">
        <w:rPr>
          <w:rFonts w:ascii="Tahoma" w:hAnsi="Tahoma" w:cs="Tahoma"/>
          <w:b/>
          <w:bCs/>
          <w:sz w:val="20"/>
          <w:szCs w:val="20"/>
        </w:rPr>
        <w:t>SEGUNDO. - JUICIO DE TIPICIDAD</w:t>
      </w:r>
    </w:p>
    <w:p w14:paraId="5468EF83" w14:textId="77777777" w:rsidR="00991E7D" w:rsidRPr="00991E7D" w:rsidRDefault="00991E7D" w:rsidP="00412C87">
      <w:pPr>
        <w:widowControl w:val="0"/>
        <w:tabs>
          <w:tab w:val="center" w:pos="4560"/>
        </w:tabs>
        <w:suppressAutoHyphens/>
        <w:spacing w:after="0" w:line="240" w:lineRule="auto"/>
        <w:ind w:left="284"/>
        <w:contextualSpacing/>
        <w:jc w:val="both"/>
        <w:rPr>
          <w:rFonts w:ascii="Tahoma" w:eastAsia="SimSun" w:hAnsi="Tahoma" w:cs="Tahoma"/>
          <w:b/>
          <w:w w:val="96"/>
          <w:kern w:val="1"/>
          <w:sz w:val="20"/>
          <w:szCs w:val="20"/>
          <w:lang w:eastAsia="hi-IN" w:bidi="hi-IN"/>
        </w:rPr>
      </w:pPr>
    </w:p>
    <w:p w14:paraId="58B94DFA" w14:textId="77777777" w:rsidR="007C63FC" w:rsidRDefault="00991E7D" w:rsidP="00412C87">
      <w:pPr>
        <w:pStyle w:val="Prrafodelista"/>
        <w:widowControl w:val="0"/>
        <w:numPr>
          <w:ilvl w:val="2"/>
          <w:numId w:val="1"/>
        </w:numPr>
        <w:suppressAutoHyphens/>
        <w:autoSpaceDN w:val="0"/>
        <w:spacing w:after="0" w:line="240" w:lineRule="auto"/>
        <w:ind w:left="284"/>
        <w:jc w:val="both"/>
        <w:textAlignment w:val="baseline"/>
        <w:rPr>
          <w:rFonts w:ascii="Tahoma" w:hAnsi="Tahoma" w:cs="Tahoma"/>
          <w:sz w:val="20"/>
          <w:szCs w:val="20"/>
        </w:rPr>
      </w:pPr>
      <w:r w:rsidRPr="00991E7D">
        <w:rPr>
          <w:rFonts w:ascii="Tahoma" w:hAnsi="Tahoma" w:cs="Tahoma"/>
          <w:sz w:val="20"/>
          <w:szCs w:val="20"/>
        </w:rPr>
        <w:t xml:space="preserve">Que, según se señala el artículo 11 de la LOMP, el Ministerio Público es el titular del ejercicio público de la acción penal pública, la que ejercita de oficio, a instancia de la parte agraviada o por acción popular, si se trata de delito de comisión inmediata o de aquellos contra las cuales la ley la concede expresamente; asimismo, sobre él recae la carga de la prueba, debiendo conducir la investigación preliminar con respeto al debido proceso, de conformidad con nuestro marco legal y en aplicación de lo dispuesto por el Tribunal Constitucional que ha señalado: “Al respecto, este Colegiado ha reconocido que el debido proceso se proyecta también al ámbito de la etapa </w:t>
      </w:r>
      <w:proofErr w:type="spellStart"/>
      <w:r w:rsidRPr="00991E7D">
        <w:rPr>
          <w:rFonts w:ascii="Tahoma" w:hAnsi="Tahoma" w:cs="Tahoma"/>
          <w:sz w:val="20"/>
          <w:szCs w:val="20"/>
        </w:rPr>
        <w:t>prejurisdiccional</w:t>
      </w:r>
      <w:proofErr w:type="spellEnd"/>
      <w:r w:rsidRPr="00991E7D">
        <w:rPr>
          <w:rFonts w:ascii="Tahoma" w:hAnsi="Tahoma" w:cs="Tahoma"/>
          <w:sz w:val="20"/>
          <w:szCs w:val="20"/>
        </w:rPr>
        <w:t xml:space="preserve"> de los procesos penales, es decir, en aquella cuya dirección compete al Ministerio Público (Exp. N°1268-2001-HC/TC). Por tanto, las garantías previstas en el artículo 4° del Código Procesal Constitucional serán aplicables a la investigación fiscal previa al proceso penal siempre que sean compatibles con su naturaleza y fines, los mismos que deben ser interpretados de conformidad con el artículo 1° de la Constitución, según el cual “La defensa de la persona humana y el respeto de su dignidad son el fin supremo de la sociedad y del Estado”</w:t>
      </w:r>
      <w:r w:rsidRPr="00991E7D">
        <w:rPr>
          <w:rStyle w:val="Refdenotaalpie"/>
          <w:rFonts w:ascii="Tahoma" w:hAnsi="Tahoma" w:cs="Tahoma"/>
          <w:sz w:val="20"/>
          <w:szCs w:val="20"/>
        </w:rPr>
        <w:footnoteReference w:id="1"/>
      </w:r>
    </w:p>
    <w:p w14:paraId="57F16468" w14:textId="77777777" w:rsidR="007C63FC" w:rsidRDefault="007C63FC" w:rsidP="00412C87">
      <w:pPr>
        <w:pStyle w:val="Prrafodelista"/>
        <w:widowControl w:val="0"/>
        <w:suppressAutoHyphens/>
        <w:autoSpaceDN w:val="0"/>
        <w:spacing w:after="0" w:line="240" w:lineRule="auto"/>
        <w:ind w:left="284"/>
        <w:jc w:val="both"/>
        <w:textAlignment w:val="baseline"/>
        <w:rPr>
          <w:rFonts w:ascii="Tahoma" w:hAnsi="Tahoma" w:cs="Tahoma"/>
          <w:sz w:val="20"/>
          <w:szCs w:val="20"/>
        </w:rPr>
      </w:pPr>
    </w:p>
    <w:p w14:paraId="62A5DBE5" w14:textId="77777777" w:rsidR="00991E7D" w:rsidRPr="007C63FC" w:rsidRDefault="00991E7D" w:rsidP="00412C87">
      <w:pPr>
        <w:pStyle w:val="Prrafodelista"/>
        <w:widowControl w:val="0"/>
        <w:numPr>
          <w:ilvl w:val="2"/>
          <w:numId w:val="1"/>
        </w:numPr>
        <w:suppressAutoHyphens/>
        <w:autoSpaceDN w:val="0"/>
        <w:spacing w:after="0" w:line="240" w:lineRule="auto"/>
        <w:ind w:left="284"/>
        <w:jc w:val="both"/>
        <w:textAlignment w:val="baseline"/>
        <w:rPr>
          <w:rFonts w:ascii="Tahoma" w:hAnsi="Tahoma" w:cs="Tahoma"/>
          <w:sz w:val="20"/>
          <w:szCs w:val="20"/>
        </w:rPr>
      </w:pPr>
      <w:r w:rsidRPr="007C63FC">
        <w:rPr>
          <w:rFonts w:ascii="Tahoma" w:hAnsi="Tahoma" w:cs="Tahoma"/>
          <w:sz w:val="20"/>
          <w:szCs w:val="20"/>
        </w:rPr>
        <w:t>Es a razón de lo expuesto, que el Ministerio Público tiene la obligación de realizar la calificación jurídica primaria del hecho puesto a su conocimiento, guiando su función en el Principio de Legalidad. En ese sentido, y a efectos de iniciar la persecución penal preliminar en el presente caso, los hechos denunciados y conforme lo previsto y sancionado en el</w:t>
      </w:r>
      <w:r w:rsidRPr="007C63FC">
        <w:rPr>
          <w:rFonts w:ascii="Tahoma" w:eastAsia="Palatino Linotype" w:hAnsi="Tahoma" w:cs="Tahoma"/>
          <w:kern w:val="1"/>
          <w:sz w:val="20"/>
          <w:szCs w:val="20"/>
          <w:lang w:eastAsia="hi-IN" w:bidi="hi-IN"/>
        </w:rPr>
        <w:t xml:space="preserve"> delito informático </w:t>
      </w:r>
      <w:r w:rsidRPr="007C63FC">
        <w:rPr>
          <w:rFonts w:ascii="Tahoma" w:eastAsia="Palatino Linotype" w:hAnsi="Tahoma" w:cs="Tahoma"/>
          <w:kern w:val="1"/>
          <w:sz w:val="20"/>
          <w:szCs w:val="20"/>
          <w:lang w:eastAsia="hi-IN" w:bidi="hi-IN"/>
        </w:rPr>
        <w:lastRenderedPageBreak/>
        <w:t>contra el patrimonio en la modalidad de fraude informático, previsto en el primer párrafo del artículo 8 de la Ley N.° 30096 – Ley de Delitos Informáticos (modificado por la Ley N° 30171 y el Decreto Legislativo N° 1614); que indican:</w:t>
      </w:r>
    </w:p>
    <w:p w14:paraId="0FF1D289" w14:textId="77777777" w:rsidR="00991E7D" w:rsidRPr="00991E7D" w:rsidRDefault="00991E7D" w:rsidP="00412C87">
      <w:pPr>
        <w:widowControl w:val="0"/>
        <w:tabs>
          <w:tab w:val="center" w:pos="4252"/>
          <w:tab w:val="right" w:pos="8504"/>
        </w:tabs>
        <w:suppressAutoHyphens/>
        <w:spacing w:after="0" w:line="240" w:lineRule="auto"/>
        <w:contextualSpacing/>
        <w:jc w:val="both"/>
        <w:rPr>
          <w:rFonts w:ascii="Tahoma" w:eastAsia="Palatino Linotype" w:hAnsi="Tahoma" w:cs="Tahoma"/>
          <w:kern w:val="1"/>
          <w:sz w:val="20"/>
          <w:szCs w:val="20"/>
          <w:lang w:eastAsia="hi-IN" w:bidi="hi-IN"/>
        </w:rPr>
      </w:pPr>
    </w:p>
    <w:tbl>
      <w:tblPr>
        <w:tblW w:w="7959" w:type="dxa"/>
        <w:tblInd w:w="534"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00" w:firstRow="0" w:lastRow="0" w:firstColumn="0" w:lastColumn="0" w:noHBand="0" w:noVBand="1"/>
      </w:tblPr>
      <w:tblGrid>
        <w:gridCol w:w="7959"/>
      </w:tblGrid>
      <w:tr w:rsidR="00991E7D" w:rsidRPr="00991E7D" w14:paraId="20E0C767" w14:textId="77777777" w:rsidTr="007C63FC">
        <w:trPr>
          <w:trHeight w:val="206"/>
        </w:trPr>
        <w:tc>
          <w:tcPr>
            <w:tcW w:w="7959" w:type="dxa"/>
            <w:tcBorders>
              <w:top w:val="single" w:sz="4" w:space="0" w:color="5B9BD5"/>
              <w:left w:val="single" w:sz="4" w:space="0" w:color="5B9BD5"/>
              <w:bottom w:val="single" w:sz="4" w:space="0" w:color="5B9BD5"/>
              <w:right w:val="nil"/>
            </w:tcBorders>
            <w:shd w:val="clear" w:color="auto" w:fill="5B9BD5"/>
            <w:vAlign w:val="center"/>
          </w:tcPr>
          <w:p w14:paraId="4B268C4A" w14:textId="77777777" w:rsidR="00991E7D" w:rsidRPr="00991E7D" w:rsidRDefault="00991E7D" w:rsidP="00412C87">
            <w:pPr>
              <w:spacing w:line="240" w:lineRule="auto"/>
              <w:contextualSpacing/>
              <w:jc w:val="center"/>
              <w:rPr>
                <w:rFonts w:ascii="Tahoma" w:eastAsia="Arial" w:hAnsi="Tahoma" w:cs="Tahoma"/>
                <w:b/>
                <w:color w:val="FFFFFF"/>
                <w:sz w:val="20"/>
                <w:szCs w:val="20"/>
              </w:rPr>
            </w:pPr>
            <w:r w:rsidRPr="00991E7D">
              <w:rPr>
                <w:rFonts w:ascii="Tahoma" w:eastAsia="Arial" w:hAnsi="Tahoma" w:cs="Tahoma"/>
                <w:b/>
                <w:color w:val="FFFFFF"/>
                <w:sz w:val="20"/>
                <w:szCs w:val="20"/>
              </w:rPr>
              <w:t>Artículo 8 Ley n.° 30096</w:t>
            </w:r>
          </w:p>
        </w:tc>
      </w:tr>
      <w:tr w:rsidR="00991E7D" w:rsidRPr="00991E7D" w14:paraId="62F980E4" w14:textId="77777777" w:rsidTr="007C63FC">
        <w:trPr>
          <w:trHeight w:val="904"/>
        </w:trPr>
        <w:tc>
          <w:tcPr>
            <w:tcW w:w="7959" w:type="dxa"/>
            <w:shd w:val="clear" w:color="auto" w:fill="DEEAF6"/>
            <w:vAlign w:val="center"/>
          </w:tcPr>
          <w:p w14:paraId="6A4E900F" w14:textId="77777777" w:rsidR="00991E7D" w:rsidRPr="00991E7D" w:rsidRDefault="00991E7D" w:rsidP="00412C87">
            <w:pPr>
              <w:spacing w:line="240" w:lineRule="auto"/>
              <w:contextualSpacing/>
              <w:jc w:val="both"/>
              <w:rPr>
                <w:rFonts w:ascii="Tahoma" w:eastAsia="Arial" w:hAnsi="Tahoma" w:cs="Tahoma"/>
                <w:sz w:val="20"/>
                <w:szCs w:val="20"/>
              </w:rPr>
            </w:pPr>
            <w:bookmarkStart w:id="3" w:name="_1fob9te" w:colFirst="0" w:colLast="0"/>
            <w:bookmarkEnd w:id="3"/>
            <w:r w:rsidRPr="00991E7D">
              <w:rPr>
                <w:rFonts w:ascii="Tahoma" w:eastAsia="Arial" w:hAnsi="Tahoma" w:cs="Tahoma"/>
                <w:sz w:val="20"/>
                <w:szCs w:val="20"/>
              </w:rPr>
              <w:t>“El que deliberada e ilegítimamente procura para sí o para otro un provecho ilícito en perjuicio de tercero mediante el diseño, introducción, alteración, borrado, supresión, clonación de datos informáticos, suplantación de interfaces o páginas web o cualquier interferencia o manipulación en el funcionamiento de un sistema informático, será reprimido con una pena privativa de libertad no menor de </w:t>
            </w:r>
            <w:r w:rsidRPr="00991E7D">
              <w:rPr>
                <w:rFonts w:ascii="Tahoma" w:eastAsia="Arial" w:hAnsi="Tahoma" w:cs="Tahoma"/>
                <w:b/>
                <w:bCs/>
                <w:sz w:val="20"/>
                <w:szCs w:val="20"/>
              </w:rPr>
              <w:t>cuatro</w:t>
            </w:r>
            <w:r w:rsidRPr="00991E7D">
              <w:rPr>
                <w:rFonts w:ascii="Tahoma" w:eastAsia="Arial" w:hAnsi="Tahoma" w:cs="Tahoma"/>
                <w:sz w:val="20"/>
                <w:szCs w:val="20"/>
              </w:rPr>
              <w:t> ni mayor de </w:t>
            </w:r>
            <w:r w:rsidRPr="00991E7D">
              <w:rPr>
                <w:rFonts w:ascii="Tahoma" w:eastAsia="Arial" w:hAnsi="Tahoma" w:cs="Tahoma"/>
                <w:b/>
                <w:bCs/>
                <w:sz w:val="20"/>
                <w:szCs w:val="20"/>
              </w:rPr>
              <w:t>ocho</w:t>
            </w:r>
            <w:r w:rsidRPr="00991E7D">
              <w:rPr>
                <w:rFonts w:ascii="Tahoma" w:eastAsia="Arial" w:hAnsi="Tahoma" w:cs="Tahoma"/>
                <w:sz w:val="20"/>
                <w:szCs w:val="20"/>
              </w:rPr>
              <w:t> años y con sesenta a ciento veinte días-multa. (…)”</w:t>
            </w:r>
          </w:p>
        </w:tc>
      </w:tr>
    </w:tbl>
    <w:p w14:paraId="18D284D2" w14:textId="77777777" w:rsidR="00991E7D" w:rsidRPr="00991E7D" w:rsidRDefault="00991E7D" w:rsidP="00412C87">
      <w:pPr>
        <w:widowControl w:val="0"/>
        <w:suppressAutoHyphens/>
        <w:spacing w:after="0" w:line="240" w:lineRule="auto"/>
        <w:contextualSpacing/>
        <w:jc w:val="both"/>
        <w:rPr>
          <w:rFonts w:ascii="Tahoma" w:hAnsi="Tahoma" w:cs="Tahoma"/>
          <w:b/>
          <w:bCs/>
          <w:sz w:val="20"/>
          <w:szCs w:val="20"/>
        </w:rPr>
      </w:pPr>
    </w:p>
    <w:p w14:paraId="5F3E2588" w14:textId="77777777" w:rsidR="00991E7D" w:rsidRPr="00991E7D" w:rsidRDefault="00991E7D" w:rsidP="00412C87">
      <w:pPr>
        <w:widowControl w:val="0"/>
        <w:suppressAutoHyphens/>
        <w:spacing w:after="0" w:line="240" w:lineRule="auto"/>
        <w:ind w:left="284"/>
        <w:contextualSpacing/>
        <w:jc w:val="both"/>
        <w:rPr>
          <w:rFonts w:ascii="Tahoma" w:eastAsia="SimSun" w:hAnsi="Tahoma" w:cs="Tahoma"/>
          <w:b/>
          <w:w w:val="96"/>
          <w:kern w:val="1"/>
          <w:sz w:val="20"/>
          <w:szCs w:val="20"/>
          <w:lang w:eastAsia="hi-IN" w:bidi="hi-IN"/>
        </w:rPr>
      </w:pPr>
      <w:r w:rsidRPr="00991E7D">
        <w:rPr>
          <w:rFonts w:ascii="Tahoma" w:hAnsi="Tahoma" w:cs="Tahoma"/>
          <w:b/>
          <w:bCs/>
          <w:sz w:val="20"/>
          <w:szCs w:val="20"/>
        </w:rPr>
        <w:t>TERCERO. - FUNDAMENTOS JURÍDICOS RESPECTO A LA NO FORMALIZACIÓN Y CONTINUACIÓN DE LA INVESTIGACIÓN PREPARATORIA</w:t>
      </w:r>
    </w:p>
    <w:p w14:paraId="6E32C9EA" w14:textId="77777777" w:rsidR="00991E7D" w:rsidRPr="00991E7D" w:rsidRDefault="00991E7D" w:rsidP="00412C87">
      <w:pPr>
        <w:widowControl w:val="0"/>
        <w:suppressAutoHyphens/>
        <w:spacing w:after="0" w:line="240" w:lineRule="auto"/>
        <w:ind w:left="284"/>
        <w:contextualSpacing/>
        <w:jc w:val="both"/>
        <w:rPr>
          <w:rFonts w:ascii="Tahoma" w:eastAsia="SimSun" w:hAnsi="Tahoma" w:cs="Tahoma"/>
          <w:b/>
          <w:w w:val="96"/>
          <w:kern w:val="1"/>
          <w:sz w:val="20"/>
          <w:szCs w:val="20"/>
          <w:lang w:eastAsia="hi-IN" w:bidi="hi-IN"/>
        </w:rPr>
      </w:pPr>
    </w:p>
    <w:p w14:paraId="2D790B59" w14:textId="77777777" w:rsidR="007C63FC" w:rsidRDefault="00991E7D" w:rsidP="00412C87">
      <w:pPr>
        <w:pStyle w:val="Prrafodelista"/>
        <w:widowControl w:val="0"/>
        <w:numPr>
          <w:ilvl w:val="2"/>
          <w:numId w:val="1"/>
        </w:numPr>
        <w:suppressAutoHyphens/>
        <w:spacing w:after="0" w:line="240" w:lineRule="auto"/>
        <w:ind w:left="284" w:hanging="284"/>
        <w:jc w:val="both"/>
        <w:rPr>
          <w:rFonts w:ascii="Tahoma" w:hAnsi="Tahoma" w:cs="Tahoma"/>
          <w:sz w:val="20"/>
          <w:szCs w:val="20"/>
        </w:rPr>
      </w:pPr>
      <w:r w:rsidRPr="00991E7D">
        <w:rPr>
          <w:rFonts w:ascii="Tahoma" w:hAnsi="Tahoma" w:cs="Tahoma"/>
          <w:sz w:val="20"/>
          <w:szCs w:val="20"/>
        </w:rPr>
        <w:t xml:space="preserve">De conformidad con lo previsto en el artículo 11º del D. Leg. Nº 052, el Ministerio Público posee la titularidad del ejercicio de la acción penal pública, posee </w:t>
      </w:r>
      <w:r w:rsidRPr="00991E7D">
        <w:rPr>
          <w:rFonts w:ascii="Tahoma" w:hAnsi="Tahoma" w:cs="Tahoma"/>
          <w:b/>
          <w:sz w:val="20"/>
          <w:szCs w:val="20"/>
        </w:rPr>
        <w:t>la potestad discrecional de valorar, si un determinado hecho tiene trascendencia jurídica</w:t>
      </w:r>
      <w:r w:rsidRPr="00991E7D">
        <w:rPr>
          <w:rFonts w:ascii="Tahoma" w:hAnsi="Tahoma" w:cs="Tahoma"/>
          <w:sz w:val="20"/>
          <w:szCs w:val="20"/>
        </w:rPr>
        <w:t xml:space="preserve"> y de dar inicio a la investigación del delito, como se desprende del artículo 94º, inciso 2º de la L.O.M.P., la cual, tiene por finalidad la práctica de actos de investigación, que se consideren indispensables, para conseguir los indicios delictivos mínimos que permitan promover la acción penal pública, esto es, reunir los elementos de convicción que se estimen suficientes para proceder a formalizar una investigación o, contrario sensu, para archivar dicha investigación, en caso no haya sido posible acopiarse elementos de convicción suficientes en el transcurso de la investigación.</w:t>
      </w:r>
    </w:p>
    <w:p w14:paraId="17B51A32" w14:textId="77777777" w:rsidR="007C63FC" w:rsidRDefault="007C63FC" w:rsidP="00412C87">
      <w:pPr>
        <w:pStyle w:val="Prrafodelista"/>
        <w:widowControl w:val="0"/>
        <w:suppressAutoHyphens/>
        <w:spacing w:after="0" w:line="240" w:lineRule="auto"/>
        <w:ind w:left="284"/>
        <w:jc w:val="both"/>
        <w:rPr>
          <w:rFonts w:ascii="Tahoma" w:hAnsi="Tahoma" w:cs="Tahoma"/>
          <w:sz w:val="20"/>
          <w:szCs w:val="20"/>
        </w:rPr>
      </w:pPr>
    </w:p>
    <w:p w14:paraId="19BAA0DF" w14:textId="77777777" w:rsidR="007C63FC" w:rsidRDefault="00991E7D" w:rsidP="00412C87">
      <w:pPr>
        <w:pStyle w:val="Prrafodelista"/>
        <w:widowControl w:val="0"/>
        <w:numPr>
          <w:ilvl w:val="2"/>
          <w:numId w:val="1"/>
        </w:numPr>
        <w:suppressAutoHyphens/>
        <w:spacing w:after="0" w:line="240" w:lineRule="auto"/>
        <w:ind w:left="284" w:hanging="284"/>
        <w:jc w:val="both"/>
        <w:rPr>
          <w:rFonts w:ascii="Tahoma" w:hAnsi="Tahoma" w:cs="Tahoma"/>
          <w:sz w:val="20"/>
          <w:szCs w:val="20"/>
        </w:rPr>
      </w:pPr>
      <w:r w:rsidRPr="007C63FC">
        <w:rPr>
          <w:rFonts w:ascii="Tahoma" w:hAnsi="Tahoma" w:cs="Tahoma"/>
          <w:sz w:val="20"/>
          <w:szCs w:val="20"/>
        </w:rPr>
        <w:t>En este sentido, el Ministerio Público debe contar con un conjunto de información y elementos de convicción que sustenten la promoción de la acción penal (…). Se trata, en suma, de contar con indicios delictivos que den seriedad a unos cargos y que justifiquen el procesamiento de una persona</w:t>
      </w:r>
      <w:r w:rsidRPr="00991E7D">
        <w:rPr>
          <w:rStyle w:val="Refdenotaalpie"/>
          <w:rFonts w:ascii="Tahoma" w:hAnsi="Tahoma" w:cs="Tahoma"/>
          <w:sz w:val="20"/>
          <w:szCs w:val="20"/>
        </w:rPr>
        <w:footnoteReference w:id="2"/>
      </w:r>
      <w:r w:rsidRPr="007C63FC">
        <w:rPr>
          <w:rFonts w:ascii="Tahoma" w:hAnsi="Tahoma" w:cs="Tahoma"/>
          <w:sz w:val="20"/>
          <w:szCs w:val="20"/>
        </w:rPr>
        <w:t xml:space="preserve">. </w:t>
      </w:r>
    </w:p>
    <w:p w14:paraId="27BA4109" w14:textId="77777777" w:rsidR="007C63FC" w:rsidRPr="007C63FC" w:rsidRDefault="007C63FC" w:rsidP="00412C87">
      <w:pPr>
        <w:pStyle w:val="Prrafodelista"/>
        <w:spacing w:line="240" w:lineRule="auto"/>
        <w:rPr>
          <w:rFonts w:ascii="Tahoma" w:hAnsi="Tahoma" w:cs="Tahoma"/>
          <w:sz w:val="20"/>
          <w:szCs w:val="20"/>
        </w:rPr>
      </w:pPr>
    </w:p>
    <w:p w14:paraId="2F5DCEB0" w14:textId="77777777" w:rsidR="007C63FC" w:rsidRPr="007C63FC" w:rsidRDefault="00991E7D" w:rsidP="00412C87">
      <w:pPr>
        <w:pStyle w:val="Prrafodelista"/>
        <w:widowControl w:val="0"/>
        <w:numPr>
          <w:ilvl w:val="2"/>
          <w:numId w:val="1"/>
        </w:numPr>
        <w:suppressAutoHyphens/>
        <w:spacing w:after="0" w:line="240" w:lineRule="auto"/>
        <w:ind w:left="284" w:hanging="284"/>
        <w:jc w:val="both"/>
        <w:rPr>
          <w:rFonts w:ascii="Tahoma" w:hAnsi="Tahoma" w:cs="Tahoma"/>
          <w:sz w:val="20"/>
          <w:szCs w:val="20"/>
        </w:rPr>
      </w:pPr>
      <w:r w:rsidRPr="007C63FC">
        <w:rPr>
          <w:rFonts w:ascii="Tahoma" w:hAnsi="Tahoma" w:cs="Tahoma"/>
          <w:sz w:val="20"/>
          <w:szCs w:val="20"/>
        </w:rPr>
        <w:t>Para analizar y resolver la presente investigación, es oportuno aplicar lo contemplado en los artículos 334° y 336° del Código Procesal Penal, que señalan, respectivamente</w:t>
      </w:r>
      <w:r w:rsidRPr="007C63FC">
        <w:rPr>
          <w:rFonts w:ascii="Tahoma" w:eastAsia="SimSun" w:hAnsi="Tahoma" w:cs="Tahoma"/>
          <w:w w:val="96"/>
          <w:kern w:val="1"/>
          <w:sz w:val="20"/>
          <w:szCs w:val="20"/>
          <w:lang w:eastAsia="es-PE" w:bidi="hi-IN"/>
        </w:rPr>
        <w:t xml:space="preserve">: </w:t>
      </w:r>
      <w:r w:rsidRPr="007C63FC">
        <w:rPr>
          <w:rFonts w:ascii="Tahoma" w:hAnsi="Tahoma" w:cs="Tahoma"/>
          <w:i/>
          <w:sz w:val="20"/>
          <w:szCs w:val="20"/>
        </w:rPr>
        <w:t>“1. Si el Fiscal al calificar la denuncia o después de haber realizado o dispuesto realizar diligencias preliminares, considera que el hecho denunciado no constituye delito, no es justiciable penalmente, o se presentan causas de extinción previstas en la Ley, declarará que no procede formalizar y continuar con la Investigación Preparatoria, así como ordenará el archivo de lo actuado. Y, “1. Si de la denuncia, del Informe Policial o de las Diligencias Preliminares que realizó, aparecen indicios reveladores de la existencia de un delito, que la acción penal no ha prescrito, que se ha individualizado al imputado y que, si fuera el caso, se han satisfecho los requisitos de procedibilidad, dispondrá la formalización y la continuación de la Investigación Preparatoria”.</w:t>
      </w:r>
    </w:p>
    <w:p w14:paraId="3CCEF64D" w14:textId="77777777" w:rsidR="007C63FC" w:rsidRPr="007C63FC" w:rsidRDefault="007C63FC" w:rsidP="00412C87">
      <w:pPr>
        <w:pStyle w:val="Prrafodelista"/>
        <w:spacing w:line="240" w:lineRule="auto"/>
        <w:rPr>
          <w:rFonts w:ascii="Tahoma" w:hAnsi="Tahoma" w:cs="Tahoma"/>
          <w:sz w:val="20"/>
          <w:szCs w:val="20"/>
        </w:rPr>
      </w:pPr>
    </w:p>
    <w:p w14:paraId="6ACBC2EF" w14:textId="77777777" w:rsidR="007C63FC" w:rsidRDefault="00991E7D" w:rsidP="00412C87">
      <w:pPr>
        <w:pStyle w:val="Prrafodelista"/>
        <w:widowControl w:val="0"/>
        <w:numPr>
          <w:ilvl w:val="2"/>
          <w:numId w:val="1"/>
        </w:numPr>
        <w:suppressAutoHyphens/>
        <w:spacing w:after="0" w:line="240" w:lineRule="auto"/>
        <w:ind w:left="284" w:hanging="284"/>
        <w:jc w:val="both"/>
        <w:rPr>
          <w:rFonts w:ascii="Tahoma" w:hAnsi="Tahoma" w:cs="Tahoma"/>
          <w:sz w:val="20"/>
          <w:szCs w:val="20"/>
        </w:rPr>
      </w:pPr>
      <w:r w:rsidRPr="007C63FC">
        <w:rPr>
          <w:rFonts w:ascii="Tahoma" w:hAnsi="Tahoma" w:cs="Tahoma"/>
          <w:sz w:val="20"/>
          <w:szCs w:val="20"/>
        </w:rPr>
        <w:t>Al respecto, el autor nacional César San Martín</w:t>
      </w:r>
      <w:r w:rsidRPr="00991E7D">
        <w:rPr>
          <w:rStyle w:val="Refdenotaalpie"/>
          <w:rFonts w:ascii="Tahoma" w:hAnsi="Tahoma" w:cs="Tahoma"/>
          <w:sz w:val="20"/>
          <w:szCs w:val="20"/>
        </w:rPr>
        <w:footnoteReference w:id="3"/>
      </w:r>
      <w:r w:rsidRPr="007C63FC">
        <w:rPr>
          <w:rFonts w:ascii="Tahoma" w:hAnsi="Tahoma" w:cs="Tahoma"/>
          <w:sz w:val="20"/>
          <w:szCs w:val="20"/>
        </w:rPr>
        <w:t xml:space="preserve">, expresa que “El art. 334.1 NCPP establece las causales por las que el fiscal, luego de recibir la denuncia o culminar la sub-fase  de </w:t>
      </w:r>
      <w:r w:rsidRPr="007C63FC">
        <w:rPr>
          <w:rFonts w:ascii="Tahoma" w:hAnsi="Tahoma" w:cs="Tahoma"/>
          <w:sz w:val="20"/>
          <w:szCs w:val="20"/>
        </w:rPr>
        <w:lastRenderedPageBreak/>
        <w:t xml:space="preserve">diligencias preliminares, puede emitir una disposición de archivo. Estas son: </w:t>
      </w:r>
      <w:r w:rsidRPr="007C63FC">
        <w:rPr>
          <w:rFonts w:ascii="Tahoma" w:hAnsi="Tahoma" w:cs="Tahoma"/>
          <w:b/>
          <w:sz w:val="20"/>
          <w:szCs w:val="20"/>
        </w:rPr>
        <w:t>(i)</w:t>
      </w:r>
      <w:r w:rsidRPr="007C63FC">
        <w:rPr>
          <w:rFonts w:ascii="Tahoma" w:hAnsi="Tahoma" w:cs="Tahoma"/>
          <w:sz w:val="20"/>
          <w:szCs w:val="20"/>
        </w:rPr>
        <w:t xml:space="preserve"> que el hecho no constituye delito o no es justiciable penalmente; </w:t>
      </w:r>
      <w:r w:rsidRPr="007C63FC">
        <w:rPr>
          <w:rFonts w:ascii="Tahoma" w:hAnsi="Tahoma" w:cs="Tahoma"/>
          <w:b/>
          <w:sz w:val="20"/>
          <w:szCs w:val="20"/>
        </w:rPr>
        <w:t>(ii)</w:t>
      </w:r>
      <w:r w:rsidRPr="007C63FC">
        <w:rPr>
          <w:rFonts w:ascii="Tahoma" w:hAnsi="Tahoma" w:cs="Tahoma"/>
          <w:sz w:val="20"/>
          <w:szCs w:val="20"/>
        </w:rPr>
        <w:t xml:space="preserve"> que se presenten causas de extinción de la acción penal o no se individualice - con sus nombres y apellidos completos - al denunciado o investigado: y, </w:t>
      </w:r>
      <w:r w:rsidRPr="007C63FC">
        <w:rPr>
          <w:rFonts w:ascii="Tahoma" w:hAnsi="Tahoma" w:cs="Tahoma"/>
          <w:b/>
          <w:sz w:val="20"/>
          <w:szCs w:val="20"/>
        </w:rPr>
        <w:t>(iii) que falten indicios reveladores de la realidad del delito, y la intervención de su comisión del denunciado o investigado”</w:t>
      </w:r>
      <w:r w:rsidRPr="007C63FC">
        <w:rPr>
          <w:rFonts w:ascii="Tahoma" w:hAnsi="Tahoma" w:cs="Tahoma"/>
          <w:sz w:val="20"/>
          <w:szCs w:val="20"/>
        </w:rPr>
        <w:t>.</w:t>
      </w:r>
    </w:p>
    <w:p w14:paraId="2602384C" w14:textId="77777777" w:rsidR="007C63FC" w:rsidRPr="007C63FC" w:rsidRDefault="007C63FC" w:rsidP="00412C87">
      <w:pPr>
        <w:pStyle w:val="Prrafodelista"/>
        <w:spacing w:line="240" w:lineRule="auto"/>
        <w:rPr>
          <w:rFonts w:ascii="Tahoma" w:hAnsi="Tahoma" w:cs="Tahoma"/>
          <w:sz w:val="20"/>
          <w:szCs w:val="20"/>
        </w:rPr>
      </w:pPr>
    </w:p>
    <w:p w14:paraId="3E367D9F" w14:textId="77777777" w:rsidR="007C63FC" w:rsidRDefault="00991E7D" w:rsidP="00412C87">
      <w:pPr>
        <w:pStyle w:val="Prrafodelista"/>
        <w:widowControl w:val="0"/>
        <w:numPr>
          <w:ilvl w:val="2"/>
          <w:numId w:val="1"/>
        </w:numPr>
        <w:suppressAutoHyphens/>
        <w:spacing w:after="0" w:line="240" w:lineRule="auto"/>
        <w:ind w:left="284" w:hanging="284"/>
        <w:jc w:val="both"/>
        <w:rPr>
          <w:rFonts w:ascii="Tahoma" w:hAnsi="Tahoma" w:cs="Tahoma"/>
          <w:sz w:val="20"/>
          <w:szCs w:val="20"/>
        </w:rPr>
      </w:pPr>
      <w:r w:rsidRPr="007C63FC">
        <w:rPr>
          <w:rFonts w:ascii="Tahoma" w:hAnsi="Tahoma" w:cs="Tahoma"/>
          <w:sz w:val="20"/>
          <w:szCs w:val="20"/>
        </w:rPr>
        <w:t xml:space="preserve">Las diligencias preliminares tienen por objeto desarrollar una actividad de investigación, que permita obtener los elementos de convicción a fin de que el Fiscal determine si debe formalizar la investigación (artículo 330º del Código Procesal Penal). Si se considera formalizar y continuar con la Investigación Preparatoria, es porque el Fiscal después de haber realizado o dispuesto realizar diligencias preliminares, estima que aparecen indicios reveladores de la existencia de un delito, que la acción penal no ha prescrito, que se ha individualizado al imputado y que, si fuera el caso, se han satisfecho los requisitos de procedibilidad (artículo 334.1 del Código Procesal Penal). </w:t>
      </w:r>
      <w:r w:rsidRPr="007C63FC">
        <w:rPr>
          <w:rFonts w:ascii="Tahoma" w:hAnsi="Tahoma" w:cs="Tahoma"/>
          <w:b/>
          <w:sz w:val="20"/>
          <w:szCs w:val="20"/>
        </w:rPr>
        <w:t>Caso contrario, declarará que no procede formalizar y continuar con la investigación preparatoria,</w:t>
      </w:r>
      <w:r w:rsidRPr="007C63FC">
        <w:rPr>
          <w:rFonts w:ascii="Tahoma" w:hAnsi="Tahoma" w:cs="Tahoma"/>
          <w:sz w:val="20"/>
          <w:szCs w:val="20"/>
        </w:rPr>
        <w:t xml:space="preserve"> así como ordenará el archivo de lo actuado; lo que impide que otro Fiscal pueda promover investigación preparatoria por los mismos hechos, salvo que se aporten nuevos elementos de convicción que amerite el reexamen de los actuados (art. 335° CPP).</w:t>
      </w:r>
    </w:p>
    <w:p w14:paraId="4B7E1793" w14:textId="77777777" w:rsidR="007C63FC" w:rsidRPr="007C63FC" w:rsidRDefault="007C63FC" w:rsidP="00412C87">
      <w:pPr>
        <w:pStyle w:val="Prrafodelista"/>
        <w:spacing w:line="240" w:lineRule="auto"/>
        <w:rPr>
          <w:rFonts w:ascii="Tahoma" w:hAnsi="Tahoma" w:cs="Tahoma"/>
          <w:sz w:val="20"/>
          <w:szCs w:val="20"/>
        </w:rPr>
      </w:pPr>
    </w:p>
    <w:p w14:paraId="3F5B41F0" w14:textId="77777777" w:rsidR="00991E7D" w:rsidRPr="007C63FC" w:rsidRDefault="00991E7D" w:rsidP="00412C87">
      <w:pPr>
        <w:pStyle w:val="Prrafodelista"/>
        <w:widowControl w:val="0"/>
        <w:numPr>
          <w:ilvl w:val="2"/>
          <w:numId w:val="1"/>
        </w:numPr>
        <w:suppressAutoHyphens/>
        <w:spacing w:after="0" w:line="240" w:lineRule="auto"/>
        <w:ind w:left="284" w:hanging="284"/>
        <w:jc w:val="both"/>
        <w:rPr>
          <w:rFonts w:ascii="Tahoma" w:hAnsi="Tahoma" w:cs="Tahoma"/>
          <w:sz w:val="20"/>
          <w:szCs w:val="20"/>
        </w:rPr>
      </w:pPr>
      <w:r w:rsidRPr="007C63FC">
        <w:rPr>
          <w:rFonts w:ascii="Tahoma" w:hAnsi="Tahoma" w:cs="Tahoma"/>
          <w:sz w:val="20"/>
          <w:szCs w:val="20"/>
        </w:rPr>
        <w:t xml:space="preserve">En esa línea de argumentación, entendemos que </w:t>
      </w:r>
      <w:r w:rsidRPr="007C63FC">
        <w:rPr>
          <w:rFonts w:ascii="Tahoma" w:hAnsi="Tahoma" w:cs="Tahoma"/>
          <w:b/>
          <w:sz w:val="20"/>
          <w:szCs w:val="20"/>
        </w:rPr>
        <w:t>la obligación del Fiscal es asegurarse que toda investigación conducida por él contenga causa probable de imputación penal</w:t>
      </w:r>
      <w:r w:rsidRPr="007C63FC">
        <w:rPr>
          <w:rFonts w:ascii="Tahoma" w:hAnsi="Tahoma" w:cs="Tahoma"/>
          <w:sz w:val="20"/>
          <w:szCs w:val="20"/>
        </w:rPr>
        <w:t>, esto es, sólo debe poner en marcha el aparato fiscal ante la existencia de suficientes elementos de convicción de la realidad y comisión de ilícito y de la vinculación del imputado en su comisión.</w:t>
      </w:r>
    </w:p>
    <w:p w14:paraId="2AFD5E5E" w14:textId="77777777" w:rsidR="00991E7D" w:rsidRPr="00991E7D" w:rsidRDefault="00991E7D" w:rsidP="00412C87">
      <w:pPr>
        <w:widowControl w:val="0"/>
        <w:suppressAutoHyphens/>
        <w:spacing w:after="0" w:line="240" w:lineRule="auto"/>
        <w:ind w:left="709" w:hanging="425"/>
        <w:contextualSpacing/>
        <w:jc w:val="both"/>
        <w:rPr>
          <w:rFonts w:ascii="Tahoma" w:eastAsia="SimSun" w:hAnsi="Tahoma" w:cs="Tahoma"/>
          <w:w w:val="96"/>
          <w:kern w:val="1"/>
          <w:sz w:val="20"/>
          <w:szCs w:val="20"/>
          <w:lang w:eastAsia="hi-IN" w:bidi="hi-IN"/>
        </w:rPr>
      </w:pPr>
    </w:p>
    <w:p w14:paraId="551A0F3E" w14:textId="77777777" w:rsidR="00991E7D" w:rsidRPr="00991E7D" w:rsidRDefault="00991E7D" w:rsidP="00412C87">
      <w:pPr>
        <w:widowControl w:val="0"/>
        <w:suppressAutoHyphens/>
        <w:spacing w:after="0" w:line="240" w:lineRule="auto"/>
        <w:ind w:left="284"/>
        <w:contextualSpacing/>
        <w:jc w:val="both"/>
        <w:rPr>
          <w:rFonts w:ascii="Tahoma" w:eastAsia="Calibri" w:hAnsi="Tahoma" w:cs="Tahoma"/>
          <w:b/>
          <w:w w:val="96"/>
          <w:kern w:val="3"/>
          <w:sz w:val="20"/>
          <w:szCs w:val="20"/>
          <w:lang w:eastAsia="es-ES" w:bidi="hi-IN"/>
        </w:rPr>
      </w:pPr>
      <w:r w:rsidRPr="00991E7D">
        <w:rPr>
          <w:rFonts w:ascii="Tahoma" w:hAnsi="Tahoma" w:cs="Tahoma"/>
          <w:b/>
          <w:sz w:val="20"/>
          <w:szCs w:val="20"/>
        </w:rPr>
        <w:t>CUARTO. - ANÁLISIS DEL CASO EN CONCRETO</w:t>
      </w:r>
    </w:p>
    <w:p w14:paraId="63C7A838" w14:textId="77777777" w:rsidR="00991E7D" w:rsidRPr="00991E7D" w:rsidRDefault="00991E7D" w:rsidP="00412C87">
      <w:pPr>
        <w:widowControl w:val="0"/>
        <w:suppressAutoHyphens/>
        <w:spacing w:after="0" w:line="240" w:lineRule="auto"/>
        <w:ind w:left="284"/>
        <w:contextualSpacing/>
        <w:jc w:val="both"/>
        <w:rPr>
          <w:rFonts w:ascii="Tahoma" w:eastAsia="Calibri" w:hAnsi="Tahoma" w:cs="Tahoma"/>
          <w:b/>
          <w:w w:val="96"/>
          <w:kern w:val="3"/>
          <w:sz w:val="20"/>
          <w:szCs w:val="20"/>
          <w:lang w:eastAsia="es-ES" w:bidi="hi-IN"/>
        </w:rPr>
      </w:pPr>
    </w:p>
    <w:p w14:paraId="7D8D5F5B" w14:textId="77777777" w:rsidR="007C63FC" w:rsidRDefault="00991E7D" w:rsidP="00412C87">
      <w:pPr>
        <w:pStyle w:val="Prrafodelista"/>
        <w:widowControl w:val="0"/>
        <w:numPr>
          <w:ilvl w:val="2"/>
          <w:numId w:val="1"/>
        </w:numPr>
        <w:suppressAutoHyphens/>
        <w:spacing w:after="0" w:line="240" w:lineRule="auto"/>
        <w:ind w:left="284" w:firstLine="0"/>
        <w:jc w:val="both"/>
        <w:rPr>
          <w:rFonts w:ascii="Tahoma" w:hAnsi="Tahoma" w:cs="Tahoma"/>
          <w:sz w:val="20"/>
          <w:szCs w:val="20"/>
        </w:rPr>
      </w:pPr>
      <w:r w:rsidRPr="007C63FC">
        <w:rPr>
          <w:rFonts w:ascii="Tahoma" w:hAnsi="Tahoma" w:cs="Tahoma"/>
          <w:sz w:val="20"/>
          <w:szCs w:val="20"/>
        </w:rPr>
        <w:t xml:space="preserve">En los casos de delito informático contra el patrimonio - </w:t>
      </w:r>
      <w:r w:rsidRPr="007C63FC">
        <w:rPr>
          <w:rFonts w:ascii="Tahoma" w:hAnsi="Tahoma" w:cs="Tahoma"/>
          <w:i/>
          <w:sz w:val="20"/>
          <w:szCs w:val="20"/>
        </w:rPr>
        <w:t>fraude informático</w:t>
      </w:r>
      <w:r w:rsidRPr="007C63FC">
        <w:rPr>
          <w:rFonts w:ascii="Tahoma" w:hAnsi="Tahoma" w:cs="Tahoma"/>
          <w:sz w:val="20"/>
          <w:szCs w:val="20"/>
        </w:rPr>
        <w:t xml:space="preserve">  “al igual que en todas las causas de estafa, requiere para su configuración el causar un perjuicio de contenido patrimonial a otra persona”. El bien jurídico protegido es el patrimonio en general, y lo que se castiga son las conductas que afectan el patrimonio mediante el uso de sistemas informáticos por parte del agente. </w:t>
      </w:r>
    </w:p>
    <w:p w14:paraId="33901F4B" w14:textId="77777777" w:rsidR="007C63FC" w:rsidRDefault="007C63FC" w:rsidP="00412C87">
      <w:pPr>
        <w:pStyle w:val="Prrafodelista"/>
        <w:widowControl w:val="0"/>
        <w:suppressAutoHyphens/>
        <w:spacing w:after="0" w:line="240" w:lineRule="auto"/>
        <w:ind w:left="284"/>
        <w:jc w:val="both"/>
        <w:rPr>
          <w:rFonts w:ascii="Tahoma" w:hAnsi="Tahoma" w:cs="Tahoma"/>
          <w:sz w:val="20"/>
          <w:szCs w:val="20"/>
        </w:rPr>
      </w:pPr>
    </w:p>
    <w:p w14:paraId="3B0D5631" w14:textId="77777777" w:rsidR="007C63FC" w:rsidRDefault="00991E7D" w:rsidP="00412C87">
      <w:pPr>
        <w:pStyle w:val="Prrafodelista"/>
        <w:widowControl w:val="0"/>
        <w:numPr>
          <w:ilvl w:val="2"/>
          <w:numId w:val="1"/>
        </w:numPr>
        <w:suppressAutoHyphens/>
        <w:spacing w:after="0" w:line="240" w:lineRule="auto"/>
        <w:ind w:left="284" w:firstLine="0"/>
        <w:jc w:val="both"/>
        <w:rPr>
          <w:rFonts w:ascii="Tahoma" w:hAnsi="Tahoma" w:cs="Tahoma"/>
          <w:sz w:val="20"/>
          <w:szCs w:val="20"/>
        </w:rPr>
      </w:pPr>
      <w:r w:rsidRPr="007C63FC">
        <w:rPr>
          <w:rFonts w:ascii="Tahoma" w:hAnsi="Tahoma" w:cs="Tahoma"/>
          <w:sz w:val="20"/>
          <w:szCs w:val="20"/>
        </w:rPr>
        <w:t>El informe explicativo del Convenio de Budapest en cuanto al delito de Fraude informático destaca que “Estos delitos consisten principalmente en manipulaciones respecto de la introducción de datos, cuando se introducen datos incorrectos en un ordenador, o en manipulaciones respecto de los programas y otras interferencias al procesamiento de los datos. La finalidad de este artículo es establecer como delito toda manipulación indebida realizada en el transcurso del procesamiento de datos con la intención de efectuar una transferencia ilegal de bienes”.</w:t>
      </w:r>
    </w:p>
    <w:p w14:paraId="09B05665" w14:textId="77777777" w:rsidR="007C63FC" w:rsidRPr="007C63FC" w:rsidRDefault="007C63FC" w:rsidP="00412C87">
      <w:pPr>
        <w:pStyle w:val="Prrafodelista"/>
        <w:spacing w:line="240" w:lineRule="auto"/>
        <w:rPr>
          <w:rFonts w:ascii="Tahoma" w:hAnsi="Tahoma" w:cs="Tahoma"/>
          <w:sz w:val="20"/>
          <w:szCs w:val="20"/>
        </w:rPr>
      </w:pPr>
    </w:p>
    <w:p w14:paraId="4CEF03D5" w14:textId="77777777" w:rsidR="007C63FC" w:rsidRDefault="00991E7D" w:rsidP="00412C87">
      <w:pPr>
        <w:pStyle w:val="Prrafodelista"/>
        <w:widowControl w:val="0"/>
        <w:numPr>
          <w:ilvl w:val="2"/>
          <w:numId w:val="1"/>
        </w:numPr>
        <w:suppressAutoHyphens/>
        <w:spacing w:after="0" w:line="240" w:lineRule="auto"/>
        <w:ind w:left="284" w:firstLine="0"/>
        <w:jc w:val="both"/>
        <w:rPr>
          <w:rFonts w:ascii="Tahoma" w:hAnsi="Tahoma" w:cs="Tahoma"/>
          <w:sz w:val="20"/>
          <w:szCs w:val="20"/>
        </w:rPr>
      </w:pPr>
      <w:r w:rsidRPr="007C63FC">
        <w:rPr>
          <w:rFonts w:ascii="Tahoma" w:hAnsi="Tahoma" w:cs="Tahoma"/>
          <w:sz w:val="20"/>
          <w:szCs w:val="20"/>
        </w:rPr>
        <w:t xml:space="preserve">Estando a ello, para continuar con la investigación es imprescindible verificar que haya indicios que acrediten con grado de probabilidad (sospecha probable) que existe un hecho con caracteres de delito y que se ha individualizado a los intervinientes (autores y/o partícipes). La existencia del hecho y la vinculación (hecho - intervinientes) debe estar sustentado en elementos de convicción de especial fuerza acreditativa. </w:t>
      </w:r>
    </w:p>
    <w:p w14:paraId="0872E37D" w14:textId="77777777" w:rsidR="007C63FC" w:rsidRPr="007C63FC" w:rsidRDefault="007C63FC" w:rsidP="00412C87">
      <w:pPr>
        <w:pStyle w:val="Prrafodelista"/>
        <w:spacing w:line="240" w:lineRule="auto"/>
        <w:rPr>
          <w:rFonts w:ascii="Tahoma" w:hAnsi="Tahoma" w:cs="Tahoma"/>
          <w:sz w:val="20"/>
          <w:szCs w:val="20"/>
        </w:rPr>
      </w:pPr>
    </w:p>
    <w:p w14:paraId="3A8DF579" w14:textId="59AC3FFC" w:rsidR="007C63FC" w:rsidRPr="007C63FC" w:rsidRDefault="00991E7D" w:rsidP="00412C87">
      <w:pPr>
        <w:pStyle w:val="Prrafodelista"/>
        <w:widowControl w:val="0"/>
        <w:numPr>
          <w:ilvl w:val="2"/>
          <w:numId w:val="1"/>
        </w:numPr>
        <w:suppressAutoHyphens/>
        <w:spacing w:after="0" w:line="240" w:lineRule="auto"/>
        <w:ind w:left="284" w:firstLine="0"/>
        <w:jc w:val="both"/>
        <w:rPr>
          <w:rFonts w:ascii="Tahoma" w:hAnsi="Tahoma" w:cs="Tahoma"/>
          <w:sz w:val="20"/>
          <w:szCs w:val="20"/>
        </w:rPr>
      </w:pPr>
      <w:r w:rsidRPr="007C63FC">
        <w:rPr>
          <w:rFonts w:ascii="Tahoma" w:hAnsi="Tahoma" w:cs="Tahoma"/>
          <w:sz w:val="20"/>
          <w:szCs w:val="20"/>
        </w:rPr>
        <w:t xml:space="preserve">Ahora bien, en el presente caso, se tiene que </w:t>
      </w:r>
      <w:r w:rsidR="00C808B7" w:rsidRPr="007C63FC">
        <w:rPr>
          <w:rFonts w:ascii="Tahoma" w:hAnsi="Tahoma" w:cs="Tahoma"/>
          <w:sz w:val="20"/>
          <w:szCs w:val="20"/>
        </w:rPr>
        <w:t>el</w:t>
      </w:r>
      <w:r w:rsidRPr="007C63FC">
        <w:rPr>
          <w:rFonts w:ascii="Tahoma" w:hAnsi="Tahoma" w:cs="Tahoma"/>
          <w:sz w:val="20"/>
          <w:szCs w:val="20"/>
        </w:rPr>
        <w:t xml:space="preserve"> ag</w:t>
      </w:r>
      <w:r w:rsidR="00C808B7" w:rsidRPr="007C63FC">
        <w:rPr>
          <w:rFonts w:ascii="Tahoma" w:hAnsi="Tahoma" w:cs="Tahoma"/>
          <w:sz w:val="20"/>
          <w:szCs w:val="20"/>
        </w:rPr>
        <w:t xml:space="preserve">raviado </w:t>
      </w:r>
      <w:r w:rsidR="00D91378">
        <w:rPr>
          <w:rFonts w:ascii="Tahoma" w:hAnsi="Tahoma" w:cs="Tahoma"/>
          <w:sz w:val="20"/>
          <w:szCs w:val="20"/>
        </w:rPr>
        <w:t>&lt;&lt;agraviado&gt;&gt;</w:t>
      </w:r>
      <w:r w:rsidR="00C808B7" w:rsidRPr="007C63FC">
        <w:rPr>
          <w:rFonts w:ascii="Tahoma" w:hAnsi="Tahoma" w:cs="Tahoma"/>
          <w:sz w:val="20"/>
          <w:szCs w:val="20"/>
        </w:rPr>
        <w:t xml:space="preserve"> </w:t>
      </w:r>
      <w:r w:rsidRPr="007C63FC">
        <w:rPr>
          <w:rFonts w:ascii="Tahoma" w:hAnsi="Tahoma" w:cs="Tahoma"/>
          <w:sz w:val="20"/>
          <w:szCs w:val="20"/>
        </w:rPr>
        <w:t xml:space="preserve">ha señalado respecto a su denuncia presentada, haber sido presunta víctima de Fraude Informático, sin embargo, la parte agraviada conforme al acta fiscal de llamada telefónica </w:t>
      </w:r>
      <w:bookmarkStart w:id="4" w:name="_Hlk212445132"/>
      <w:r w:rsidR="007F3FCE">
        <w:rPr>
          <w:rFonts w:ascii="Tahoma" w:hAnsi="Tahoma" w:cs="Tahoma"/>
          <w:sz w:val="20"/>
          <w:szCs w:val="20"/>
        </w:rPr>
        <w:lastRenderedPageBreak/>
        <w:t>&lt;&lt;</w:t>
      </w:r>
      <w:proofErr w:type="spellStart"/>
      <w:r w:rsidR="007F3FCE">
        <w:rPr>
          <w:rFonts w:ascii="Tahoma" w:hAnsi="Tahoma" w:cs="Tahoma"/>
          <w:sz w:val="20"/>
          <w:szCs w:val="20"/>
        </w:rPr>
        <w:t>referencia_acta</w:t>
      </w:r>
      <w:proofErr w:type="spellEnd"/>
      <w:r w:rsidR="007F3FCE">
        <w:rPr>
          <w:rFonts w:ascii="Tahoma" w:hAnsi="Tahoma" w:cs="Tahoma"/>
          <w:sz w:val="20"/>
          <w:szCs w:val="20"/>
        </w:rPr>
        <w:t>&gt;&gt;</w:t>
      </w:r>
      <w:r w:rsidRPr="007C63FC">
        <w:rPr>
          <w:rFonts w:ascii="Tahoma" w:hAnsi="Tahoma" w:cs="Tahoma"/>
          <w:sz w:val="20"/>
          <w:szCs w:val="20"/>
        </w:rPr>
        <w:t xml:space="preserve">, ha </w:t>
      </w:r>
      <w:r w:rsidRPr="007C63FC">
        <w:rPr>
          <w:rFonts w:ascii="Tahoma" w:eastAsia="MS UI Gothic" w:hAnsi="Tahoma" w:cs="Tahoma"/>
          <w:sz w:val="20"/>
          <w:szCs w:val="20"/>
          <w:lang w:val="es-ES"/>
        </w:rPr>
        <w:t xml:space="preserve">señalado que no desea continuar con la denuncia </w:t>
      </w:r>
      <w:r w:rsidR="00C808B7" w:rsidRPr="007C63FC">
        <w:rPr>
          <w:rFonts w:ascii="Tahoma" w:eastAsia="MS UI Gothic" w:hAnsi="Tahoma" w:cs="Tahoma"/>
          <w:sz w:val="20"/>
          <w:szCs w:val="20"/>
          <w:lang w:val="es-ES"/>
        </w:rPr>
        <w:t xml:space="preserve">debido a que </w:t>
      </w:r>
      <w:r w:rsidR="007F3FCE">
        <w:rPr>
          <w:rFonts w:ascii="Tahoma" w:eastAsia="MS UI Gothic" w:hAnsi="Tahoma" w:cs="Tahoma"/>
          <w:sz w:val="20"/>
          <w:szCs w:val="20"/>
          <w:lang w:val="es-ES"/>
        </w:rPr>
        <w:t>&lt;&lt;</w:t>
      </w:r>
      <w:proofErr w:type="spellStart"/>
      <w:r w:rsidR="007F3FCE">
        <w:rPr>
          <w:rFonts w:ascii="Tahoma" w:eastAsia="MS UI Gothic" w:hAnsi="Tahoma" w:cs="Tahoma"/>
          <w:sz w:val="20"/>
          <w:szCs w:val="20"/>
          <w:lang w:val="es-ES"/>
        </w:rPr>
        <w:t>motivo_desistimiento</w:t>
      </w:r>
      <w:proofErr w:type="spellEnd"/>
      <w:r w:rsidR="007F3FCE">
        <w:rPr>
          <w:rFonts w:ascii="Tahoma" w:eastAsia="MS UI Gothic" w:hAnsi="Tahoma" w:cs="Tahoma"/>
          <w:sz w:val="20"/>
          <w:szCs w:val="20"/>
          <w:lang w:val="es-ES"/>
        </w:rPr>
        <w:t>&gt;&gt;</w:t>
      </w:r>
      <w:r w:rsidRPr="007C63FC">
        <w:rPr>
          <w:rFonts w:ascii="Tahoma" w:eastAsia="MS UI Gothic" w:hAnsi="Tahoma" w:cs="Tahoma"/>
          <w:sz w:val="20"/>
          <w:szCs w:val="20"/>
          <w:lang w:val="es-ES"/>
        </w:rPr>
        <w:t xml:space="preserve">, </w:t>
      </w:r>
      <w:bookmarkStart w:id="5" w:name="_Hlk137720617"/>
      <w:bookmarkEnd w:id="4"/>
      <w:r w:rsidRPr="007C63FC">
        <w:rPr>
          <w:rFonts w:ascii="Tahoma" w:eastAsia="MS UI Gothic" w:hAnsi="Tahoma" w:cs="Tahoma"/>
          <w:sz w:val="20"/>
          <w:szCs w:val="20"/>
          <w:lang w:val="es-ES"/>
        </w:rPr>
        <w:t xml:space="preserve">por lo que no participará en las diligencias que se programen, motivo por el cual se desiste de la presente investigación fiscal. </w:t>
      </w:r>
    </w:p>
    <w:p w14:paraId="730EEC3C" w14:textId="77777777" w:rsidR="007C63FC" w:rsidRPr="007C63FC" w:rsidRDefault="007C63FC" w:rsidP="00412C87">
      <w:pPr>
        <w:pStyle w:val="Prrafodelista"/>
        <w:spacing w:line="240" w:lineRule="auto"/>
        <w:rPr>
          <w:rFonts w:ascii="Tahoma" w:hAnsi="Tahoma" w:cs="Tahoma"/>
          <w:sz w:val="20"/>
          <w:szCs w:val="20"/>
        </w:rPr>
      </w:pPr>
    </w:p>
    <w:p w14:paraId="1E89AC5D" w14:textId="77777777" w:rsidR="007C63FC" w:rsidRDefault="00991E7D" w:rsidP="00412C87">
      <w:pPr>
        <w:pStyle w:val="Prrafodelista"/>
        <w:widowControl w:val="0"/>
        <w:numPr>
          <w:ilvl w:val="2"/>
          <w:numId w:val="1"/>
        </w:numPr>
        <w:suppressAutoHyphens/>
        <w:spacing w:after="0" w:line="240" w:lineRule="auto"/>
        <w:ind w:left="284" w:firstLine="0"/>
        <w:jc w:val="both"/>
        <w:rPr>
          <w:rFonts w:ascii="Tahoma" w:hAnsi="Tahoma" w:cs="Tahoma"/>
          <w:sz w:val="20"/>
          <w:szCs w:val="20"/>
        </w:rPr>
      </w:pPr>
      <w:r w:rsidRPr="007C63FC">
        <w:rPr>
          <w:rFonts w:ascii="Tahoma" w:hAnsi="Tahoma" w:cs="Tahoma"/>
          <w:sz w:val="20"/>
          <w:szCs w:val="20"/>
        </w:rPr>
        <w:t>Conforme a lo dicho, la sola imputación inicial del denunciante no es suficiente ni razonable, a fin de promover acción penal, la misma que se torna en insuficiente e imposibilitada cuando la misma no es</w:t>
      </w:r>
      <w:r w:rsidRPr="007C63FC">
        <w:rPr>
          <w:rFonts w:ascii="Tahoma" w:eastAsia="SimSun" w:hAnsi="Tahoma" w:cs="Tahoma"/>
          <w:color w:val="000000"/>
          <w:w w:val="96"/>
          <w:kern w:val="2"/>
          <w:sz w:val="20"/>
          <w:szCs w:val="20"/>
          <w:lang w:val="es-ES" w:eastAsia="es-PE" w:bidi="hi-IN"/>
        </w:rPr>
        <w:t xml:space="preserve"> </w:t>
      </w:r>
      <w:r w:rsidRPr="007C63FC">
        <w:rPr>
          <w:rFonts w:ascii="Tahoma" w:hAnsi="Tahoma" w:cs="Tahoma"/>
          <w:b/>
          <w:sz w:val="20"/>
          <w:szCs w:val="20"/>
        </w:rPr>
        <w:t>coherente, persistente y razonada</w:t>
      </w:r>
      <w:r w:rsidRPr="007C63FC">
        <w:rPr>
          <w:rFonts w:ascii="Tahoma" w:eastAsia="SimSun" w:hAnsi="Tahoma" w:cs="Tahoma"/>
          <w:color w:val="000000"/>
          <w:w w:val="96"/>
          <w:kern w:val="2"/>
          <w:sz w:val="20"/>
          <w:szCs w:val="20"/>
          <w:lang w:val="es-ES" w:eastAsia="es-PE" w:bidi="hi-IN"/>
        </w:rPr>
        <w:t xml:space="preserve">, </w:t>
      </w:r>
      <w:r w:rsidRPr="007C63FC">
        <w:rPr>
          <w:rFonts w:ascii="Tahoma" w:hAnsi="Tahoma" w:cs="Tahoma"/>
          <w:sz w:val="20"/>
          <w:szCs w:val="20"/>
        </w:rPr>
        <w:t>estando</w:t>
      </w:r>
      <w:r w:rsidRPr="007C63FC">
        <w:rPr>
          <w:rFonts w:ascii="Tahoma" w:eastAsia="SimSun" w:hAnsi="Tahoma" w:cs="Tahoma"/>
          <w:color w:val="000000"/>
          <w:w w:val="96"/>
          <w:kern w:val="2"/>
          <w:sz w:val="20"/>
          <w:szCs w:val="20"/>
          <w:lang w:val="es-ES" w:eastAsia="es-PE" w:bidi="hi-IN"/>
        </w:rPr>
        <w:t xml:space="preserve"> </w:t>
      </w:r>
      <w:r w:rsidRPr="007C63FC">
        <w:rPr>
          <w:rFonts w:ascii="Tahoma" w:hAnsi="Tahoma" w:cs="Tahoma"/>
          <w:b/>
          <w:sz w:val="20"/>
          <w:szCs w:val="20"/>
        </w:rPr>
        <w:t>a que el denunciante se ha desistido de dicha imputación</w:t>
      </w:r>
      <w:r w:rsidRPr="007C63FC">
        <w:rPr>
          <w:rFonts w:ascii="Tahoma" w:eastAsia="SimSun" w:hAnsi="Tahoma" w:cs="Tahoma"/>
          <w:color w:val="000000"/>
          <w:w w:val="96"/>
          <w:kern w:val="2"/>
          <w:sz w:val="20"/>
          <w:szCs w:val="20"/>
          <w:lang w:val="es-ES" w:eastAsia="es-PE" w:bidi="hi-IN"/>
        </w:rPr>
        <w:t xml:space="preserve">, </w:t>
      </w:r>
      <w:r w:rsidRPr="007C63FC">
        <w:rPr>
          <w:rFonts w:ascii="Tahoma" w:hAnsi="Tahoma" w:cs="Tahoma"/>
          <w:sz w:val="20"/>
          <w:szCs w:val="20"/>
        </w:rPr>
        <w:t xml:space="preserve">criterio que tiene sentido mutatis mutandis en el Acuerdo Plenario N°02-2005/CJ-116, en cuyo fundamento 10 señala que: tratándose de las declaraciones de un agraviado, aun cuando sea el único testigo de los hechos, al no regir el antiguo principio jurídico </w:t>
      </w:r>
      <w:proofErr w:type="spellStart"/>
      <w:r w:rsidRPr="007C63FC">
        <w:rPr>
          <w:rFonts w:ascii="Tahoma" w:hAnsi="Tahoma" w:cs="Tahoma"/>
          <w:sz w:val="20"/>
          <w:szCs w:val="20"/>
        </w:rPr>
        <w:t>testis</w:t>
      </w:r>
      <w:proofErr w:type="spellEnd"/>
      <w:r w:rsidRPr="007C63FC">
        <w:rPr>
          <w:rFonts w:ascii="Tahoma" w:hAnsi="Tahoma" w:cs="Tahoma"/>
          <w:sz w:val="20"/>
          <w:szCs w:val="20"/>
        </w:rPr>
        <w:t xml:space="preserve"> </w:t>
      </w:r>
      <w:proofErr w:type="spellStart"/>
      <w:r w:rsidRPr="007C63FC">
        <w:rPr>
          <w:rFonts w:ascii="Tahoma" w:hAnsi="Tahoma" w:cs="Tahoma"/>
          <w:sz w:val="20"/>
          <w:szCs w:val="20"/>
        </w:rPr>
        <w:t>unus</w:t>
      </w:r>
      <w:proofErr w:type="spellEnd"/>
      <w:r w:rsidRPr="007C63FC">
        <w:rPr>
          <w:rFonts w:ascii="Tahoma" w:hAnsi="Tahoma" w:cs="Tahoma"/>
          <w:sz w:val="20"/>
          <w:szCs w:val="20"/>
        </w:rPr>
        <w:t xml:space="preserve"> </w:t>
      </w:r>
      <w:proofErr w:type="spellStart"/>
      <w:r w:rsidRPr="007C63FC">
        <w:rPr>
          <w:rFonts w:ascii="Tahoma" w:hAnsi="Tahoma" w:cs="Tahoma"/>
          <w:sz w:val="20"/>
          <w:szCs w:val="20"/>
        </w:rPr>
        <w:t>testis</w:t>
      </w:r>
      <w:proofErr w:type="spellEnd"/>
      <w:r w:rsidRPr="007C63FC">
        <w:rPr>
          <w:rFonts w:ascii="Tahoma" w:hAnsi="Tahoma" w:cs="Tahoma"/>
          <w:sz w:val="20"/>
          <w:szCs w:val="20"/>
        </w:rPr>
        <w:t xml:space="preserve"> </w:t>
      </w:r>
      <w:proofErr w:type="spellStart"/>
      <w:r w:rsidRPr="007C63FC">
        <w:rPr>
          <w:rFonts w:ascii="Tahoma" w:hAnsi="Tahoma" w:cs="Tahoma"/>
          <w:sz w:val="20"/>
          <w:szCs w:val="20"/>
        </w:rPr>
        <w:t>nullus</w:t>
      </w:r>
      <w:proofErr w:type="spellEnd"/>
      <w:r w:rsidRPr="007C63FC">
        <w:rPr>
          <w:rFonts w:ascii="Tahoma" w:hAnsi="Tahoma" w:cs="Tahoma"/>
          <w:sz w:val="20"/>
          <w:szCs w:val="20"/>
        </w:rPr>
        <w:t xml:space="preserve">, tiene entidad para ser considerada prueba válida de cargo y por ende virtualidad procesal para enervar la presunción de inocencia del imputado siempre y cuando no se adviertan razones objetivas que invaliden sus afirmaciones. </w:t>
      </w:r>
    </w:p>
    <w:p w14:paraId="22A63B49" w14:textId="77777777" w:rsidR="007C63FC" w:rsidRPr="007C63FC" w:rsidRDefault="007C63FC" w:rsidP="00412C87">
      <w:pPr>
        <w:pStyle w:val="Prrafodelista"/>
        <w:spacing w:line="240" w:lineRule="auto"/>
        <w:rPr>
          <w:rFonts w:ascii="Tahoma" w:hAnsi="Tahoma" w:cs="Tahoma"/>
          <w:sz w:val="20"/>
          <w:szCs w:val="20"/>
        </w:rPr>
      </w:pPr>
    </w:p>
    <w:p w14:paraId="5E3D2EA4" w14:textId="018AEC7A" w:rsidR="007C63FC" w:rsidRDefault="00991E7D" w:rsidP="00412C87">
      <w:pPr>
        <w:pStyle w:val="Prrafodelista"/>
        <w:widowControl w:val="0"/>
        <w:numPr>
          <w:ilvl w:val="2"/>
          <w:numId w:val="1"/>
        </w:numPr>
        <w:suppressAutoHyphens/>
        <w:spacing w:after="0" w:line="240" w:lineRule="auto"/>
        <w:ind w:left="284" w:firstLine="0"/>
        <w:jc w:val="both"/>
        <w:rPr>
          <w:rFonts w:ascii="Tahoma" w:hAnsi="Tahoma" w:cs="Tahoma"/>
          <w:sz w:val="20"/>
          <w:szCs w:val="20"/>
        </w:rPr>
      </w:pPr>
      <w:r w:rsidRPr="007C63FC">
        <w:rPr>
          <w:rFonts w:ascii="Tahoma" w:hAnsi="Tahoma" w:cs="Tahoma"/>
          <w:sz w:val="20"/>
          <w:szCs w:val="20"/>
        </w:rPr>
        <w:t>Las garantías de certeza serían las siguientes: a) Ausencia de incredibilidad subjetiva, es decir que no existan relaciones entre agraviado e imputado basadas en el odio, resentimientos, enemistad u otras que puedan incidir en la parcialidad de la deposición, que por ende le niegue virtud para generar certeza, b) Verosimilitud, que no solo incide en la coherencia y solidez de la propia declaración, sino que debe estar rodeado de ciertas corroboraciones periféricas de carácter objetivo que lo doten de aptitud probatoria. A la fecha, no se cuenta con el detalle pormenorizado de los hechos; c)</w:t>
      </w:r>
      <w:r w:rsidRPr="007C63FC">
        <w:rPr>
          <w:rFonts w:ascii="Tahoma" w:eastAsia="SimSun" w:hAnsi="Tahoma" w:cs="Tahoma"/>
          <w:w w:val="96"/>
          <w:kern w:val="2"/>
          <w:sz w:val="20"/>
          <w:szCs w:val="20"/>
          <w:lang w:eastAsia="hi-IN" w:bidi="hi-IN"/>
        </w:rPr>
        <w:t xml:space="preserve"> </w:t>
      </w:r>
      <w:r w:rsidRPr="007C63FC">
        <w:rPr>
          <w:rFonts w:ascii="Tahoma" w:hAnsi="Tahoma" w:cs="Tahoma"/>
          <w:b/>
          <w:i/>
          <w:sz w:val="20"/>
          <w:szCs w:val="20"/>
        </w:rPr>
        <w:t>Persistencia en la incriminación</w:t>
      </w:r>
      <w:r w:rsidRPr="007C63FC">
        <w:rPr>
          <w:rFonts w:ascii="Tahoma" w:eastAsia="SimSun" w:hAnsi="Tahoma" w:cs="Tahoma"/>
          <w:w w:val="96"/>
          <w:kern w:val="2"/>
          <w:sz w:val="20"/>
          <w:szCs w:val="20"/>
          <w:lang w:eastAsia="hi-IN" w:bidi="hi-IN"/>
        </w:rPr>
        <w:t xml:space="preserve">, </w:t>
      </w:r>
      <w:r w:rsidRPr="007C63FC">
        <w:rPr>
          <w:rFonts w:ascii="Tahoma" w:hAnsi="Tahoma" w:cs="Tahoma"/>
          <w:sz w:val="20"/>
          <w:szCs w:val="20"/>
        </w:rPr>
        <w:t>con las matizaciones que se señala en el literal c) del numeral 9 que señala: se debe observar la coherencia y solidez del relato. En</w:t>
      </w:r>
      <w:r w:rsidRPr="007C63FC">
        <w:rPr>
          <w:rFonts w:ascii="Tahoma" w:eastAsia="SimSun" w:hAnsi="Tahoma" w:cs="Tahoma"/>
          <w:w w:val="96"/>
          <w:kern w:val="2"/>
          <w:sz w:val="20"/>
          <w:szCs w:val="20"/>
          <w:lang w:eastAsia="hi-IN" w:bidi="hi-IN"/>
        </w:rPr>
        <w:t xml:space="preserve"> </w:t>
      </w:r>
      <w:r w:rsidRPr="007C63FC">
        <w:rPr>
          <w:rFonts w:ascii="Tahoma" w:hAnsi="Tahoma" w:cs="Tahoma"/>
          <w:sz w:val="20"/>
          <w:szCs w:val="20"/>
        </w:rPr>
        <w:t>el presente caso</w:t>
      </w:r>
      <w:r w:rsidRPr="007C63FC">
        <w:rPr>
          <w:rFonts w:ascii="Tahoma" w:eastAsia="SimSun" w:hAnsi="Tahoma" w:cs="Tahoma"/>
          <w:w w:val="96"/>
          <w:kern w:val="2"/>
          <w:sz w:val="20"/>
          <w:szCs w:val="20"/>
          <w:lang w:eastAsia="hi-IN" w:bidi="hi-IN"/>
        </w:rPr>
        <w:t xml:space="preserve">, </w:t>
      </w:r>
      <w:r w:rsidR="00C808B7" w:rsidRPr="007C63FC">
        <w:rPr>
          <w:rFonts w:ascii="Tahoma" w:hAnsi="Tahoma" w:cs="Tahoma"/>
          <w:sz w:val="20"/>
          <w:szCs w:val="20"/>
        </w:rPr>
        <w:t>el</w:t>
      </w:r>
      <w:r w:rsidRPr="007C63FC">
        <w:rPr>
          <w:rFonts w:ascii="Tahoma" w:hAnsi="Tahoma" w:cs="Tahoma"/>
          <w:sz w:val="20"/>
          <w:szCs w:val="20"/>
        </w:rPr>
        <w:t xml:space="preserve"> agraviad</w:t>
      </w:r>
      <w:r w:rsidR="00C808B7" w:rsidRPr="007C63FC">
        <w:rPr>
          <w:rFonts w:ascii="Tahoma" w:hAnsi="Tahoma" w:cs="Tahoma"/>
          <w:sz w:val="20"/>
          <w:szCs w:val="20"/>
        </w:rPr>
        <w:t xml:space="preserve">o </w:t>
      </w:r>
      <w:r w:rsidR="00734A0F">
        <w:rPr>
          <w:rFonts w:ascii="Tahoma" w:hAnsi="Tahoma" w:cs="Tahoma"/>
          <w:sz w:val="20"/>
          <w:szCs w:val="20"/>
        </w:rPr>
        <w:t>&lt;&lt;agraviado&gt;&gt;</w:t>
      </w:r>
      <w:r w:rsidRPr="007C63FC">
        <w:rPr>
          <w:rFonts w:ascii="Tahoma" w:hAnsi="Tahoma" w:cs="Tahoma"/>
          <w:sz w:val="20"/>
          <w:szCs w:val="20"/>
        </w:rPr>
        <w:t xml:space="preserve">, </w:t>
      </w:r>
      <w:r w:rsidR="00C808B7" w:rsidRPr="007C63FC">
        <w:rPr>
          <w:rFonts w:ascii="Tahoma" w:hAnsi="Tahoma" w:cs="Tahoma"/>
          <w:sz w:val="20"/>
          <w:szCs w:val="20"/>
        </w:rPr>
        <w:t>manifiesto</w:t>
      </w:r>
      <w:r w:rsidRPr="007C63FC">
        <w:rPr>
          <w:rFonts w:ascii="Tahoma" w:hAnsi="Tahoma" w:cs="Tahoma"/>
          <w:sz w:val="20"/>
          <w:szCs w:val="20"/>
        </w:rPr>
        <w:t xml:space="preserve"> su voluntad de no continuar con la investigación, </w:t>
      </w:r>
      <w:bookmarkEnd w:id="5"/>
      <w:r w:rsidRPr="007C63FC">
        <w:rPr>
          <w:rFonts w:ascii="Tahoma" w:hAnsi="Tahoma" w:cs="Tahoma"/>
          <w:sz w:val="20"/>
          <w:szCs w:val="20"/>
        </w:rPr>
        <w:t xml:space="preserve">ello debido a </w:t>
      </w:r>
      <w:r w:rsidR="00C808B7" w:rsidRPr="007C63FC">
        <w:rPr>
          <w:rFonts w:ascii="Tahoma" w:hAnsi="Tahoma" w:cs="Tahoma"/>
          <w:sz w:val="20"/>
          <w:szCs w:val="20"/>
        </w:rPr>
        <w:t xml:space="preserve">que </w:t>
      </w:r>
      <w:r w:rsidR="00734A0F">
        <w:rPr>
          <w:rFonts w:ascii="Tahoma" w:hAnsi="Tahoma" w:cs="Tahoma"/>
          <w:sz w:val="20"/>
          <w:szCs w:val="20"/>
        </w:rPr>
        <w:t>&lt;&lt;</w:t>
      </w:r>
      <w:proofErr w:type="spellStart"/>
      <w:r w:rsidR="00734A0F">
        <w:rPr>
          <w:rFonts w:ascii="Tahoma" w:hAnsi="Tahoma" w:cs="Tahoma"/>
          <w:sz w:val="20"/>
          <w:szCs w:val="20"/>
        </w:rPr>
        <w:t>motivo_desistimiento</w:t>
      </w:r>
      <w:proofErr w:type="spellEnd"/>
      <w:r w:rsidR="00734A0F">
        <w:rPr>
          <w:rFonts w:ascii="Tahoma" w:hAnsi="Tahoma" w:cs="Tahoma"/>
          <w:sz w:val="20"/>
          <w:szCs w:val="20"/>
        </w:rPr>
        <w:t>&gt;&gt;</w:t>
      </w:r>
      <w:r w:rsidRPr="007C63FC">
        <w:rPr>
          <w:rFonts w:ascii="Tahoma" w:hAnsi="Tahoma" w:cs="Tahoma"/>
          <w:sz w:val="20"/>
          <w:szCs w:val="20"/>
        </w:rPr>
        <w:t>,</w:t>
      </w:r>
      <w:r w:rsidR="008F7B09" w:rsidRPr="007C63FC">
        <w:rPr>
          <w:rFonts w:ascii="Tahoma" w:hAnsi="Tahoma" w:cs="Tahoma"/>
          <w:sz w:val="20"/>
          <w:szCs w:val="20"/>
        </w:rPr>
        <w:t xml:space="preserve"> al no haber perjuicio alguno,</w:t>
      </w:r>
      <w:r w:rsidRPr="007C63FC">
        <w:rPr>
          <w:rFonts w:ascii="Tahoma" w:hAnsi="Tahoma" w:cs="Tahoma"/>
          <w:sz w:val="20"/>
          <w:szCs w:val="20"/>
        </w:rPr>
        <w:t xml:space="preserve"> conforme consta en el acta de llamada telefónica, señalando su expreso desistimiento.</w:t>
      </w:r>
    </w:p>
    <w:p w14:paraId="6C334296" w14:textId="77777777" w:rsidR="007C63FC" w:rsidRPr="007C63FC" w:rsidRDefault="007C63FC" w:rsidP="00412C87">
      <w:pPr>
        <w:pStyle w:val="Prrafodelista"/>
        <w:spacing w:line="240" w:lineRule="auto"/>
        <w:rPr>
          <w:rFonts w:ascii="Tahoma" w:hAnsi="Tahoma" w:cs="Tahoma"/>
          <w:sz w:val="20"/>
          <w:szCs w:val="20"/>
        </w:rPr>
      </w:pPr>
    </w:p>
    <w:p w14:paraId="058E5BBF" w14:textId="17CDB5B6" w:rsidR="007C63FC" w:rsidRDefault="00991E7D" w:rsidP="00412C87">
      <w:pPr>
        <w:pStyle w:val="Prrafodelista"/>
        <w:widowControl w:val="0"/>
        <w:numPr>
          <w:ilvl w:val="2"/>
          <w:numId w:val="1"/>
        </w:numPr>
        <w:suppressAutoHyphens/>
        <w:spacing w:after="0" w:line="240" w:lineRule="auto"/>
        <w:ind w:left="284" w:firstLine="0"/>
        <w:jc w:val="both"/>
        <w:rPr>
          <w:rFonts w:ascii="Tahoma" w:hAnsi="Tahoma" w:cs="Tahoma"/>
          <w:sz w:val="20"/>
          <w:szCs w:val="20"/>
        </w:rPr>
      </w:pPr>
      <w:r w:rsidRPr="007C63FC">
        <w:rPr>
          <w:rFonts w:ascii="Tahoma" w:hAnsi="Tahoma" w:cs="Tahoma"/>
          <w:sz w:val="20"/>
          <w:szCs w:val="20"/>
        </w:rPr>
        <w:t xml:space="preserve">En esa línea argumentativa, en el caso concreto, conforme el devenir de la investigación, </w:t>
      </w:r>
      <w:r w:rsidR="00734A0F">
        <w:rPr>
          <w:rFonts w:ascii="Tahoma" w:hAnsi="Tahoma" w:cs="Tahoma"/>
          <w:sz w:val="20"/>
          <w:szCs w:val="20"/>
        </w:rPr>
        <w:t>el</w:t>
      </w:r>
      <w:r w:rsidRPr="007C63FC">
        <w:rPr>
          <w:rFonts w:ascii="Tahoma" w:hAnsi="Tahoma" w:cs="Tahoma"/>
          <w:sz w:val="20"/>
          <w:szCs w:val="20"/>
        </w:rPr>
        <w:t xml:space="preserve"> denunciante no es persistente ni coherente en su incriminación en su denuncia, que permita tener una línea de investigación sólida a seguir; y, estando a que, si bien la carga de la prueba se encuentra asignada al Ministerio Público por mandato constitucional, sin embargo, esta labor no se puede realizar de manera aislada respecto de la persona que, ha sufrido las consecuencias del hecho ilícito, sino más bien debe ir de la mano con esta, situación que no se ha dado en el presente caso por cuanto el denunciante</w:t>
      </w:r>
      <w:r w:rsidRPr="007C63FC">
        <w:rPr>
          <w:rFonts w:ascii="Tahoma" w:eastAsia="SimSun" w:hAnsi="Tahoma" w:cs="Tahoma"/>
          <w:w w:val="96"/>
          <w:kern w:val="2"/>
          <w:sz w:val="20"/>
          <w:szCs w:val="20"/>
          <w:lang w:val="es-ES" w:eastAsia="es-ES" w:bidi="hi-IN"/>
        </w:rPr>
        <w:t xml:space="preserve">, </w:t>
      </w:r>
      <w:r w:rsidR="00734A0F" w:rsidRPr="00734A0F">
        <w:rPr>
          <w:rFonts w:ascii="Tahoma" w:eastAsia="MS UI Gothic" w:hAnsi="Tahoma" w:cs="Tahoma"/>
          <w:bCs/>
          <w:sz w:val="20"/>
          <w:szCs w:val="20"/>
          <w:lang w:val="es-ES"/>
        </w:rPr>
        <w:t>&lt;&lt;agraviado&gt;&gt;</w:t>
      </w:r>
      <w:r w:rsidRPr="007C63FC">
        <w:rPr>
          <w:rFonts w:ascii="Tahoma" w:hAnsi="Tahoma" w:cs="Tahoma"/>
          <w:b/>
          <w:sz w:val="20"/>
          <w:szCs w:val="20"/>
        </w:rPr>
        <w:t>, ha manifestado su interés en no continuar con la presente investigación;</w:t>
      </w:r>
      <w:r w:rsidRPr="007C63FC">
        <w:rPr>
          <w:rFonts w:ascii="Tahoma" w:eastAsia="SimSun" w:hAnsi="Tahoma" w:cs="Tahoma"/>
          <w:w w:val="96"/>
          <w:kern w:val="2"/>
          <w:sz w:val="20"/>
          <w:szCs w:val="20"/>
          <w:lang w:val="es-ES" w:eastAsia="es-ES" w:bidi="hi-IN"/>
        </w:rPr>
        <w:t xml:space="preserve"> </w:t>
      </w:r>
      <w:r w:rsidRPr="007C63FC">
        <w:rPr>
          <w:rFonts w:ascii="Tahoma" w:hAnsi="Tahoma" w:cs="Tahoma"/>
          <w:sz w:val="20"/>
          <w:szCs w:val="20"/>
        </w:rPr>
        <w:t xml:space="preserve">por lo que, se evidencia que ha coadyuvado de manera eficaz al desarrollo de la investigación. </w:t>
      </w:r>
    </w:p>
    <w:p w14:paraId="41626D8D" w14:textId="77777777" w:rsidR="007C63FC" w:rsidRPr="007C63FC" w:rsidRDefault="007C63FC" w:rsidP="00412C87">
      <w:pPr>
        <w:pStyle w:val="Prrafodelista"/>
        <w:spacing w:line="240" w:lineRule="auto"/>
        <w:rPr>
          <w:rFonts w:ascii="Tahoma" w:hAnsi="Tahoma" w:cs="Tahoma"/>
          <w:sz w:val="20"/>
          <w:szCs w:val="20"/>
        </w:rPr>
      </w:pPr>
    </w:p>
    <w:p w14:paraId="781198C7" w14:textId="77777777" w:rsidR="007C63FC" w:rsidRDefault="00991E7D" w:rsidP="00412C87">
      <w:pPr>
        <w:pStyle w:val="Prrafodelista"/>
        <w:widowControl w:val="0"/>
        <w:numPr>
          <w:ilvl w:val="2"/>
          <w:numId w:val="1"/>
        </w:numPr>
        <w:suppressAutoHyphens/>
        <w:spacing w:after="0" w:line="240" w:lineRule="auto"/>
        <w:ind w:left="284" w:firstLine="0"/>
        <w:jc w:val="both"/>
        <w:rPr>
          <w:rFonts w:ascii="Tahoma" w:hAnsi="Tahoma" w:cs="Tahoma"/>
          <w:sz w:val="20"/>
          <w:szCs w:val="20"/>
        </w:rPr>
      </w:pPr>
      <w:r w:rsidRPr="007C63FC">
        <w:rPr>
          <w:rFonts w:ascii="Tahoma" w:hAnsi="Tahoma" w:cs="Tahoma"/>
          <w:sz w:val="20"/>
          <w:szCs w:val="20"/>
        </w:rPr>
        <w:t xml:space="preserve">A mayor abundamiento, se tiene que una investigación preliminar por la presunta comisión de un hecho punible </w:t>
      </w:r>
      <w:r w:rsidRPr="007C63FC">
        <w:rPr>
          <w:rFonts w:ascii="Tahoma" w:hAnsi="Tahoma" w:cs="Tahoma"/>
          <w:b/>
          <w:sz w:val="20"/>
          <w:szCs w:val="20"/>
        </w:rPr>
        <w:t>no puede prolongarse indefinidamente</w:t>
      </w:r>
      <w:r w:rsidRPr="007C63FC">
        <w:rPr>
          <w:rFonts w:ascii="Tahoma" w:hAnsi="Tahoma" w:cs="Tahoma"/>
          <w:sz w:val="20"/>
          <w:szCs w:val="20"/>
        </w:rPr>
        <w:t>. En estos casos, un criterio de certeza jurídica y razonabilidad aconseja poner punto final las indagaciones, pues no es posible mantener ocupadas a las agencias penales de persecución del delito en casos que no tienen mayor perspectiva de ser judicializados y con ellos mantenerlos indefinidamente pendientes de resolución en el sistema, lo anterior, cuando los operadores requieren, por el contrario, ocuparse de aquellos casos que realmente puedan ser planteados con éxito ante el Órgano Jurisdiccional respectivo en los cuales exista indicios sobre la existencia de un delito.</w:t>
      </w:r>
    </w:p>
    <w:p w14:paraId="561F1356" w14:textId="77777777" w:rsidR="007C63FC" w:rsidRPr="007C63FC" w:rsidRDefault="007C63FC" w:rsidP="00412C87">
      <w:pPr>
        <w:pStyle w:val="Prrafodelista"/>
        <w:spacing w:line="240" w:lineRule="auto"/>
        <w:rPr>
          <w:rFonts w:ascii="Tahoma" w:hAnsi="Tahoma" w:cs="Tahoma"/>
          <w:sz w:val="20"/>
          <w:szCs w:val="20"/>
        </w:rPr>
      </w:pPr>
    </w:p>
    <w:p w14:paraId="0135ACA1" w14:textId="77777777" w:rsidR="00991E7D" w:rsidRPr="007C63FC" w:rsidRDefault="00991E7D" w:rsidP="00412C87">
      <w:pPr>
        <w:pStyle w:val="Prrafodelista"/>
        <w:widowControl w:val="0"/>
        <w:numPr>
          <w:ilvl w:val="2"/>
          <w:numId w:val="1"/>
        </w:numPr>
        <w:suppressAutoHyphens/>
        <w:spacing w:after="0" w:line="240" w:lineRule="auto"/>
        <w:ind w:left="284" w:firstLine="0"/>
        <w:jc w:val="both"/>
        <w:rPr>
          <w:rFonts w:ascii="Tahoma" w:hAnsi="Tahoma" w:cs="Tahoma"/>
          <w:sz w:val="20"/>
          <w:szCs w:val="20"/>
        </w:rPr>
      </w:pPr>
      <w:r w:rsidRPr="007C63FC">
        <w:rPr>
          <w:rFonts w:ascii="Tahoma" w:hAnsi="Tahoma" w:cs="Tahoma"/>
          <w:sz w:val="20"/>
          <w:szCs w:val="20"/>
        </w:rPr>
        <w:t xml:space="preserve">Por consiguiente, se aprecia que </w:t>
      </w:r>
      <w:r w:rsidRPr="007C63FC">
        <w:rPr>
          <w:rFonts w:ascii="Tahoma" w:hAnsi="Tahoma" w:cs="Tahoma"/>
          <w:b/>
          <w:sz w:val="20"/>
          <w:szCs w:val="20"/>
        </w:rPr>
        <w:t>al no existir causa probable que amerite el ejercicio de la acción penal, corresponde emitir pronunciamiento</w:t>
      </w:r>
      <w:r w:rsidRPr="007C63FC">
        <w:rPr>
          <w:rFonts w:ascii="Tahoma" w:hAnsi="Tahoma" w:cs="Tahoma"/>
          <w:sz w:val="20"/>
          <w:szCs w:val="20"/>
        </w:rPr>
        <w:t xml:space="preserve">, conforme a lo </w:t>
      </w:r>
      <w:r w:rsidRPr="007C63FC">
        <w:rPr>
          <w:rFonts w:ascii="Tahoma" w:hAnsi="Tahoma" w:cs="Tahoma"/>
          <w:sz w:val="20"/>
          <w:szCs w:val="20"/>
        </w:rPr>
        <w:lastRenderedPageBreak/>
        <w:t>establecido por el artículo 336° del Código Procesal Penal concordado con el artículo 334° de la misma norma procesal, en el sentido de que no es posible Formalizar ni Continuar con la Investigación Preparatoria y no corresponde continuar con la acción penal debiendo disponerse el archivo de la presente investigación, sin perjuicio  de precisar que si con posterioridad, se obtuviera algún nuevo elemento de convicción que conduzca a establecer la existencia de indicios plurales, concomitantes e interrelacionados entre sí, suficientes para atribuir la comisión de los delitos, puedan comunicarlo a la autoridad policial o a esta Fiscalía a fin de proceder a reexaminar los actuados conforme lo faculta la ley; asimismo, si se llega a conocer o aparecen nuevos elementos de juicio o nuevos elementos de convicción que permitan afirmar lo contrario se pueda reabrir la presente investigación, tomando como referencia lo dispuesto por la Doctrina Jurisprudencial desarrollada por el Tribunal Constitucional en la STC N°6081-2015-PHC/TC; que precisa que, la resolución que dispone que no hay mérito a formalizar denuncia penal no constituye cosa juzgada.</w:t>
      </w:r>
    </w:p>
    <w:p w14:paraId="032C3C90" w14:textId="77777777" w:rsidR="00991E7D" w:rsidRPr="00991E7D" w:rsidRDefault="00991E7D" w:rsidP="00412C87">
      <w:pPr>
        <w:widowControl w:val="0"/>
        <w:suppressAutoHyphens/>
        <w:spacing w:after="0" w:line="240" w:lineRule="auto"/>
        <w:ind w:left="709" w:hanging="425"/>
        <w:contextualSpacing/>
        <w:jc w:val="both"/>
        <w:rPr>
          <w:rFonts w:ascii="Tahoma" w:eastAsia="SimSun" w:hAnsi="Tahoma" w:cs="Tahoma"/>
          <w:w w:val="96"/>
          <w:kern w:val="2"/>
          <w:sz w:val="20"/>
          <w:szCs w:val="20"/>
          <w:lang w:eastAsia="es-PE" w:bidi="hi-IN"/>
        </w:rPr>
      </w:pPr>
    </w:p>
    <w:p w14:paraId="531C09E6" w14:textId="77777777" w:rsidR="00991E7D" w:rsidRPr="00991E7D" w:rsidRDefault="00991E7D" w:rsidP="00412C87">
      <w:pPr>
        <w:widowControl w:val="0"/>
        <w:numPr>
          <w:ilvl w:val="0"/>
          <w:numId w:val="1"/>
        </w:numPr>
        <w:tabs>
          <w:tab w:val="left" w:pos="284"/>
        </w:tabs>
        <w:suppressAutoHyphens/>
        <w:overflowPunct w:val="0"/>
        <w:autoSpaceDE w:val="0"/>
        <w:autoSpaceDN w:val="0"/>
        <w:spacing w:after="0" w:line="240" w:lineRule="auto"/>
        <w:ind w:left="284" w:hanging="284"/>
        <w:contextualSpacing/>
        <w:jc w:val="both"/>
        <w:textAlignment w:val="baseline"/>
        <w:rPr>
          <w:rFonts w:ascii="Tahoma" w:hAnsi="Tahoma" w:cs="Tahoma"/>
          <w:b/>
          <w:bCs/>
          <w:sz w:val="20"/>
          <w:szCs w:val="20"/>
        </w:rPr>
      </w:pPr>
      <w:r w:rsidRPr="00991E7D">
        <w:rPr>
          <w:rFonts w:ascii="Tahoma" w:hAnsi="Tahoma" w:cs="Tahoma"/>
          <w:b/>
          <w:bCs/>
          <w:sz w:val="20"/>
          <w:szCs w:val="20"/>
        </w:rPr>
        <w:t>DECISIÓN FISCAL</w:t>
      </w:r>
    </w:p>
    <w:p w14:paraId="75B49A9F" w14:textId="77777777" w:rsidR="00991E7D" w:rsidRPr="00991E7D" w:rsidRDefault="00991E7D" w:rsidP="00412C87">
      <w:pPr>
        <w:pStyle w:val="Prrafodelista"/>
        <w:widowControl w:val="0"/>
        <w:tabs>
          <w:tab w:val="left" w:pos="2410"/>
        </w:tabs>
        <w:suppressAutoHyphens/>
        <w:spacing w:after="0" w:line="240" w:lineRule="auto"/>
        <w:ind w:left="284"/>
        <w:rPr>
          <w:rFonts w:ascii="Tahoma" w:eastAsia="SimSun" w:hAnsi="Tahoma" w:cs="Tahoma"/>
          <w:b/>
          <w:w w:val="96"/>
          <w:kern w:val="2"/>
          <w:sz w:val="20"/>
          <w:szCs w:val="20"/>
          <w:lang w:eastAsia="hi-IN" w:bidi="hi-IN"/>
        </w:rPr>
      </w:pPr>
      <w:r w:rsidRPr="00991E7D">
        <w:rPr>
          <w:rFonts w:ascii="Tahoma" w:eastAsia="SimSun" w:hAnsi="Tahoma" w:cs="Tahoma"/>
          <w:b/>
          <w:w w:val="96"/>
          <w:kern w:val="2"/>
          <w:sz w:val="20"/>
          <w:szCs w:val="20"/>
          <w:lang w:eastAsia="hi-IN" w:bidi="hi-IN"/>
        </w:rPr>
        <w:t xml:space="preserve"> </w:t>
      </w:r>
    </w:p>
    <w:p w14:paraId="2C9CC418" w14:textId="77777777" w:rsidR="00991E7D" w:rsidRPr="00991E7D" w:rsidRDefault="00991E7D" w:rsidP="00412C87">
      <w:pPr>
        <w:spacing w:after="0" w:line="240" w:lineRule="auto"/>
        <w:ind w:left="284"/>
        <w:contextualSpacing/>
        <w:jc w:val="both"/>
        <w:rPr>
          <w:rFonts w:ascii="Tahoma" w:hAnsi="Tahoma" w:cs="Tahoma"/>
          <w:b/>
          <w:sz w:val="20"/>
          <w:szCs w:val="20"/>
        </w:rPr>
      </w:pPr>
      <w:r w:rsidRPr="00991E7D">
        <w:rPr>
          <w:rFonts w:ascii="Tahoma" w:hAnsi="Tahoma" w:cs="Tahoma"/>
          <w:sz w:val="20"/>
          <w:szCs w:val="20"/>
        </w:rPr>
        <w:t xml:space="preserve">Por las consideraciones expuestas, este Despacho Fiscal, en cumplimiento con el Principio del Legalidad, Principio de Mínima Intervención Penal, de Celeridad y Economía Procesal, deberá ordenar el Archivo de lo actuados, de conformidad con el inciso 1° del artículo 334 del Código Procesal Penal, en consecuencia, </w:t>
      </w:r>
      <w:r w:rsidRPr="00991E7D">
        <w:rPr>
          <w:rFonts w:ascii="Tahoma" w:hAnsi="Tahoma" w:cs="Tahoma"/>
          <w:b/>
          <w:sz w:val="20"/>
          <w:szCs w:val="20"/>
        </w:rPr>
        <w:t>DISPONE:</w:t>
      </w:r>
    </w:p>
    <w:p w14:paraId="151B89CA" w14:textId="77777777" w:rsidR="00991E7D" w:rsidRPr="00991E7D" w:rsidRDefault="00991E7D" w:rsidP="00412C87">
      <w:pPr>
        <w:spacing w:after="0" w:line="240" w:lineRule="auto"/>
        <w:ind w:left="284"/>
        <w:contextualSpacing/>
        <w:jc w:val="both"/>
        <w:rPr>
          <w:rFonts w:ascii="Tahoma" w:hAnsi="Tahoma" w:cs="Tahoma"/>
          <w:sz w:val="20"/>
          <w:szCs w:val="20"/>
        </w:rPr>
      </w:pPr>
    </w:p>
    <w:p w14:paraId="5C81BF48" w14:textId="5D10BAFD" w:rsidR="00991E7D" w:rsidRPr="00991E7D" w:rsidRDefault="00991E7D" w:rsidP="00412C87">
      <w:pPr>
        <w:spacing w:after="0" w:line="240" w:lineRule="auto"/>
        <w:ind w:left="284"/>
        <w:contextualSpacing/>
        <w:jc w:val="both"/>
        <w:rPr>
          <w:rFonts w:ascii="Tahoma" w:eastAsia="SimSun" w:hAnsi="Tahoma" w:cs="Tahoma"/>
          <w:w w:val="96"/>
          <w:kern w:val="1"/>
          <w:sz w:val="20"/>
          <w:szCs w:val="20"/>
          <w:lang w:eastAsia="hi-IN" w:bidi="hi-IN"/>
        </w:rPr>
      </w:pPr>
      <w:r w:rsidRPr="00991E7D">
        <w:rPr>
          <w:rFonts w:ascii="Tahoma" w:hAnsi="Tahoma" w:cs="Tahoma"/>
          <w:b/>
          <w:bCs/>
          <w:sz w:val="20"/>
          <w:szCs w:val="20"/>
        </w:rPr>
        <w:t>Primero:</w:t>
      </w:r>
      <w:r w:rsidRPr="00991E7D">
        <w:rPr>
          <w:rFonts w:ascii="Tahoma" w:eastAsia="SimSun" w:hAnsi="Tahoma" w:cs="Tahoma"/>
          <w:w w:val="96"/>
          <w:kern w:val="1"/>
          <w:sz w:val="20"/>
          <w:szCs w:val="20"/>
          <w:lang w:eastAsia="hi-IN" w:bidi="hi-IN"/>
        </w:rPr>
        <w:t xml:space="preserve"> </w:t>
      </w:r>
      <w:r w:rsidRPr="00991E7D">
        <w:rPr>
          <w:rFonts w:ascii="Tahoma" w:hAnsi="Tahoma" w:cs="Tahoma"/>
          <w:b/>
          <w:sz w:val="20"/>
          <w:szCs w:val="20"/>
        </w:rPr>
        <w:t>DECLARAR QUE NO PROCEDE INICIAR INVESTIGACIÓN PRELIMINAR</w:t>
      </w:r>
      <w:r w:rsidRPr="00991E7D">
        <w:rPr>
          <w:rFonts w:ascii="Tahoma" w:eastAsia="SimSun" w:hAnsi="Tahoma" w:cs="Tahoma"/>
          <w:w w:val="96"/>
          <w:kern w:val="1"/>
          <w:sz w:val="20"/>
          <w:szCs w:val="20"/>
          <w:lang w:eastAsia="hi-IN" w:bidi="hi-IN"/>
        </w:rPr>
        <w:t xml:space="preserve"> </w:t>
      </w:r>
      <w:r w:rsidRPr="00991E7D">
        <w:rPr>
          <w:rFonts w:ascii="Tahoma" w:hAnsi="Tahoma" w:cs="Tahoma"/>
          <w:sz w:val="20"/>
          <w:szCs w:val="20"/>
        </w:rPr>
        <w:t xml:space="preserve">contra </w:t>
      </w:r>
      <w:r w:rsidRPr="00991E7D">
        <w:rPr>
          <w:rFonts w:ascii="Tahoma" w:hAnsi="Tahoma" w:cs="Tahoma"/>
          <w:b/>
          <w:sz w:val="20"/>
          <w:szCs w:val="20"/>
        </w:rPr>
        <w:t>LOS QUE RESULTEN RESPONSABLES</w:t>
      </w:r>
      <w:r w:rsidRPr="00991E7D">
        <w:rPr>
          <w:rFonts w:ascii="Tahoma" w:hAnsi="Tahoma" w:cs="Tahoma"/>
          <w:sz w:val="20"/>
          <w:szCs w:val="20"/>
        </w:rPr>
        <w:t xml:space="preserve">, por la </w:t>
      </w:r>
      <w:r w:rsidRPr="00991E7D">
        <w:rPr>
          <w:rFonts w:ascii="Tahoma" w:eastAsia="Arial Unicode MS" w:hAnsi="Tahoma" w:cs="Tahoma"/>
          <w:kern w:val="1"/>
          <w:sz w:val="20"/>
          <w:szCs w:val="20"/>
          <w:lang w:eastAsia="hi-IN" w:bidi="hi-IN"/>
        </w:rPr>
        <w:t xml:space="preserve">presunta comisión del delito informático contra el patrimonio en la modalidad de </w:t>
      </w:r>
      <w:r w:rsidRPr="00991E7D">
        <w:rPr>
          <w:rFonts w:ascii="Tahoma" w:eastAsia="Arial Unicode MS" w:hAnsi="Tahoma" w:cs="Tahoma"/>
          <w:b/>
          <w:kern w:val="1"/>
          <w:sz w:val="20"/>
          <w:szCs w:val="20"/>
          <w:lang w:eastAsia="hi-IN" w:bidi="hi-IN"/>
        </w:rPr>
        <w:t>FRAUDE INFORMÁTICO</w:t>
      </w:r>
      <w:r w:rsidRPr="00991E7D">
        <w:rPr>
          <w:rFonts w:ascii="Tahoma" w:eastAsia="Arial Unicode MS" w:hAnsi="Tahoma" w:cs="Tahoma"/>
          <w:kern w:val="1"/>
          <w:sz w:val="20"/>
          <w:szCs w:val="20"/>
          <w:lang w:eastAsia="hi-IN" w:bidi="hi-IN"/>
        </w:rPr>
        <w:t>, en agravio del</w:t>
      </w:r>
      <w:r w:rsidRPr="00991E7D">
        <w:rPr>
          <w:rFonts w:ascii="Tahoma" w:eastAsia="MS UI Gothic" w:hAnsi="Tahoma" w:cs="Tahoma"/>
          <w:b/>
          <w:sz w:val="20"/>
          <w:szCs w:val="20"/>
          <w:lang w:val="es-ES"/>
        </w:rPr>
        <w:t xml:space="preserve"> </w:t>
      </w:r>
      <w:r w:rsidRPr="00991E7D">
        <w:rPr>
          <w:rFonts w:ascii="Tahoma" w:eastAsia="MS UI Gothic" w:hAnsi="Tahoma" w:cs="Tahoma"/>
          <w:sz w:val="20"/>
          <w:szCs w:val="20"/>
          <w:lang w:val="es-ES"/>
        </w:rPr>
        <w:t>denunciante</w:t>
      </w:r>
      <w:r w:rsidRPr="00991E7D">
        <w:rPr>
          <w:rFonts w:ascii="Tahoma" w:eastAsia="MS UI Gothic" w:hAnsi="Tahoma" w:cs="Tahoma"/>
          <w:b/>
          <w:sz w:val="20"/>
          <w:szCs w:val="20"/>
          <w:lang w:val="es-ES"/>
        </w:rPr>
        <w:t xml:space="preserve"> </w:t>
      </w:r>
      <w:r w:rsidR="00734A0F" w:rsidRPr="00734A0F">
        <w:rPr>
          <w:rFonts w:ascii="Tahoma" w:eastAsia="MS UI Gothic" w:hAnsi="Tahoma" w:cs="Tahoma"/>
          <w:bCs/>
          <w:sz w:val="20"/>
          <w:szCs w:val="20"/>
          <w:lang w:val="es-ES"/>
        </w:rPr>
        <w:t>&lt;&lt;agraviado&gt;&gt;</w:t>
      </w:r>
      <w:r w:rsidR="008F7B09" w:rsidRPr="00991E7D">
        <w:rPr>
          <w:rFonts w:ascii="Tahoma" w:eastAsia="SimSun" w:hAnsi="Tahoma" w:cs="Tahoma"/>
          <w:w w:val="96"/>
          <w:kern w:val="1"/>
          <w:sz w:val="20"/>
          <w:szCs w:val="20"/>
          <w:lang w:eastAsia="hi-IN" w:bidi="hi-IN"/>
        </w:rPr>
        <w:t xml:space="preserve">  </w:t>
      </w:r>
    </w:p>
    <w:p w14:paraId="78941022" w14:textId="77777777" w:rsidR="00991E7D" w:rsidRPr="00991E7D" w:rsidRDefault="00991E7D" w:rsidP="00412C87">
      <w:pPr>
        <w:spacing w:after="0" w:line="240" w:lineRule="auto"/>
        <w:ind w:left="284"/>
        <w:contextualSpacing/>
        <w:jc w:val="both"/>
        <w:rPr>
          <w:rFonts w:ascii="Tahoma" w:eastAsia="SimSun" w:hAnsi="Tahoma" w:cs="Tahoma"/>
          <w:w w:val="96"/>
          <w:kern w:val="1"/>
          <w:sz w:val="20"/>
          <w:szCs w:val="20"/>
          <w:lang w:eastAsia="hi-IN" w:bidi="hi-IN"/>
        </w:rPr>
      </w:pPr>
      <w:r w:rsidRPr="00991E7D">
        <w:rPr>
          <w:rFonts w:ascii="Tahoma" w:eastAsia="SimSun" w:hAnsi="Tahoma" w:cs="Tahoma"/>
          <w:w w:val="96"/>
          <w:kern w:val="1"/>
          <w:sz w:val="20"/>
          <w:szCs w:val="20"/>
          <w:lang w:eastAsia="hi-IN" w:bidi="hi-IN"/>
        </w:rPr>
        <w:t xml:space="preserve"> </w:t>
      </w:r>
    </w:p>
    <w:p w14:paraId="633BE687" w14:textId="77777777" w:rsidR="00991E7D" w:rsidRPr="00991E7D" w:rsidRDefault="00991E7D" w:rsidP="00412C87">
      <w:pPr>
        <w:widowControl w:val="0"/>
        <w:suppressAutoHyphens/>
        <w:spacing w:after="0" w:line="240" w:lineRule="auto"/>
        <w:ind w:left="284"/>
        <w:contextualSpacing/>
        <w:jc w:val="both"/>
        <w:rPr>
          <w:rFonts w:ascii="Tahoma" w:hAnsi="Tahoma" w:cs="Tahoma"/>
          <w:sz w:val="20"/>
          <w:szCs w:val="20"/>
        </w:rPr>
      </w:pPr>
      <w:r w:rsidRPr="00991E7D">
        <w:rPr>
          <w:rFonts w:ascii="Tahoma" w:hAnsi="Tahoma" w:cs="Tahoma"/>
          <w:b/>
          <w:bCs/>
          <w:sz w:val="20"/>
          <w:szCs w:val="20"/>
        </w:rPr>
        <w:t>Segundo:</w:t>
      </w:r>
      <w:r w:rsidRPr="00991E7D">
        <w:rPr>
          <w:rFonts w:ascii="Tahoma" w:hAnsi="Tahoma" w:cs="Tahoma"/>
          <w:sz w:val="20"/>
          <w:szCs w:val="20"/>
        </w:rPr>
        <w:t xml:space="preserve"> </w:t>
      </w:r>
      <w:r w:rsidRPr="00991E7D">
        <w:rPr>
          <w:rFonts w:ascii="Tahoma" w:hAnsi="Tahoma" w:cs="Tahoma"/>
          <w:bCs/>
          <w:sz w:val="20"/>
          <w:szCs w:val="20"/>
        </w:rPr>
        <w:t xml:space="preserve">En consecuencia, se ordena el </w:t>
      </w:r>
      <w:r w:rsidRPr="00991E7D">
        <w:rPr>
          <w:rFonts w:ascii="Tahoma" w:hAnsi="Tahoma" w:cs="Tahoma"/>
          <w:b/>
          <w:bCs/>
          <w:sz w:val="20"/>
          <w:szCs w:val="20"/>
        </w:rPr>
        <w:t>ARCHIVO LIMINAR</w:t>
      </w:r>
      <w:r w:rsidRPr="00991E7D">
        <w:rPr>
          <w:rFonts w:ascii="Tahoma" w:hAnsi="Tahoma" w:cs="Tahoma"/>
          <w:bCs/>
          <w:sz w:val="20"/>
          <w:szCs w:val="20"/>
        </w:rPr>
        <w:t xml:space="preserve"> de la presente denuncia.</w:t>
      </w:r>
    </w:p>
    <w:p w14:paraId="0C07C4C1" w14:textId="77777777" w:rsidR="00991E7D" w:rsidRPr="00991E7D" w:rsidRDefault="00991E7D" w:rsidP="00412C87">
      <w:pPr>
        <w:widowControl w:val="0"/>
        <w:suppressAutoHyphens/>
        <w:spacing w:after="0" w:line="240" w:lineRule="auto"/>
        <w:ind w:left="284"/>
        <w:contextualSpacing/>
        <w:jc w:val="both"/>
        <w:rPr>
          <w:rFonts w:ascii="Tahoma" w:hAnsi="Tahoma" w:cs="Tahoma"/>
          <w:sz w:val="20"/>
          <w:szCs w:val="20"/>
        </w:rPr>
      </w:pPr>
    </w:p>
    <w:p w14:paraId="2113CF52" w14:textId="27D21521" w:rsidR="00991E7D" w:rsidRPr="00734A0F" w:rsidRDefault="00991E7D" w:rsidP="00412C87">
      <w:pPr>
        <w:widowControl w:val="0"/>
        <w:suppressAutoHyphens/>
        <w:spacing w:after="0" w:line="240" w:lineRule="auto"/>
        <w:ind w:left="284"/>
        <w:contextualSpacing/>
        <w:jc w:val="both"/>
        <w:rPr>
          <w:rFonts w:ascii="Tahoma" w:hAnsi="Tahoma" w:cs="Tahoma"/>
          <w:sz w:val="20"/>
          <w:szCs w:val="20"/>
        </w:rPr>
      </w:pPr>
      <w:r w:rsidRPr="00991E7D">
        <w:rPr>
          <w:rFonts w:ascii="Tahoma" w:hAnsi="Tahoma" w:cs="Tahoma"/>
          <w:b/>
          <w:sz w:val="20"/>
          <w:szCs w:val="20"/>
        </w:rPr>
        <w:t xml:space="preserve">Tercero: </w:t>
      </w:r>
      <w:r w:rsidRPr="00991E7D">
        <w:rPr>
          <w:rFonts w:ascii="Tahoma" w:hAnsi="Tahoma" w:cs="Tahoma"/>
          <w:sz w:val="20"/>
          <w:szCs w:val="20"/>
        </w:rPr>
        <w:t xml:space="preserve">Notificar la presente disposición a las partes de la presente investigación, conforme lo establecido en el numeral 1, del artículo 334° del Código Procesal Penal, a fin de que, de considerarlo, pueda </w:t>
      </w:r>
      <w:r w:rsidRPr="00734A0F">
        <w:rPr>
          <w:rFonts w:ascii="Tahoma" w:hAnsi="Tahoma" w:cs="Tahoma"/>
          <w:sz w:val="20"/>
          <w:szCs w:val="20"/>
        </w:rPr>
        <w:t xml:space="preserve">ejercer su derecho a impugnar dentro del plazo legal (cinco días), de conformidad con lo previsto en el numeral 5 del citado dispositivo legal. Asimismo, se informa la existencia del correo oficial </w:t>
      </w:r>
      <w:r w:rsidR="00734A0F" w:rsidRPr="00734A0F">
        <w:rPr>
          <w:rFonts w:ascii="Tahoma" w:hAnsi="Tahoma" w:cs="Tahoma"/>
          <w:sz w:val="20"/>
          <w:szCs w:val="20"/>
        </w:rPr>
        <w:t>&lt;&lt;</w:t>
      </w:r>
      <w:proofErr w:type="spellStart"/>
      <w:r w:rsidR="00734A0F" w:rsidRPr="00734A0F">
        <w:rPr>
          <w:rFonts w:ascii="Tahoma" w:hAnsi="Tahoma" w:cs="Tahoma"/>
          <w:sz w:val="20"/>
          <w:szCs w:val="20"/>
        </w:rPr>
        <w:t>correo_despacho</w:t>
      </w:r>
      <w:proofErr w:type="spellEnd"/>
      <w:r w:rsidR="00734A0F" w:rsidRPr="00734A0F">
        <w:rPr>
          <w:rFonts w:ascii="Tahoma" w:hAnsi="Tahoma" w:cs="Tahoma"/>
          <w:sz w:val="20"/>
          <w:szCs w:val="20"/>
        </w:rPr>
        <w:t>&gt;&gt;</w:t>
      </w:r>
    </w:p>
    <w:p w14:paraId="7E382451" w14:textId="77777777" w:rsidR="00734A0F" w:rsidRPr="00991E7D" w:rsidRDefault="00734A0F" w:rsidP="00412C87">
      <w:pPr>
        <w:widowControl w:val="0"/>
        <w:suppressAutoHyphens/>
        <w:spacing w:after="0" w:line="240" w:lineRule="auto"/>
        <w:ind w:left="284"/>
        <w:contextualSpacing/>
        <w:jc w:val="both"/>
        <w:rPr>
          <w:rFonts w:ascii="Tahoma" w:hAnsi="Tahoma" w:cs="Tahoma"/>
          <w:b/>
          <w:i/>
          <w:sz w:val="20"/>
          <w:szCs w:val="20"/>
        </w:rPr>
      </w:pPr>
      <w:r w:rsidRPr="00991E7D">
        <w:rPr>
          <w:rFonts w:ascii="Tahoma" w:hAnsi="Tahoma" w:cs="Tahoma"/>
          <w:b/>
          <w:i/>
          <w:sz w:val="20"/>
          <w:szCs w:val="20"/>
        </w:rPr>
        <w:t>Regís</w:t>
      </w:r>
      <w:r>
        <w:rPr>
          <w:rFonts w:ascii="Tahoma" w:hAnsi="Tahoma" w:cs="Tahoma"/>
          <w:b/>
          <w:i/>
          <w:sz w:val="20"/>
          <w:szCs w:val="20"/>
        </w:rPr>
        <w:t>trese, notifíquese y archívese.</w:t>
      </w:r>
    </w:p>
    <w:p w14:paraId="100540E7" w14:textId="77777777" w:rsidR="00991E7D" w:rsidRPr="00991E7D" w:rsidRDefault="00991E7D" w:rsidP="00412C87">
      <w:pPr>
        <w:widowControl w:val="0"/>
        <w:suppressAutoHyphens/>
        <w:spacing w:after="0" w:line="240" w:lineRule="auto"/>
        <w:ind w:left="284"/>
        <w:contextualSpacing/>
        <w:jc w:val="both"/>
        <w:rPr>
          <w:rFonts w:ascii="Tahoma" w:hAnsi="Tahoma" w:cs="Tahoma"/>
          <w:sz w:val="20"/>
          <w:szCs w:val="20"/>
        </w:rPr>
      </w:pPr>
    </w:p>
    <w:sectPr w:rsidR="00991E7D" w:rsidRPr="00991E7D">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03E05" w14:textId="77777777" w:rsidR="003E0394" w:rsidRDefault="003E0394" w:rsidP="00991E7D">
      <w:pPr>
        <w:spacing w:after="0" w:line="240" w:lineRule="auto"/>
      </w:pPr>
      <w:r>
        <w:separator/>
      </w:r>
    </w:p>
  </w:endnote>
  <w:endnote w:type="continuationSeparator" w:id="0">
    <w:p w14:paraId="11B1DD20" w14:textId="77777777" w:rsidR="003E0394" w:rsidRDefault="003E0394" w:rsidP="00991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Lucida Sans Unicode">
    <w:panose1 w:val="020B0602030504020204"/>
    <w:charset w:val="00"/>
    <w:family w:val="swiss"/>
    <w:pitch w:val="variable"/>
    <w:sig w:usb0="80000AFF" w:usb1="0000396B" w:usb2="00000000" w:usb3="00000000" w:csb0="000000B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6B9E8" w14:textId="77777777" w:rsidR="00775E87" w:rsidRDefault="00775E87">
    <w:pPr>
      <w:pStyle w:val="Piedepgina"/>
      <w:jc w:val="right"/>
    </w:pPr>
    <w:r>
      <w:t xml:space="preserve">Página del </w:t>
    </w:r>
    <w:sdt>
      <w:sdtPr>
        <w:id w:val="929541208"/>
        <w:docPartObj>
          <w:docPartGallery w:val="Page Numbers (Bottom of Page)"/>
          <w:docPartUnique/>
        </w:docPartObj>
      </w:sdtPr>
      <w:sdtEndPr/>
      <w:sdtContent>
        <w:r w:rsidRPr="00775E87">
          <w:rPr>
            <w:b/>
          </w:rPr>
          <w:fldChar w:fldCharType="begin"/>
        </w:r>
        <w:r w:rsidRPr="00775E87">
          <w:rPr>
            <w:b/>
          </w:rPr>
          <w:instrText>PAGE   \* MERGEFORMAT</w:instrText>
        </w:r>
        <w:r w:rsidRPr="00775E87">
          <w:rPr>
            <w:b/>
          </w:rPr>
          <w:fldChar w:fldCharType="separate"/>
        </w:r>
        <w:r w:rsidRPr="00775E87">
          <w:rPr>
            <w:b/>
            <w:noProof/>
            <w:lang w:val="es-ES"/>
          </w:rPr>
          <w:t>1</w:t>
        </w:r>
        <w:r w:rsidRPr="00775E87">
          <w:rPr>
            <w:b/>
          </w:rPr>
          <w:fldChar w:fldCharType="end"/>
        </w:r>
        <w:r>
          <w:t xml:space="preserve"> al </w:t>
        </w:r>
        <w:r w:rsidRPr="00775E87">
          <w:rPr>
            <w:b/>
          </w:rPr>
          <w:t>6</w:t>
        </w:r>
      </w:sdtContent>
    </w:sdt>
  </w:p>
  <w:p w14:paraId="1B66F225" w14:textId="77777777" w:rsidR="00775E87" w:rsidRDefault="00775E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A13E9" w14:textId="77777777" w:rsidR="003E0394" w:rsidRDefault="003E0394" w:rsidP="00991E7D">
      <w:pPr>
        <w:spacing w:after="0" w:line="240" w:lineRule="auto"/>
      </w:pPr>
      <w:r>
        <w:separator/>
      </w:r>
    </w:p>
  </w:footnote>
  <w:footnote w:type="continuationSeparator" w:id="0">
    <w:p w14:paraId="17DC572A" w14:textId="77777777" w:rsidR="003E0394" w:rsidRDefault="003E0394" w:rsidP="00991E7D">
      <w:pPr>
        <w:spacing w:after="0" w:line="240" w:lineRule="auto"/>
      </w:pPr>
      <w:r>
        <w:continuationSeparator/>
      </w:r>
    </w:p>
  </w:footnote>
  <w:footnote w:id="1">
    <w:p w14:paraId="160429EC" w14:textId="77777777" w:rsidR="00991E7D" w:rsidRDefault="00991E7D" w:rsidP="00991E7D">
      <w:pPr>
        <w:pStyle w:val="Textonotapie"/>
      </w:pPr>
      <w:r>
        <w:rPr>
          <w:rStyle w:val="Refdenotaalpie"/>
        </w:rPr>
        <w:footnoteRef/>
      </w:r>
      <w:r>
        <w:t xml:space="preserve"> </w:t>
      </w:r>
      <w:r w:rsidRPr="00036D17">
        <w:rPr>
          <w:rFonts w:ascii="Arial" w:hAnsi="Arial" w:cs="Arial"/>
          <w:sz w:val="16"/>
          <w:szCs w:val="14"/>
        </w:rPr>
        <w:t>Exp N° 6167-2005-PHC/TC- Lima, Fernando Cantuarias Salaverry, Sentencia de fecha 28 de Julio de 2006.</w:t>
      </w:r>
    </w:p>
  </w:footnote>
  <w:footnote w:id="2">
    <w:p w14:paraId="38C90A71" w14:textId="77777777" w:rsidR="00991E7D" w:rsidRPr="0086426C" w:rsidRDefault="00991E7D" w:rsidP="00991E7D">
      <w:pPr>
        <w:pStyle w:val="Textonotapie"/>
        <w:jc w:val="both"/>
        <w:rPr>
          <w:rFonts w:ascii="Arial" w:hAnsi="Arial" w:cs="Arial"/>
          <w:sz w:val="14"/>
          <w:szCs w:val="14"/>
        </w:rPr>
      </w:pPr>
      <w:r w:rsidRPr="0086426C">
        <w:rPr>
          <w:rStyle w:val="Refdenotaalpie"/>
          <w:rFonts w:ascii="Arial" w:hAnsi="Arial" w:cs="Arial"/>
          <w:sz w:val="14"/>
          <w:szCs w:val="14"/>
        </w:rPr>
        <w:footnoteRef/>
      </w:r>
      <w:r w:rsidRPr="0086426C">
        <w:rPr>
          <w:rFonts w:ascii="Arial" w:hAnsi="Arial" w:cs="Arial"/>
          <w:sz w:val="14"/>
          <w:szCs w:val="14"/>
        </w:rPr>
        <w:t xml:space="preserve"> </w:t>
      </w:r>
      <w:r w:rsidRPr="0086426C">
        <w:rPr>
          <w:rFonts w:ascii="Arial" w:eastAsia="Calibri" w:hAnsi="Arial" w:cs="Arial"/>
          <w:iCs/>
          <w:color w:val="000000"/>
          <w:kern w:val="3"/>
          <w:sz w:val="14"/>
          <w:szCs w:val="14"/>
        </w:rPr>
        <w:t>San Martín Castro</w:t>
      </w:r>
      <w:r w:rsidRPr="0086426C">
        <w:rPr>
          <w:rFonts w:ascii="Arial" w:hAnsi="Arial" w:cs="Arial"/>
          <w:spacing w:val="-20"/>
          <w:sz w:val="14"/>
          <w:szCs w:val="14"/>
        </w:rPr>
        <w:t>, César</w:t>
      </w:r>
      <w:r w:rsidRPr="0086426C">
        <w:rPr>
          <w:rFonts w:ascii="Arial" w:eastAsia="Calibri" w:hAnsi="Arial" w:cs="Arial"/>
          <w:iCs/>
          <w:color w:val="000000"/>
          <w:kern w:val="3"/>
          <w:sz w:val="14"/>
          <w:szCs w:val="14"/>
        </w:rPr>
        <w:t xml:space="preserve">. </w:t>
      </w:r>
      <w:r w:rsidRPr="0086426C">
        <w:rPr>
          <w:rFonts w:ascii="Arial" w:eastAsia="Calibri" w:hAnsi="Arial" w:cs="Arial"/>
          <w:i/>
          <w:iCs/>
          <w:color w:val="000000"/>
          <w:kern w:val="3"/>
          <w:sz w:val="14"/>
          <w:szCs w:val="14"/>
        </w:rPr>
        <w:t>Derecho Procesal Penal</w:t>
      </w:r>
      <w:r w:rsidRPr="0086426C">
        <w:rPr>
          <w:rFonts w:ascii="Arial" w:eastAsia="Calibri" w:hAnsi="Arial" w:cs="Arial"/>
          <w:iCs/>
          <w:color w:val="000000"/>
          <w:kern w:val="3"/>
          <w:sz w:val="14"/>
          <w:szCs w:val="14"/>
        </w:rPr>
        <w:t>. Tomo I. Lima-2003. Edit. Grijley. p. 470.</w:t>
      </w:r>
    </w:p>
  </w:footnote>
  <w:footnote w:id="3">
    <w:p w14:paraId="13A26460" w14:textId="77777777" w:rsidR="00991E7D" w:rsidRPr="0086426C" w:rsidRDefault="00991E7D" w:rsidP="00991E7D">
      <w:pPr>
        <w:pStyle w:val="Textonotapie"/>
        <w:jc w:val="both"/>
        <w:rPr>
          <w:rFonts w:ascii="Arial" w:hAnsi="Arial" w:cs="Arial"/>
          <w:sz w:val="14"/>
          <w:szCs w:val="14"/>
        </w:rPr>
      </w:pPr>
      <w:r w:rsidRPr="0086426C">
        <w:rPr>
          <w:rStyle w:val="Refdenotaalpie"/>
          <w:rFonts w:ascii="Arial" w:hAnsi="Arial" w:cs="Arial"/>
          <w:sz w:val="14"/>
          <w:szCs w:val="14"/>
        </w:rPr>
        <w:footnoteRef/>
      </w:r>
      <w:r w:rsidRPr="0086426C">
        <w:rPr>
          <w:rFonts w:ascii="Arial" w:hAnsi="Arial" w:cs="Arial"/>
          <w:sz w:val="14"/>
          <w:szCs w:val="14"/>
        </w:rPr>
        <w:t xml:space="preserve"> </w:t>
      </w:r>
      <w:r w:rsidRPr="0086426C">
        <w:rPr>
          <w:rFonts w:ascii="Arial" w:eastAsia="Calibri" w:hAnsi="Arial" w:cs="Arial"/>
          <w:iCs/>
          <w:color w:val="000000"/>
          <w:kern w:val="3"/>
          <w:sz w:val="14"/>
          <w:szCs w:val="14"/>
        </w:rPr>
        <w:t xml:space="preserve">San Martín Castro, César. </w:t>
      </w:r>
      <w:r w:rsidRPr="0086426C">
        <w:rPr>
          <w:rFonts w:ascii="Arial" w:eastAsia="Calibri" w:hAnsi="Arial" w:cs="Arial"/>
          <w:i/>
          <w:iCs/>
          <w:color w:val="000000"/>
          <w:kern w:val="3"/>
          <w:sz w:val="14"/>
          <w:szCs w:val="14"/>
        </w:rPr>
        <w:t>Derecho Procesal Penal Lecciones</w:t>
      </w:r>
      <w:r w:rsidRPr="0086426C">
        <w:rPr>
          <w:rFonts w:ascii="Arial" w:eastAsia="Calibri" w:hAnsi="Arial" w:cs="Arial"/>
          <w:iCs/>
          <w:color w:val="000000"/>
          <w:kern w:val="3"/>
          <w:sz w:val="14"/>
          <w:szCs w:val="14"/>
        </w:rPr>
        <w:t>. Edit. Instituto Peruano de Criminología y Ciencias Penales. 2015. p. 313. Asimismo, precisa “la causa de falta de indicios procede cuando el fiscal advierte la ausencia de elementos de prueba o su insuficiencia para fundamentar la continuación de la investigación penal, lo cual puede estar relacionado, tanto a demostrar la existencia del hecho delictivo, como también la responsabilidad penal del autor o partícipe”.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31E33" w14:textId="77777777" w:rsidR="00775522" w:rsidRPr="00DD7ECC" w:rsidRDefault="00775522" w:rsidP="00775522">
    <w:pPr>
      <w:pStyle w:val="Encabezado"/>
    </w:pPr>
    <w:bookmarkStart w:id="6" w:name="_Hlk219917620"/>
    <w:bookmarkStart w:id="7" w:name="_Hlk219917621"/>
    <w:r w:rsidRPr="00DD7ECC">
      <w:rPr>
        <w:noProof/>
      </w:rPr>
      <w:drawing>
        <wp:anchor distT="0" distB="0" distL="114300" distR="114300" simplePos="0" relativeHeight="251676672" behindDoc="1" locked="0" layoutInCell="1" allowOverlap="1" wp14:anchorId="14795AD9" wp14:editId="0E9EF51A">
          <wp:simplePos x="0" y="0"/>
          <wp:positionH relativeFrom="margin">
            <wp:posOffset>121534</wp:posOffset>
          </wp:positionH>
          <wp:positionV relativeFrom="page">
            <wp:posOffset>514712</wp:posOffset>
          </wp:positionV>
          <wp:extent cx="1924050" cy="687070"/>
          <wp:effectExtent l="0" t="0" r="0" b="0"/>
          <wp:wrapTight wrapText="bothSides">
            <wp:wrapPolygon edited="0">
              <wp:start x="0" y="0"/>
              <wp:lineTo x="0" y="20961"/>
              <wp:lineTo x="21386" y="20961"/>
              <wp:lineTo x="21386"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924050" cy="687070"/>
                  </a:xfrm>
                  <a:prstGeom prst="rect">
                    <a:avLst/>
                  </a:prstGeom>
                </pic:spPr>
              </pic:pic>
            </a:graphicData>
          </a:graphic>
          <wp14:sizeRelH relativeFrom="margin">
            <wp14:pctWidth>0</wp14:pctWidth>
          </wp14:sizeRelH>
          <wp14:sizeRelV relativeFrom="margin">
            <wp14:pctHeight>0</wp14:pctHeight>
          </wp14:sizeRelV>
        </wp:anchor>
      </w:drawing>
    </w:r>
    <w:r w:rsidRPr="00DD7ECC">
      <w:rPr>
        <w:rFonts w:cstheme="minorHAnsi"/>
        <w:noProof/>
        <w:lang w:eastAsia="es-PE"/>
      </w:rPr>
      <mc:AlternateContent>
        <mc:Choice Requires="wps">
          <w:drawing>
            <wp:anchor distT="0" distB="0" distL="114935" distR="114935" simplePos="0" relativeHeight="251656192" behindDoc="0" locked="0" layoutInCell="1" allowOverlap="1" wp14:anchorId="032D97C1" wp14:editId="07236829">
              <wp:simplePos x="0" y="0"/>
              <wp:positionH relativeFrom="margin">
                <wp:posOffset>2651125</wp:posOffset>
              </wp:positionH>
              <wp:positionV relativeFrom="page">
                <wp:posOffset>524510</wp:posOffset>
              </wp:positionV>
              <wp:extent cx="2703195" cy="457200"/>
              <wp:effectExtent l="0" t="0" r="1905"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2703195"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D05C7E" w14:textId="77777777" w:rsidR="00775522" w:rsidRPr="00DD7ECC" w:rsidRDefault="00775522" w:rsidP="00775522">
                          <w:pPr>
                            <w:pStyle w:val="Encabezado"/>
                            <w:tabs>
                              <w:tab w:val="center" w:pos="3686"/>
                            </w:tabs>
                            <w:jc w:val="center"/>
                            <w:rPr>
                              <w:rFonts w:ascii="Bookman Old Style" w:hAnsi="Bookman Old Style" w:cs="Tahoma"/>
                              <w:b/>
                              <w:i/>
                              <w:iCs/>
                              <w:color w:val="002060"/>
                              <w:sz w:val="18"/>
                              <w:szCs w:val="20"/>
                            </w:rPr>
                          </w:pPr>
                          <w:r w:rsidRPr="00DD7ECC">
                            <w:rPr>
                              <w:rFonts w:ascii="Bookman Old Style" w:hAnsi="Bookman Old Style" w:cs="Tahoma"/>
                              <w:b/>
                              <w:i/>
                              <w:iCs/>
                              <w:color w:val="002060"/>
                              <w:sz w:val="18"/>
                              <w:szCs w:val="20"/>
                            </w:rPr>
                            <w:t>“Año de la recuperación y consolidación de la economía”</w:t>
                          </w:r>
                        </w:p>
                        <w:p w14:paraId="70793D57" w14:textId="77777777" w:rsidR="00775522" w:rsidRPr="00DD7ECC" w:rsidRDefault="00775522" w:rsidP="00775522">
                          <w:pPr>
                            <w:tabs>
                              <w:tab w:val="center" w:pos="3686"/>
                            </w:tabs>
                            <w:jc w:val="right"/>
                            <w:rPr>
                              <w:rFonts w:ascii="Palatino Linotype" w:hAnsi="Palatino Linotype"/>
                              <w:i/>
                              <w:iCs/>
                              <w:color w:val="00206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2D97C1" id="_x0000_t202" coordsize="21600,21600" o:spt="202" path="m,l,21600r21600,l21600,xe">
              <v:stroke joinstyle="miter"/>
              <v:path gradientshapeok="t" o:connecttype="rect"/>
            </v:shapetype>
            <v:shape id="Cuadro de texto 3" o:spid="_x0000_s1026" type="#_x0000_t202" style="position:absolute;margin-left:208.75pt;margin-top:41.3pt;width:212.85pt;height:36pt;flip:y;z-index:251656192;visibility:visible;mso-wrap-style:square;mso-width-percent:0;mso-height-percent:0;mso-wrap-distance-left:9.05pt;mso-wrap-distance-top:0;mso-wrap-distance-right:9.05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vfq7gEAAMQDAAAOAAAAZHJzL2Uyb0RvYy54bWysU02P0zAQvSPxHyzfadrCshA1XS1dFSEt&#10;H9Iu3B3HTiwcjxm7TcqvZ+z0A5YbIgdrbI/fzHvzsroZe8v2CoMBV/HFbM6ZchIa49qKf33cvnjD&#10;WYjCNcKCUxU/qMBv1s+frQZfqiV0YBuFjEBcKAdf8S5GXxZFkJ3qRZiBV44uNWAvIm2xLRoUA6H3&#10;tljO56+LAbDxCFKFQKd30yVfZ3ytlYyftQ4qMltx6i3mFfNap7VYr0TZovCdkcc2xD900QvjqOgZ&#10;6k5EwXZo/oLqjUQIoONMQl+A1kaqzIHYLOZP2Dx0wqvMhcQJ/ixT+H+w8tP+wX9BFsd3MNIAM4ng&#10;70F+D8zBphOuVbeIMHRKNFR4kSQrBh/K49MkdShDAqmHj9DQkMUuQgYaNfZMW+O/naCJMaM6NIrD&#10;WX41RibpcHk9f7l4e8WZpLtXV9c031xMlAknqesxxPcKepaCiiONN9cR+/sQU1+XlJQewJpma6zN&#10;G2zrjUW2F2SFbf6O6H+kWZeSHaRnE2I6yYQTx4ltHOuRLhPxGpoDUUeYrEW/AgUd4E/OBrJVxcOP&#10;nUDFmf3gSL7kwVOAp6A+BcJJelrxyNkUbuLk1Z1H03aEPA3IwS1JrE3mfOni2CdZJUtxtHXy4u/7&#10;nHX5+da/AAAA//8DAFBLAwQUAAYACAAAACEAID2NkuAAAAAKAQAADwAAAGRycy9kb3ducmV2Lnht&#10;bEyP0U6DQBBF3038h82Y+ELsUqSIyNKYJn0x0WjrByzsCER2lrBLS//e8UkfJ/fk3jPldrGDOOHk&#10;e0cK1qsYBFLjTE+tgs/j/i4H4YMmowdHqOCCHrbV9VWpC+PO9IGnQ2gFl5AvtIIuhLGQ0jcdWu1X&#10;bkTi7MtNVgc+p1aaSZ+53A4yieNMWt0TL3R6xF2HzfdhtgqOr+8vU/QYNbs4zPW8f8ujS+2Vur1Z&#10;np9ABFzCHwy/+qwOFTvVbibjxaAgXT9sGFWQJxkIBvL0PgFRM7lJM5BVKf+/UP0AAAD//wMAUEsB&#10;Ai0AFAAGAAgAAAAhALaDOJL+AAAA4QEAABMAAAAAAAAAAAAAAAAAAAAAAFtDb250ZW50X1R5cGVz&#10;XS54bWxQSwECLQAUAAYACAAAACEAOP0h/9YAAACUAQAACwAAAAAAAAAAAAAAAAAvAQAAX3JlbHMv&#10;LnJlbHNQSwECLQAUAAYACAAAACEAun736u4BAADEAwAADgAAAAAAAAAAAAAAAAAuAgAAZHJzL2Uy&#10;b0RvYy54bWxQSwECLQAUAAYACAAAACEAID2NkuAAAAAKAQAADwAAAAAAAAAAAAAAAABIBAAAZHJz&#10;L2Rvd25yZXYueG1sUEsFBgAAAAAEAAQA8wAAAFUFAAAAAA==&#10;" stroked="f">
              <v:textbox inset="0,0,0,0">
                <w:txbxContent>
                  <w:p w14:paraId="4CD05C7E" w14:textId="77777777" w:rsidR="00775522" w:rsidRPr="00DD7ECC" w:rsidRDefault="00775522" w:rsidP="00775522">
                    <w:pPr>
                      <w:pStyle w:val="Encabezado"/>
                      <w:tabs>
                        <w:tab w:val="center" w:pos="3686"/>
                      </w:tabs>
                      <w:jc w:val="center"/>
                      <w:rPr>
                        <w:rFonts w:ascii="Bookman Old Style" w:hAnsi="Bookman Old Style" w:cs="Tahoma"/>
                        <w:b/>
                        <w:i/>
                        <w:iCs/>
                        <w:color w:val="002060"/>
                        <w:sz w:val="18"/>
                        <w:szCs w:val="20"/>
                      </w:rPr>
                    </w:pPr>
                    <w:r w:rsidRPr="00DD7ECC">
                      <w:rPr>
                        <w:rFonts w:ascii="Bookman Old Style" w:hAnsi="Bookman Old Style" w:cs="Tahoma"/>
                        <w:b/>
                        <w:i/>
                        <w:iCs/>
                        <w:color w:val="002060"/>
                        <w:sz w:val="18"/>
                        <w:szCs w:val="20"/>
                      </w:rPr>
                      <w:t>“Año de la recuperación y consolidación de la economía”</w:t>
                    </w:r>
                  </w:p>
                  <w:p w14:paraId="70793D57" w14:textId="77777777" w:rsidR="00775522" w:rsidRPr="00DD7ECC" w:rsidRDefault="00775522" w:rsidP="00775522">
                    <w:pPr>
                      <w:tabs>
                        <w:tab w:val="center" w:pos="3686"/>
                      </w:tabs>
                      <w:jc w:val="right"/>
                      <w:rPr>
                        <w:rFonts w:ascii="Palatino Linotype" w:hAnsi="Palatino Linotype"/>
                        <w:i/>
                        <w:iCs/>
                        <w:color w:val="002060"/>
                      </w:rPr>
                    </w:pPr>
                  </w:p>
                </w:txbxContent>
              </v:textbox>
              <w10:wrap anchorx="margin" anchory="page"/>
            </v:shape>
          </w:pict>
        </mc:Fallback>
      </mc:AlternateContent>
    </w:r>
    <w:r w:rsidRPr="00DD7ECC">
      <w:tab/>
    </w:r>
    <w:r w:rsidRPr="00DD7ECC">
      <w:tab/>
    </w:r>
    <w:r w:rsidRPr="00DD7ECC">
      <w:tab/>
    </w:r>
  </w:p>
  <w:p w14:paraId="221A8470" w14:textId="77777777" w:rsidR="00775522" w:rsidRPr="00DD7ECC" w:rsidRDefault="00775522" w:rsidP="00775522">
    <w:pPr>
      <w:pStyle w:val="Encabezado"/>
    </w:pPr>
  </w:p>
  <w:p w14:paraId="6E57848B" w14:textId="77777777" w:rsidR="00775522" w:rsidRPr="00DD7ECC" w:rsidRDefault="00775522" w:rsidP="00775522">
    <w:pPr>
      <w:pStyle w:val="Encabezado"/>
    </w:pPr>
  </w:p>
  <w:p w14:paraId="2E84A9C1" w14:textId="77777777" w:rsidR="00775522" w:rsidRPr="00DD7ECC" w:rsidRDefault="00775522" w:rsidP="00775522">
    <w:pPr>
      <w:pStyle w:val="Encabezado"/>
    </w:pPr>
  </w:p>
  <w:p w14:paraId="32712243" w14:textId="77777777" w:rsidR="00775522" w:rsidRPr="00DD7ECC" w:rsidRDefault="00775522" w:rsidP="00775522">
    <w:pPr>
      <w:ind w:right="7"/>
      <w:rPr>
        <w:rFonts w:ascii="Bookman Old Style" w:eastAsia="Palatino Linotype" w:hAnsi="Bookman Old Style"/>
        <w:b/>
        <w:color w:val="002060"/>
        <w:sz w:val="18"/>
        <w:szCs w:val="18"/>
      </w:rPr>
    </w:pPr>
    <w:r w:rsidRPr="00DD7ECC">
      <w:rPr>
        <w:rFonts w:ascii="Bookman Old Style" w:eastAsia="Palatino Linotype" w:hAnsi="Bookman Old Style"/>
        <w:b/>
        <w:color w:val="002060"/>
        <w:sz w:val="18"/>
        <w:szCs w:val="18"/>
      </w:rPr>
      <w:t>DISTRITO FISCAL DE LIMA CENTRO</w:t>
    </w:r>
  </w:p>
  <w:p w14:paraId="393C3351" w14:textId="0BEEB73B" w:rsidR="00775522" w:rsidRPr="00DD7ECC" w:rsidRDefault="00775522" w:rsidP="00775522">
    <w:pPr>
      <w:ind w:right="4943"/>
      <w:jc w:val="center"/>
      <w:rPr>
        <w:rFonts w:ascii="Bookman Old Style" w:eastAsia="Palatino Linotype" w:hAnsi="Bookman Old Style"/>
        <w:color w:val="002060"/>
        <w:sz w:val="16"/>
        <w:szCs w:val="18"/>
      </w:rPr>
    </w:pPr>
    <w:r>
      <w:rPr>
        <w:rFonts w:ascii="Bookman Old Style" w:eastAsia="Palatino Linotype" w:hAnsi="Bookman Old Style"/>
        <w:color w:val="002060"/>
        <w:sz w:val="16"/>
        <w:szCs w:val="18"/>
      </w:rPr>
      <w:t>&lt;&lt;despacho&gt;&gt;</w:t>
    </w:r>
  </w:p>
  <w:p w14:paraId="19601495" w14:textId="07D29E46" w:rsidR="00991E7D" w:rsidRPr="00775522" w:rsidRDefault="00775522" w:rsidP="00775522">
    <w:pPr>
      <w:jc w:val="both"/>
      <w:rPr>
        <w:rFonts w:ascii="Bookman Old Style" w:hAnsi="Bookman Old Style"/>
        <w:color w:val="000000"/>
        <w:sz w:val="20"/>
        <w:szCs w:val="20"/>
      </w:rPr>
    </w:pPr>
    <w:r w:rsidRPr="00DD7ECC">
      <w:rPr>
        <w:rFonts w:ascii="Bookman Old Style" w:hAnsi="Bookman Old Style" w:cstheme="minorHAnsi"/>
        <w:color w:val="002060"/>
        <w:sz w:val="20"/>
        <w:szCs w:val="20"/>
      </w:rPr>
      <w:t>_____________________________________________________________________________________</w:t>
    </w:r>
    <w:r w:rsidRPr="00DD7ECC">
      <w:rPr>
        <w:rFonts w:ascii="Bookman Old Style" w:hAnsi="Bookman Old Style" w:cstheme="minorHAnsi"/>
        <w:sz w:val="20"/>
        <w:szCs w:val="20"/>
      </w:rPr>
      <w:t xml:space="preserve">             </w:t>
    </w:r>
    <w:r w:rsidRPr="00DD7ECC">
      <w:rPr>
        <w:rFonts w:ascii="Bookman Old Style" w:hAnsi="Bookman Old Style"/>
        <w:sz w:val="20"/>
        <w:szCs w:val="32"/>
      </w:rPr>
      <w:t xml:space="preserve">                             </w:t>
    </w:r>
    <w:bookmarkEnd w:id="6"/>
    <w:bookmarkEnd w:id="7"/>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47000"/>
    <w:multiLevelType w:val="multilevel"/>
    <w:tmpl w:val="2F8EA4C0"/>
    <w:lvl w:ilvl="0">
      <w:start w:val="1"/>
      <w:numFmt w:val="upperRoman"/>
      <w:lvlText w:val="%1."/>
      <w:lvlJc w:val="left"/>
      <w:pPr>
        <w:ind w:left="720" w:hanging="360"/>
      </w:pPr>
      <w:rPr>
        <w:rFonts w:ascii="Tahoma" w:hAnsi="Tahoma" w:cs="Tahoma" w:hint="default"/>
        <w:b/>
        <w:bCs/>
        <w:sz w:val="20"/>
        <w:szCs w:val="20"/>
      </w:rPr>
    </w:lvl>
    <w:lvl w:ilvl="1">
      <w:start w:val="1"/>
      <w:numFmt w:val="decimal"/>
      <w:lvlText w:val="II.%2."/>
      <w:lvlJc w:val="left"/>
      <w:pPr>
        <w:ind w:left="1080" w:hanging="360"/>
      </w:pPr>
      <w:rPr>
        <w:rFonts w:hint="default"/>
        <w:b/>
      </w:rPr>
    </w:lvl>
    <w:lvl w:ilvl="2">
      <w:start w:val="1"/>
      <w:numFmt w:val="decimal"/>
      <w:lvlText w:val="%3."/>
      <w:lvlJc w:val="left"/>
      <w:pPr>
        <w:ind w:left="1440" w:hanging="360"/>
      </w:pPr>
      <w:rPr>
        <w:b/>
      </w:r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572617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E7D"/>
    <w:rsid w:val="00132DFD"/>
    <w:rsid w:val="001D57BA"/>
    <w:rsid w:val="003E0394"/>
    <w:rsid w:val="00412C87"/>
    <w:rsid w:val="00454B55"/>
    <w:rsid w:val="00734A0F"/>
    <w:rsid w:val="00775522"/>
    <w:rsid w:val="00775E87"/>
    <w:rsid w:val="0079593A"/>
    <w:rsid w:val="007C63FC"/>
    <w:rsid w:val="007F3FCE"/>
    <w:rsid w:val="008F7B09"/>
    <w:rsid w:val="00991E7D"/>
    <w:rsid w:val="00C808B7"/>
    <w:rsid w:val="00CA42E4"/>
    <w:rsid w:val="00D91378"/>
    <w:rsid w:val="00D975D7"/>
    <w:rsid w:val="00DC0D8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E69AC"/>
  <w15:docId w15:val="{E865E6C4-A7D6-4E54-A6B2-3B3A3541F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E7D"/>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1E7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91E7D"/>
  </w:style>
  <w:style w:type="paragraph" w:styleId="Piedepgina">
    <w:name w:val="footer"/>
    <w:basedOn w:val="Normal"/>
    <w:link w:val="PiedepginaCar"/>
    <w:uiPriority w:val="99"/>
    <w:unhideWhenUsed/>
    <w:rsid w:val="00991E7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91E7D"/>
  </w:style>
  <w:style w:type="character" w:styleId="Refdenotaalpie">
    <w:name w:val="footnote reference"/>
    <w:basedOn w:val="Fuentedeprrafopredeter"/>
    <w:uiPriority w:val="99"/>
    <w:unhideWhenUsed/>
    <w:qFormat/>
    <w:rsid w:val="00991E7D"/>
    <w:rPr>
      <w:vertAlign w:val="superscript"/>
    </w:rPr>
  </w:style>
  <w:style w:type="paragraph" w:styleId="Prrafodelista">
    <w:name w:val="List Paragraph"/>
    <w:aliases w:val="Cuadro 2-1,Párrafo de lista2,List Paragraph,Párrafo de lista21,Párrafo de lista1,Number List 1,Fundamentacion,Dot pt,No Spacing1,List Paragraph Char Char Char,Indicator Text,Numbered Para 1,Colorful List - Accent 11,List Paragraph1,H,3"/>
    <w:basedOn w:val="Normal"/>
    <w:link w:val="PrrafodelistaCar"/>
    <w:uiPriority w:val="34"/>
    <w:qFormat/>
    <w:rsid w:val="00991E7D"/>
    <w:pPr>
      <w:spacing w:line="256" w:lineRule="auto"/>
      <w:ind w:left="720"/>
      <w:contextualSpacing/>
    </w:pPr>
  </w:style>
  <w:style w:type="character" w:styleId="Hipervnculo">
    <w:name w:val="Hyperlink"/>
    <w:basedOn w:val="Fuentedeprrafopredeter"/>
    <w:uiPriority w:val="99"/>
    <w:unhideWhenUsed/>
    <w:rsid w:val="00991E7D"/>
    <w:rPr>
      <w:color w:val="0000FF" w:themeColor="hyperlink"/>
      <w:u w:val="single"/>
    </w:rPr>
  </w:style>
  <w:style w:type="paragraph" w:styleId="Textonotapie">
    <w:name w:val="footnote text"/>
    <w:basedOn w:val="Normal"/>
    <w:link w:val="TextonotapieCar"/>
    <w:uiPriority w:val="99"/>
    <w:semiHidden/>
    <w:unhideWhenUsed/>
    <w:rsid w:val="00991E7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91E7D"/>
    <w:rPr>
      <w:sz w:val="20"/>
      <w:szCs w:val="20"/>
    </w:rPr>
  </w:style>
  <w:style w:type="character" w:customStyle="1" w:styleId="PrrafodelistaCar">
    <w:name w:val="Párrafo de lista Car"/>
    <w:aliases w:val="Cuadro 2-1 Car,Párrafo de lista2 Car,List Paragraph Car,Párrafo de lista21 Car,Párrafo de lista1 Car,Number List 1 Car,Fundamentacion Car,Dot pt Car,No Spacing1 Car,List Paragraph Char Char Char Car,Indicator Text Car,H Car,3 Car"/>
    <w:link w:val="Prrafodelista"/>
    <w:uiPriority w:val="34"/>
    <w:qFormat/>
    <w:locked/>
    <w:rsid w:val="00991E7D"/>
  </w:style>
  <w:style w:type="character" w:customStyle="1" w:styleId="fadeinm1hgl8">
    <w:name w:val="_fadein_m1hgl_8"/>
    <w:basedOn w:val="Fuentedeprrafopredeter"/>
    <w:rsid w:val="00991E7D"/>
  </w:style>
  <w:style w:type="paragraph" w:styleId="Textodeglobo">
    <w:name w:val="Balloon Text"/>
    <w:basedOn w:val="Normal"/>
    <w:link w:val="TextodegloboCar"/>
    <w:uiPriority w:val="99"/>
    <w:semiHidden/>
    <w:unhideWhenUsed/>
    <w:rsid w:val="00775E8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75E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2312</Words>
  <Characters>12719</Characters>
  <Application>Microsoft Office Word</Application>
  <DocSecurity>0</DocSecurity>
  <Lines>105</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dc:creator>
  <cp:lastModifiedBy>FN</cp:lastModifiedBy>
  <cp:revision>4</cp:revision>
  <cp:lastPrinted>2026-01-21T17:23:00Z</cp:lastPrinted>
  <dcterms:created xsi:type="dcterms:W3CDTF">2026-01-22T14:33:00Z</dcterms:created>
  <dcterms:modified xsi:type="dcterms:W3CDTF">2026-01-22T15:02:00Z</dcterms:modified>
</cp:coreProperties>
</file>