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1clara-nfasis11"/>
        <w:tblpPr w:leftFromText="141" w:rightFromText="141" w:vertAnchor="text" w:horzAnchor="margin" w:tblpXSpec="right" w:tblpY="73"/>
        <w:tblW w:w="0" w:type="auto"/>
        <w:tblLook w:val="04A0" w:firstRow="1" w:lastRow="0" w:firstColumn="1" w:lastColumn="0" w:noHBand="0" w:noVBand="1"/>
      </w:tblPr>
      <w:tblGrid>
        <w:gridCol w:w="1944"/>
        <w:gridCol w:w="289"/>
        <w:gridCol w:w="3518"/>
      </w:tblGrid>
      <w:tr w:rsidR="00222156" w:rsidRPr="00364BAB" w14:paraId="6BA9CA1F" w14:textId="77777777" w:rsidTr="000F1426">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shd w:val="clear" w:color="auto" w:fill="C1E4F5" w:themeFill="accent1" w:themeFillTint="33"/>
          </w:tcPr>
          <w:p w14:paraId="04CB0DD0" w14:textId="77777777" w:rsidR="00222156" w:rsidRPr="00364BAB" w:rsidRDefault="00222156" w:rsidP="000F1426">
            <w:pPr>
              <w:tabs>
                <w:tab w:val="left" w:pos="1446"/>
              </w:tabs>
              <w:spacing w:line="240" w:lineRule="auto"/>
              <w:contextualSpacing/>
              <w:jc w:val="both"/>
              <w:rPr>
                <w:rFonts w:ascii="Tahoma" w:eastAsia="SimSun" w:hAnsi="Tahoma" w:cs="Tahoma"/>
                <w:sz w:val="20"/>
                <w:szCs w:val="20"/>
              </w:rPr>
            </w:pPr>
            <w:bookmarkStart w:id="0" w:name="_Hlk211273409"/>
            <w:bookmarkStart w:id="1" w:name="_Hlk160092283"/>
            <w:r w:rsidRPr="00364BAB">
              <w:rPr>
                <w:rFonts w:ascii="Tahoma" w:eastAsia="SimSun" w:hAnsi="Tahoma" w:cs="Tahoma"/>
                <w:sz w:val="20"/>
                <w:szCs w:val="20"/>
              </w:rPr>
              <w:t xml:space="preserve">Carpeta Fiscal </w:t>
            </w:r>
            <w:proofErr w:type="spellStart"/>
            <w:r w:rsidRPr="00364BAB">
              <w:rPr>
                <w:rFonts w:ascii="Tahoma" w:eastAsia="SimSun" w:hAnsi="Tahoma" w:cs="Tahoma"/>
                <w:sz w:val="20"/>
                <w:szCs w:val="20"/>
              </w:rPr>
              <w:t>N°</w:t>
            </w:r>
            <w:proofErr w:type="spellEnd"/>
          </w:p>
        </w:tc>
        <w:tc>
          <w:tcPr>
            <w:tcW w:w="0" w:type="auto"/>
            <w:shd w:val="clear" w:color="auto" w:fill="C1E4F5" w:themeFill="accent1" w:themeFillTint="33"/>
          </w:tcPr>
          <w:p w14:paraId="7CDD8800" w14:textId="77777777" w:rsidR="00222156" w:rsidRPr="00364BAB" w:rsidRDefault="00222156" w:rsidP="000F1426">
            <w:pPr>
              <w:tabs>
                <w:tab w:val="left" w:pos="1843"/>
              </w:tabs>
              <w:spacing w:line="240" w:lineRule="auto"/>
              <w:contextualSpacing/>
              <w:jc w:val="both"/>
              <w:cnfStyle w:val="100000000000" w:firstRow="1" w:lastRow="0" w:firstColumn="0" w:lastColumn="0" w:oddVBand="0" w:evenVBand="0" w:oddHBand="0" w:evenHBand="0" w:firstRowFirstColumn="0" w:firstRowLastColumn="0" w:lastRowFirstColumn="0" w:lastRowLastColumn="0"/>
              <w:rPr>
                <w:rFonts w:ascii="Tahoma" w:eastAsia="SimSun" w:hAnsi="Tahoma" w:cs="Tahoma"/>
                <w:sz w:val="20"/>
                <w:szCs w:val="20"/>
              </w:rPr>
            </w:pPr>
            <w:r w:rsidRPr="00364BAB">
              <w:rPr>
                <w:rFonts w:ascii="Tahoma" w:eastAsia="SimSun" w:hAnsi="Tahoma" w:cs="Tahoma"/>
                <w:sz w:val="20"/>
                <w:szCs w:val="20"/>
              </w:rPr>
              <w:t>:</w:t>
            </w:r>
          </w:p>
        </w:tc>
        <w:tc>
          <w:tcPr>
            <w:tcW w:w="3518" w:type="dxa"/>
            <w:shd w:val="clear" w:color="auto" w:fill="C1E4F5" w:themeFill="accent1" w:themeFillTint="33"/>
          </w:tcPr>
          <w:p w14:paraId="59B764FB" w14:textId="084F9CD3" w:rsidR="00222156" w:rsidRPr="00222156" w:rsidRDefault="00222156" w:rsidP="000F1426">
            <w:pPr>
              <w:tabs>
                <w:tab w:val="left" w:pos="1560"/>
                <w:tab w:val="left" w:pos="1843"/>
              </w:tabs>
              <w:spacing w:line="240" w:lineRule="auto"/>
              <w:contextualSpacing/>
              <w:jc w:val="both"/>
              <w:cnfStyle w:val="100000000000" w:firstRow="1" w:lastRow="0" w:firstColumn="0" w:lastColumn="0" w:oddVBand="0" w:evenVBand="0" w:oddHBand="0" w:evenHBand="0" w:firstRowFirstColumn="0" w:firstRowLastColumn="0" w:lastRowFirstColumn="0" w:lastRowLastColumn="0"/>
              <w:rPr>
                <w:rFonts w:ascii="Tahoma" w:eastAsia="SimSun" w:hAnsi="Tahoma" w:cs="Tahoma"/>
                <w:b w:val="0"/>
                <w:bCs w:val="0"/>
                <w:sz w:val="20"/>
                <w:szCs w:val="20"/>
              </w:rPr>
            </w:pPr>
            <w:r w:rsidRPr="00222156">
              <w:rPr>
                <w:rFonts w:ascii="Tahoma" w:eastAsia="SimSun" w:hAnsi="Tahoma" w:cs="Tahoma"/>
                <w:b w:val="0"/>
                <w:bCs w:val="0"/>
                <w:sz w:val="20"/>
                <w:szCs w:val="20"/>
              </w:rPr>
              <w:t>&lt;&lt;caso&gt;&gt;</w:t>
            </w:r>
          </w:p>
        </w:tc>
      </w:tr>
      <w:tr w:rsidR="00222156" w:rsidRPr="00364BAB" w14:paraId="576813D2" w14:textId="77777777" w:rsidTr="000F1426">
        <w:trPr>
          <w:trHeight w:val="20"/>
        </w:trPr>
        <w:tc>
          <w:tcPr>
            <w:cnfStyle w:val="001000000000" w:firstRow="0" w:lastRow="0" w:firstColumn="1" w:lastColumn="0" w:oddVBand="0" w:evenVBand="0" w:oddHBand="0" w:evenHBand="0" w:firstRowFirstColumn="0" w:firstRowLastColumn="0" w:lastRowFirstColumn="0" w:lastRowLastColumn="0"/>
            <w:tcW w:w="0" w:type="auto"/>
          </w:tcPr>
          <w:p w14:paraId="6BBBF867" w14:textId="77777777" w:rsidR="00222156" w:rsidRPr="00364BAB" w:rsidRDefault="00222156" w:rsidP="000F1426">
            <w:pPr>
              <w:tabs>
                <w:tab w:val="left" w:pos="1843"/>
              </w:tabs>
              <w:spacing w:line="240" w:lineRule="auto"/>
              <w:contextualSpacing/>
              <w:jc w:val="both"/>
              <w:rPr>
                <w:rFonts w:ascii="Tahoma" w:eastAsia="SimSun" w:hAnsi="Tahoma" w:cs="Tahoma"/>
                <w:b w:val="0"/>
                <w:bCs w:val="0"/>
                <w:sz w:val="20"/>
                <w:szCs w:val="20"/>
              </w:rPr>
            </w:pPr>
            <w:r w:rsidRPr="00364BAB">
              <w:rPr>
                <w:rFonts w:ascii="Tahoma" w:eastAsia="SimSun" w:hAnsi="Tahoma" w:cs="Tahoma"/>
                <w:b w:val="0"/>
                <w:bCs w:val="0"/>
                <w:sz w:val="20"/>
                <w:szCs w:val="20"/>
              </w:rPr>
              <w:t>Investigado:</w:t>
            </w:r>
          </w:p>
        </w:tc>
        <w:tc>
          <w:tcPr>
            <w:tcW w:w="0" w:type="auto"/>
          </w:tcPr>
          <w:p w14:paraId="25356C0C" w14:textId="77777777" w:rsidR="00222156" w:rsidRPr="00364BAB" w:rsidRDefault="00222156" w:rsidP="000F1426">
            <w:pPr>
              <w:tabs>
                <w:tab w:val="left" w:pos="1843"/>
              </w:tabs>
              <w:spacing w:line="240" w:lineRule="auto"/>
              <w:contextualSpacing/>
              <w:jc w:val="both"/>
              <w:cnfStyle w:val="000000000000" w:firstRow="0" w:lastRow="0" w:firstColumn="0" w:lastColumn="0" w:oddVBand="0" w:evenVBand="0" w:oddHBand="0" w:evenHBand="0" w:firstRowFirstColumn="0" w:firstRowLastColumn="0" w:lastRowFirstColumn="0" w:lastRowLastColumn="0"/>
              <w:rPr>
                <w:rFonts w:ascii="Tahoma" w:eastAsia="SimSun" w:hAnsi="Tahoma" w:cs="Tahoma"/>
                <w:sz w:val="20"/>
                <w:szCs w:val="20"/>
              </w:rPr>
            </w:pPr>
            <w:r w:rsidRPr="00364BAB">
              <w:rPr>
                <w:rFonts w:ascii="Tahoma" w:eastAsia="SimSun" w:hAnsi="Tahoma" w:cs="Tahoma"/>
                <w:sz w:val="20"/>
                <w:szCs w:val="20"/>
              </w:rPr>
              <w:t>:</w:t>
            </w:r>
          </w:p>
        </w:tc>
        <w:tc>
          <w:tcPr>
            <w:tcW w:w="3518" w:type="dxa"/>
          </w:tcPr>
          <w:p w14:paraId="0D7EE01B" w14:textId="77777777" w:rsidR="00222156" w:rsidRPr="00364BAB" w:rsidRDefault="00222156" w:rsidP="000F1426">
            <w:pPr>
              <w:tabs>
                <w:tab w:val="left" w:pos="1843"/>
              </w:tabs>
              <w:spacing w:line="240" w:lineRule="auto"/>
              <w:contextualSpacing/>
              <w:jc w:val="both"/>
              <w:cnfStyle w:val="000000000000" w:firstRow="0" w:lastRow="0" w:firstColumn="0" w:lastColumn="0" w:oddVBand="0" w:evenVBand="0" w:oddHBand="0" w:evenHBand="0" w:firstRowFirstColumn="0" w:firstRowLastColumn="0" w:lastRowFirstColumn="0" w:lastRowLastColumn="0"/>
              <w:rPr>
                <w:rFonts w:ascii="Tahoma" w:eastAsia="SimSun" w:hAnsi="Tahoma" w:cs="Tahoma"/>
                <w:bCs/>
                <w:sz w:val="20"/>
                <w:szCs w:val="20"/>
              </w:rPr>
            </w:pPr>
            <w:r w:rsidRPr="00364BAB">
              <w:rPr>
                <w:rFonts w:ascii="Tahoma" w:eastAsia="SimSun" w:hAnsi="Tahoma" w:cs="Tahoma"/>
                <w:bCs/>
                <w:sz w:val="20"/>
                <w:szCs w:val="20"/>
              </w:rPr>
              <w:t>Los que resulten responsables</w:t>
            </w:r>
          </w:p>
        </w:tc>
      </w:tr>
      <w:tr w:rsidR="00222156" w:rsidRPr="00364BAB" w14:paraId="506B80D7" w14:textId="77777777" w:rsidTr="000F1426">
        <w:trPr>
          <w:trHeight w:val="70"/>
        </w:trPr>
        <w:tc>
          <w:tcPr>
            <w:cnfStyle w:val="001000000000" w:firstRow="0" w:lastRow="0" w:firstColumn="1" w:lastColumn="0" w:oddVBand="0" w:evenVBand="0" w:oddHBand="0" w:evenHBand="0" w:firstRowFirstColumn="0" w:firstRowLastColumn="0" w:lastRowFirstColumn="0" w:lastRowLastColumn="0"/>
            <w:tcW w:w="0" w:type="auto"/>
          </w:tcPr>
          <w:p w14:paraId="4ECD38FA" w14:textId="77777777" w:rsidR="00222156" w:rsidRPr="00364BAB" w:rsidRDefault="00222156" w:rsidP="000F1426">
            <w:pPr>
              <w:tabs>
                <w:tab w:val="left" w:pos="1843"/>
              </w:tabs>
              <w:spacing w:line="240" w:lineRule="auto"/>
              <w:contextualSpacing/>
              <w:jc w:val="both"/>
              <w:rPr>
                <w:rFonts w:ascii="Tahoma" w:eastAsia="SimSun" w:hAnsi="Tahoma" w:cs="Tahoma"/>
                <w:b w:val="0"/>
                <w:bCs w:val="0"/>
                <w:sz w:val="20"/>
                <w:szCs w:val="20"/>
              </w:rPr>
            </w:pPr>
            <w:r w:rsidRPr="00364BAB">
              <w:rPr>
                <w:rFonts w:ascii="Tahoma" w:eastAsia="SimSun" w:hAnsi="Tahoma" w:cs="Tahoma"/>
                <w:b w:val="0"/>
                <w:bCs w:val="0"/>
                <w:sz w:val="20"/>
                <w:szCs w:val="20"/>
              </w:rPr>
              <w:t>Agraviados:</w:t>
            </w:r>
          </w:p>
        </w:tc>
        <w:tc>
          <w:tcPr>
            <w:tcW w:w="0" w:type="auto"/>
          </w:tcPr>
          <w:p w14:paraId="320FB8EC" w14:textId="77777777" w:rsidR="00222156" w:rsidRPr="00364BAB" w:rsidRDefault="00222156" w:rsidP="000F1426">
            <w:pPr>
              <w:tabs>
                <w:tab w:val="left" w:pos="1843"/>
              </w:tabs>
              <w:spacing w:line="240" w:lineRule="auto"/>
              <w:contextualSpacing/>
              <w:jc w:val="both"/>
              <w:cnfStyle w:val="000000000000" w:firstRow="0" w:lastRow="0" w:firstColumn="0" w:lastColumn="0" w:oddVBand="0" w:evenVBand="0" w:oddHBand="0" w:evenHBand="0" w:firstRowFirstColumn="0" w:firstRowLastColumn="0" w:lastRowFirstColumn="0" w:lastRowLastColumn="0"/>
              <w:rPr>
                <w:rFonts w:ascii="Tahoma" w:eastAsia="SimSun" w:hAnsi="Tahoma" w:cs="Tahoma"/>
                <w:sz w:val="20"/>
                <w:szCs w:val="20"/>
              </w:rPr>
            </w:pPr>
            <w:r w:rsidRPr="00364BAB">
              <w:rPr>
                <w:rFonts w:ascii="Tahoma" w:eastAsia="SimSun" w:hAnsi="Tahoma" w:cs="Tahoma"/>
                <w:sz w:val="20"/>
                <w:szCs w:val="20"/>
              </w:rPr>
              <w:t>:</w:t>
            </w:r>
          </w:p>
        </w:tc>
        <w:tc>
          <w:tcPr>
            <w:tcW w:w="3518" w:type="dxa"/>
            <w:vAlign w:val="center"/>
          </w:tcPr>
          <w:p w14:paraId="2035F101" w14:textId="0425B15D" w:rsidR="00222156" w:rsidRPr="00364BAB" w:rsidRDefault="00222156" w:rsidP="000F1426">
            <w:pPr>
              <w:tabs>
                <w:tab w:val="left" w:pos="1843"/>
              </w:tabs>
              <w:spacing w:line="240" w:lineRule="auto"/>
              <w:contextualSpacing/>
              <w:jc w:val="both"/>
              <w:cnfStyle w:val="000000000000" w:firstRow="0" w:lastRow="0" w:firstColumn="0" w:lastColumn="0" w:oddVBand="0" w:evenVBand="0" w:oddHBand="0" w:evenHBand="0" w:firstRowFirstColumn="0" w:firstRowLastColumn="0" w:lastRowFirstColumn="0" w:lastRowLastColumn="0"/>
              <w:rPr>
                <w:rFonts w:ascii="Tahoma" w:eastAsia="SimSun" w:hAnsi="Tahoma" w:cs="Tahoma"/>
                <w:bCs/>
                <w:sz w:val="20"/>
                <w:szCs w:val="20"/>
              </w:rPr>
            </w:pPr>
            <w:r w:rsidRPr="004C23A4">
              <w:rPr>
                <w:rFonts w:ascii="Tahoma" w:eastAsia="Arial Narrow" w:hAnsi="Tahoma" w:cs="Tahoma"/>
                <w:bCs/>
                <w:color w:val="000000"/>
                <w:sz w:val="20"/>
                <w:szCs w:val="20"/>
              </w:rPr>
              <w:t>&lt;&lt;agraviado&gt;&gt;</w:t>
            </w:r>
          </w:p>
        </w:tc>
      </w:tr>
      <w:tr w:rsidR="00222156" w:rsidRPr="00364BAB" w14:paraId="500EBE95" w14:textId="77777777" w:rsidTr="000F1426">
        <w:trPr>
          <w:trHeight w:val="20"/>
        </w:trPr>
        <w:tc>
          <w:tcPr>
            <w:cnfStyle w:val="001000000000" w:firstRow="0" w:lastRow="0" w:firstColumn="1" w:lastColumn="0" w:oddVBand="0" w:evenVBand="0" w:oddHBand="0" w:evenHBand="0" w:firstRowFirstColumn="0" w:firstRowLastColumn="0" w:lastRowFirstColumn="0" w:lastRowLastColumn="0"/>
            <w:tcW w:w="0" w:type="auto"/>
          </w:tcPr>
          <w:p w14:paraId="473A8AE7" w14:textId="77777777" w:rsidR="00222156" w:rsidRPr="00364BAB" w:rsidRDefault="00222156" w:rsidP="000F1426">
            <w:pPr>
              <w:tabs>
                <w:tab w:val="left" w:pos="1843"/>
              </w:tabs>
              <w:spacing w:line="240" w:lineRule="auto"/>
              <w:contextualSpacing/>
              <w:jc w:val="both"/>
              <w:rPr>
                <w:rFonts w:ascii="Tahoma" w:eastAsia="SimSun" w:hAnsi="Tahoma" w:cs="Tahoma"/>
                <w:b w:val="0"/>
                <w:bCs w:val="0"/>
                <w:sz w:val="20"/>
                <w:szCs w:val="20"/>
              </w:rPr>
            </w:pPr>
            <w:r w:rsidRPr="00364BAB">
              <w:rPr>
                <w:rFonts w:ascii="Tahoma" w:eastAsia="SimSun" w:hAnsi="Tahoma" w:cs="Tahoma"/>
                <w:b w:val="0"/>
                <w:bCs w:val="0"/>
                <w:sz w:val="20"/>
                <w:szCs w:val="20"/>
              </w:rPr>
              <w:t>Delito</w:t>
            </w:r>
          </w:p>
        </w:tc>
        <w:tc>
          <w:tcPr>
            <w:tcW w:w="0" w:type="auto"/>
          </w:tcPr>
          <w:p w14:paraId="2BEF8EBE" w14:textId="77777777" w:rsidR="00222156" w:rsidRPr="00364BAB" w:rsidRDefault="00222156" w:rsidP="000F1426">
            <w:pPr>
              <w:tabs>
                <w:tab w:val="left" w:pos="1843"/>
              </w:tabs>
              <w:spacing w:line="240" w:lineRule="auto"/>
              <w:contextualSpacing/>
              <w:jc w:val="both"/>
              <w:cnfStyle w:val="000000000000" w:firstRow="0" w:lastRow="0" w:firstColumn="0" w:lastColumn="0" w:oddVBand="0" w:evenVBand="0" w:oddHBand="0" w:evenHBand="0" w:firstRowFirstColumn="0" w:firstRowLastColumn="0" w:lastRowFirstColumn="0" w:lastRowLastColumn="0"/>
              <w:rPr>
                <w:rFonts w:ascii="Tahoma" w:eastAsia="SimSun" w:hAnsi="Tahoma" w:cs="Tahoma"/>
                <w:sz w:val="20"/>
                <w:szCs w:val="20"/>
              </w:rPr>
            </w:pPr>
            <w:r w:rsidRPr="00364BAB">
              <w:rPr>
                <w:rFonts w:ascii="Tahoma" w:eastAsia="SimSun" w:hAnsi="Tahoma" w:cs="Tahoma"/>
                <w:sz w:val="20"/>
                <w:szCs w:val="20"/>
              </w:rPr>
              <w:t>:</w:t>
            </w:r>
          </w:p>
        </w:tc>
        <w:tc>
          <w:tcPr>
            <w:tcW w:w="3518" w:type="dxa"/>
          </w:tcPr>
          <w:p w14:paraId="2043EC29" w14:textId="77777777" w:rsidR="00222156" w:rsidRPr="00364BAB" w:rsidRDefault="00222156" w:rsidP="000F1426">
            <w:pPr>
              <w:pBdr>
                <w:top w:val="nil"/>
                <w:left w:val="nil"/>
                <w:bottom w:val="nil"/>
                <w:right w:val="nil"/>
                <w:between w:val="nil"/>
              </w:pBdr>
              <w:spacing w:line="240" w:lineRule="auto"/>
              <w:contextualSpacing/>
              <w:cnfStyle w:val="000000000000" w:firstRow="0" w:lastRow="0" w:firstColumn="0" w:lastColumn="0" w:oddVBand="0" w:evenVBand="0" w:oddHBand="0" w:evenHBand="0" w:firstRowFirstColumn="0" w:firstRowLastColumn="0" w:lastRowFirstColumn="0" w:lastRowLastColumn="0"/>
              <w:rPr>
                <w:rFonts w:ascii="Tahoma" w:eastAsia="Arial Narrow" w:hAnsi="Tahoma" w:cs="Tahoma"/>
                <w:bCs/>
                <w:color w:val="000000"/>
                <w:sz w:val="20"/>
                <w:szCs w:val="20"/>
              </w:rPr>
            </w:pPr>
            <w:r w:rsidRPr="00364BAB">
              <w:rPr>
                <w:rFonts w:ascii="Tahoma" w:eastAsia="Arial Narrow" w:hAnsi="Tahoma" w:cs="Tahoma"/>
                <w:bCs/>
                <w:color w:val="000000"/>
                <w:sz w:val="20"/>
                <w:szCs w:val="20"/>
              </w:rPr>
              <w:t>Fraude Informático</w:t>
            </w:r>
          </w:p>
          <w:p w14:paraId="68C7B244" w14:textId="77777777" w:rsidR="00222156" w:rsidRPr="00364BAB" w:rsidRDefault="00222156" w:rsidP="000F1426">
            <w:pPr>
              <w:spacing w:line="240" w:lineRule="auto"/>
              <w:contextualSpacing/>
              <w:jc w:val="both"/>
              <w:cnfStyle w:val="000000000000" w:firstRow="0" w:lastRow="0" w:firstColumn="0" w:lastColumn="0" w:oddVBand="0" w:evenVBand="0" w:oddHBand="0" w:evenHBand="0" w:firstRowFirstColumn="0" w:firstRowLastColumn="0" w:lastRowFirstColumn="0" w:lastRowLastColumn="0"/>
              <w:rPr>
                <w:rFonts w:ascii="Tahoma" w:eastAsia="SimSun" w:hAnsi="Tahoma" w:cs="Tahoma"/>
                <w:bCs/>
                <w:sz w:val="20"/>
                <w:szCs w:val="20"/>
              </w:rPr>
            </w:pPr>
            <w:r w:rsidRPr="00364BAB">
              <w:rPr>
                <w:rFonts w:ascii="Tahoma" w:eastAsia="Arial Narrow" w:hAnsi="Tahoma" w:cs="Tahoma"/>
                <w:bCs/>
                <w:color w:val="000000"/>
                <w:sz w:val="20"/>
                <w:szCs w:val="20"/>
              </w:rPr>
              <w:t>Hurto</w:t>
            </w:r>
          </w:p>
        </w:tc>
      </w:tr>
      <w:tr w:rsidR="00222156" w:rsidRPr="00364BAB" w14:paraId="3E0A5CA0" w14:textId="77777777" w:rsidTr="000F1426">
        <w:trPr>
          <w:trHeight w:val="20"/>
        </w:trPr>
        <w:tc>
          <w:tcPr>
            <w:cnfStyle w:val="001000000000" w:firstRow="0" w:lastRow="0" w:firstColumn="1" w:lastColumn="0" w:oddVBand="0" w:evenVBand="0" w:oddHBand="0" w:evenHBand="0" w:firstRowFirstColumn="0" w:firstRowLastColumn="0" w:lastRowFirstColumn="0" w:lastRowLastColumn="0"/>
            <w:tcW w:w="0" w:type="auto"/>
          </w:tcPr>
          <w:p w14:paraId="60B238D6" w14:textId="77777777" w:rsidR="00222156" w:rsidRPr="00364BAB" w:rsidRDefault="00222156" w:rsidP="000F1426">
            <w:pPr>
              <w:tabs>
                <w:tab w:val="left" w:pos="1843"/>
              </w:tabs>
              <w:spacing w:line="240" w:lineRule="auto"/>
              <w:contextualSpacing/>
              <w:jc w:val="both"/>
              <w:rPr>
                <w:rFonts w:ascii="Tahoma" w:eastAsia="SimSun" w:hAnsi="Tahoma" w:cs="Tahoma"/>
                <w:sz w:val="20"/>
                <w:szCs w:val="20"/>
              </w:rPr>
            </w:pPr>
            <w:r w:rsidRPr="00364BAB">
              <w:rPr>
                <w:rFonts w:ascii="Tahoma" w:eastAsia="SimSun" w:hAnsi="Tahoma" w:cs="Tahoma"/>
                <w:b w:val="0"/>
                <w:bCs w:val="0"/>
                <w:sz w:val="20"/>
                <w:szCs w:val="20"/>
              </w:rPr>
              <w:t>Fiscal responsable</w:t>
            </w:r>
          </w:p>
        </w:tc>
        <w:tc>
          <w:tcPr>
            <w:tcW w:w="0" w:type="auto"/>
          </w:tcPr>
          <w:p w14:paraId="303B5A5C" w14:textId="77777777" w:rsidR="00222156" w:rsidRPr="00364BAB" w:rsidRDefault="00222156" w:rsidP="000F1426">
            <w:pPr>
              <w:tabs>
                <w:tab w:val="left" w:pos="1843"/>
              </w:tabs>
              <w:spacing w:line="240" w:lineRule="auto"/>
              <w:contextualSpacing/>
              <w:jc w:val="both"/>
              <w:cnfStyle w:val="000000000000" w:firstRow="0" w:lastRow="0" w:firstColumn="0" w:lastColumn="0" w:oddVBand="0" w:evenVBand="0" w:oddHBand="0" w:evenHBand="0" w:firstRowFirstColumn="0" w:firstRowLastColumn="0" w:lastRowFirstColumn="0" w:lastRowLastColumn="0"/>
              <w:rPr>
                <w:rFonts w:ascii="Tahoma" w:eastAsia="SimSun" w:hAnsi="Tahoma" w:cs="Tahoma"/>
                <w:sz w:val="20"/>
                <w:szCs w:val="20"/>
              </w:rPr>
            </w:pPr>
            <w:r w:rsidRPr="00364BAB">
              <w:rPr>
                <w:rFonts w:ascii="Tahoma" w:eastAsia="SimSun" w:hAnsi="Tahoma" w:cs="Tahoma"/>
                <w:sz w:val="20"/>
                <w:szCs w:val="20"/>
              </w:rPr>
              <w:t>:</w:t>
            </w:r>
          </w:p>
        </w:tc>
        <w:tc>
          <w:tcPr>
            <w:tcW w:w="3518" w:type="dxa"/>
          </w:tcPr>
          <w:p w14:paraId="7006557C" w14:textId="43DE12B3" w:rsidR="00222156" w:rsidRPr="00364BAB" w:rsidRDefault="00222156" w:rsidP="000F1426">
            <w:pPr>
              <w:spacing w:line="240" w:lineRule="auto"/>
              <w:contextualSpacing/>
              <w:jc w:val="both"/>
              <w:cnfStyle w:val="000000000000" w:firstRow="0" w:lastRow="0" w:firstColumn="0" w:lastColumn="0" w:oddVBand="0" w:evenVBand="0" w:oddHBand="0" w:evenHBand="0" w:firstRowFirstColumn="0" w:firstRowLastColumn="0" w:lastRowFirstColumn="0" w:lastRowLastColumn="0"/>
              <w:rPr>
                <w:rFonts w:ascii="Tahoma" w:hAnsi="Tahoma" w:cs="Tahoma"/>
                <w:sz w:val="20"/>
                <w:szCs w:val="20"/>
              </w:rPr>
            </w:pPr>
            <w:r>
              <w:rPr>
                <w:rFonts w:ascii="Tahoma" w:eastAsia="Arial Narrow" w:hAnsi="Tahoma" w:cs="Tahoma"/>
                <w:bCs/>
                <w:color w:val="000000"/>
                <w:sz w:val="20"/>
                <w:szCs w:val="20"/>
              </w:rPr>
              <w:t>&lt;&lt;</w:t>
            </w:r>
            <w:proofErr w:type="spellStart"/>
            <w:r>
              <w:rPr>
                <w:rFonts w:ascii="Tahoma" w:eastAsia="Arial Narrow" w:hAnsi="Tahoma" w:cs="Tahoma"/>
                <w:bCs/>
                <w:color w:val="000000"/>
                <w:sz w:val="20"/>
                <w:szCs w:val="20"/>
              </w:rPr>
              <w:t>fiscal_responsable</w:t>
            </w:r>
            <w:proofErr w:type="spellEnd"/>
            <w:r>
              <w:rPr>
                <w:rFonts w:ascii="Tahoma" w:eastAsia="Arial Narrow" w:hAnsi="Tahoma" w:cs="Tahoma"/>
                <w:bCs/>
                <w:color w:val="000000"/>
                <w:sz w:val="20"/>
                <w:szCs w:val="20"/>
              </w:rPr>
              <w:t>&gt;&gt;</w:t>
            </w:r>
          </w:p>
        </w:tc>
      </w:tr>
      <w:bookmarkEnd w:id="0"/>
    </w:tbl>
    <w:p w14:paraId="2E90333A" w14:textId="77777777" w:rsidR="00222156" w:rsidRPr="00BD09CB" w:rsidRDefault="00222156" w:rsidP="00222156">
      <w:pPr>
        <w:pStyle w:val="Textbody"/>
        <w:spacing w:after="0"/>
        <w:contextualSpacing/>
        <w:jc w:val="both"/>
        <w:rPr>
          <w:rFonts w:ascii="Tahoma" w:hAnsi="Tahoma" w:cs="Tahoma"/>
          <w:b/>
          <w:bCs/>
          <w:color w:val="000000"/>
          <w:sz w:val="20"/>
          <w:szCs w:val="20"/>
          <w:u w:val="single"/>
        </w:rPr>
      </w:pPr>
    </w:p>
    <w:p w14:paraId="6D0A0E63" w14:textId="77777777" w:rsidR="00222156" w:rsidRPr="00BD09CB" w:rsidRDefault="00222156" w:rsidP="00222156">
      <w:pPr>
        <w:pStyle w:val="Textbody"/>
        <w:spacing w:after="0"/>
        <w:contextualSpacing/>
        <w:jc w:val="both"/>
        <w:rPr>
          <w:rFonts w:ascii="Tahoma" w:hAnsi="Tahoma" w:cs="Tahoma"/>
          <w:b/>
          <w:bCs/>
          <w:color w:val="000000"/>
          <w:sz w:val="20"/>
          <w:szCs w:val="20"/>
          <w:u w:val="single"/>
        </w:rPr>
      </w:pPr>
    </w:p>
    <w:p w14:paraId="35D6CF65" w14:textId="77777777" w:rsidR="00222156" w:rsidRPr="00BD09CB" w:rsidRDefault="00222156" w:rsidP="00222156">
      <w:pPr>
        <w:pStyle w:val="Textbody"/>
        <w:spacing w:after="0"/>
        <w:contextualSpacing/>
        <w:jc w:val="both"/>
        <w:rPr>
          <w:rFonts w:ascii="Tahoma" w:hAnsi="Tahoma" w:cs="Tahoma"/>
          <w:b/>
          <w:bCs/>
          <w:color w:val="000000"/>
          <w:sz w:val="20"/>
          <w:szCs w:val="20"/>
          <w:u w:val="single"/>
        </w:rPr>
      </w:pPr>
    </w:p>
    <w:p w14:paraId="0CDF3108" w14:textId="77777777" w:rsidR="00222156" w:rsidRPr="00BD09CB" w:rsidRDefault="00222156" w:rsidP="00222156">
      <w:pPr>
        <w:pStyle w:val="Textbody"/>
        <w:spacing w:after="0"/>
        <w:contextualSpacing/>
        <w:jc w:val="both"/>
        <w:rPr>
          <w:rFonts w:ascii="Tahoma" w:hAnsi="Tahoma" w:cs="Tahoma"/>
          <w:b/>
          <w:bCs/>
          <w:color w:val="000000"/>
          <w:sz w:val="20"/>
          <w:szCs w:val="20"/>
          <w:u w:val="single"/>
        </w:rPr>
      </w:pPr>
    </w:p>
    <w:p w14:paraId="6968C37D" w14:textId="77777777" w:rsidR="00222156" w:rsidRPr="00BD09CB" w:rsidRDefault="00222156" w:rsidP="00222156">
      <w:pPr>
        <w:pStyle w:val="Textbody"/>
        <w:spacing w:after="0"/>
        <w:contextualSpacing/>
        <w:jc w:val="both"/>
        <w:rPr>
          <w:rFonts w:ascii="Tahoma" w:hAnsi="Tahoma" w:cs="Tahoma"/>
          <w:b/>
          <w:bCs/>
          <w:color w:val="000000"/>
          <w:sz w:val="20"/>
          <w:szCs w:val="20"/>
          <w:u w:val="single"/>
        </w:rPr>
      </w:pPr>
    </w:p>
    <w:p w14:paraId="73208C77" w14:textId="77777777" w:rsidR="00222156" w:rsidRPr="00BD09CB" w:rsidRDefault="00222156" w:rsidP="00222156">
      <w:pPr>
        <w:pStyle w:val="Textbody"/>
        <w:spacing w:after="0"/>
        <w:contextualSpacing/>
        <w:jc w:val="both"/>
        <w:rPr>
          <w:rFonts w:ascii="Tahoma" w:hAnsi="Tahoma" w:cs="Tahoma"/>
          <w:b/>
          <w:bCs/>
          <w:color w:val="000000"/>
          <w:sz w:val="20"/>
          <w:szCs w:val="20"/>
          <w:u w:val="single"/>
        </w:rPr>
      </w:pPr>
    </w:p>
    <w:p w14:paraId="42B9AD50" w14:textId="77777777" w:rsidR="00222156" w:rsidRPr="00BD09CB" w:rsidRDefault="00222156" w:rsidP="00222156">
      <w:pPr>
        <w:pStyle w:val="Textbody"/>
        <w:spacing w:after="0"/>
        <w:contextualSpacing/>
        <w:rPr>
          <w:rFonts w:ascii="Tahoma" w:hAnsi="Tahoma" w:cs="Tahoma"/>
          <w:b/>
          <w:bCs/>
          <w:color w:val="000000"/>
          <w:sz w:val="20"/>
          <w:szCs w:val="20"/>
        </w:rPr>
      </w:pPr>
    </w:p>
    <w:p w14:paraId="683AA81B" w14:textId="77777777" w:rsidR="00222156" w:rsidRDefault="00222156" w:rsidP="00222156">
      <w:pPr>
        <w:pStyle w:val="Textbody"/>
        <w:spacing w:after="0"/>
        <w:contextualSpacing/>
        <w:jc w:val="center"/>
        <w:rPr>
          <w:rFonts w:ascii="Tahoma" w:hAnsi="Tahoma" w:cs="Tahoma"/>
          <w:b/>
          <w:bCs/>
          <w:color w:val="000000"/>
          <w:sz w:val="20"/>
          <w:szCs w:val="20"/>
        </w:rPr>
      </w:pPr>
    </w:p>
    <w:p w14:paraId="2D50100B" w14:textId="77777777" w:rsidR="00222156" w:rsidRPr="00BD09CB" w:rsidRDefault="00222156" w:rsidP="00222156">
      <w:pPr>
        <w:pStyle w:val="Textbody"/>
        <w:spacing w:after="0"/>
        <w:contextualSpacing/>
        <w:jc w:val="center"/>
        <w:rPr>
          <w:rFonts w:ascii="Tahoma" w:hAnsi="Tahoma" w:cs="Tahoma"/>
          <w:b/>
          <w:bCs/>
          <w:color w:val="000000"/>
          <w:sz w:val="20"/>
          <w:szCs w:val="20"/>
        </w:rPr>
      </w:pPr>
      <w:r w:rsidRPr="00BD09CB">
        <w:rPr>
          <w:rFonts w:ascii="Tahoma" w:hAnsi="Tahoma" w:cs="Tahoma"/>
          <w:b/>
          <w:bCs/>
          <w:color w:val="000000"/>
          <w:sz w:val="20"/>
          <w:szCs w:val="20"/>
        </w:rPr>
        <w:t>DISPOSICIÓN DE ARCHIVO LIMINAR</w:t>
      </w:r>
    </w:p>
    <w:p w14:paraId="73842F9D" w14:textId="77777777" w:rsidR="00222156" w:rsidRPr="00BD09CB" w:rsidRDefault="00222156" w:rsidP="00222156">
      <w:pPr>
        <w:pStyle w:val="Textbody"/>
        <w:spacing w:after="0"/>
        <w:contextualSpacing/>
        <w:jc w:val="both"/>
        <w:rPr>
          <w:rFonts w:ascii="Tahoma" w:hAnsi="Tahoma" w:cs="Tahoma"/>
          <w:b/>
          <w:sz w:val="20"/>
          <w:szCs w:val="20"/>
          <w:lang w:val="es-ES"/>
        </w:rPr>
      </w:pPr>
    </w:p>
    <w:p w14:paraId="31238E06" w14:textId="77777777" w:rsidR="00222156" w:rsidRPr="00BD09CB" w:rsidRDefault="00222156" w:rsidP="00222156">
      <w:pPr>
        <w:pStyle w:val="Standard"/>
        <w:tabs>
          <w:tab w:val="left" w:pos="709"/>
        </w:tabs>
        <w:contextualSpacing/>
        <w:jc w:val="both"/>
        <w:rPr>
          <w:rFonts w:ascii="Tahoma" w:hAnsi="Tahoma" w:cs="Tahoma"/>
          <w:b/>
          <w:bCs/>
          <w:sz w:val="20"/>
          <w:szCs w:val="20"/>
        </w:rPr>
      </w:pPr>
      <w:r w:rsidRPr="00BD09CB">
        <w:rPr>
          <w:rFonts w:ascii="Tahoma" w:hAnsi="Tahoma" w:cs="Tahoma"/>
          <w:b/>
          <w:bCs/>
          <w:sz w:val="20"/>
          <w:szCs w:val="20"/>
        </w:rPr>
        <w:t xml:space="preserve">DISPOSICIÓN </w:t>
      </w:r>
      <w:proofErr w:type="spellStart"/>
      <w:r w:rsidRPr="00BD09CB">
        <w:rPr>
          <w:rFonts w:ascii="Tahoma" w:hAnsi="Tahoma" w:cs="Tahoma"/>
          <w:b/>
          <w:bCs/>
          <w:sz w:val="20"/>
          <w:szCs w:val="20"/>
        </w:rPr>
        <w:t>n.°</w:t>
      </w:r>
      <w:proofErr w:type="spellEnd"/>
      <w:r w:rsidRPr="00BD09CB">
        <w:rPr>
          <w:rFonts w:ascii="Tahoma" w:hAnsi="Tahoma" w:cs="Tahoma"/>
          <w:b/>
          <w:bCs/>
          <w:sz w:val="20"/>
          <w:szCs w:val="20"/>
        </w:rPr>
        <w:t xml:space="preserve"> 01</w:t>
      </w:r>
    </w:p>
    <w:p w14:paraId="7F0ED5BD" w14:textId="09E83FE2" w:rsidR="00222156" w:rsidRDefault="00222156" w:rsidP="00222156">
      <w:pPr>
        <w:pStyle w:val="Textbody"/>
        <w:spacing w:after="0"/>
        <w:contextualSpacing/>
        <w:jc w:val="both"/>
        <w:rPr>
          <w:rFonts w:ascii="Tahoma" w:eastAsia="Arial Unicode MS" w:hAnsi="Tahoma" w:cs="Tahoma"/>
          <w:kern w:val="1"/>
          <w:sz w:val="20"/>
          <w:szCs w:val="20"/>
          <w:lang w:eastAsia="hi-IN"/>
        </w:rPr>
      </w:pPr>
      <w:r w:rsidRPr="00BD09CB">
        <w:rPr>
          <w:rFonts w:ascii="Tahoma" w:hAnsi="Tahoma" w:cs="Tahoma"/>
          <w:iCs/>
          <w:sz w:val="20"/>
          <w:szCs w:val="20"/>
        </w:rPr>
        <w:t xml:space="preserve">Santiago de Surco, </w:t>
      </w:r>
      <w:r w:rsidRPr="004C23A4">
        <w:rPr>
          <w:rFonts w:ascii="Tahoma" w:eastAsia="Arial Unicode MS" w:hAnsi="Tahoma" w:cs="Tahoma"/>
          <w:kern w:val="1"/>
          <w:sz w:val="20"/>
          <w:szCs w:val="20"/>
          <w:lang w:eastAsia="hi-IN"/>
        </w:rPr>
        <w:t>&lt;&lt;</w:t>
      </w:r>
      <w:proofErr w:type="spellStart"/>
      <w:r w:rsidRPr="004C23A4">
        <w:rPr>
          <w:rFonts w:ascii="Tahoma" w:eastAsia="Arial Unicode MS" w:hAnsi="Tahoma" w:cs="Tahoma"/>
          <w:kern w:val="1"/>
          <w:sz w:val="20"/>
          <w:szCs w:val="20"/>
          <w:lang w:eastAsia="hi-IN"/>
        </w:rPr>
        <w:t>fecha_actual</w:t>
      </w:r>
      <w:proofErr w:type="spellEnd"/>
      <w:r w:rsidRPr="004C23A4">
        <w:rPr>
          <w:rFonts w:ascii="Tahoma" w:eastAsia="Arial Unicode MS" w:hAnsi="Tahoma" w:cs="Tahoma"/>
          <w:kern w:val="1"/>
          <w:sz w:val="20"/>
          <w:szCs w:val="20"/>
          <w:lang w:eastAsia="hi-IN"/>
        </w:rPr>
        <w:t>&gt;&gt;</w:t>
      </w:r>
    </w:p>
    <w:p w14:paraId="49A6E9C8" w14:textId="77777777" w:rsidR="00222156" w:rsidRPr="00BD09CB" w:rsidRDefault="00222156" w:rsidP="00222156">
      <w:pPr>
        <w:pStyle w:val="Textbody"/>
        <w:spacing w:after="0"/>
        <w:contextualSpacing/>
        <w:jc w:val="both"/>
        <w:rPr>
          <w:rFonts w:ascii="Tahoma" w:hAnsi="Tahoma" w:cs="Tahoma"/>
          <w:iCs/>
          <w:sz w:val="20"/>
          <w:szCs w:val="20"/>
        </w:rPr>
      </w:pPr>
    </w:p>
    <w:p w14:paraId="772AA459" w14:textId="77777777" w:rsidR="00222156" w:rsidRPr="00BD09CB" w:rsidRDefault="00222156" w:rsidP="00222156">
      <w:pPr>
        <w:pStyle w:val="Prrafodelista"/>
        <w:widowControl w:val="0"/>
        <w:numPr>
          <w:ilvl w:val="0"/>
          <w:numId w:val="1"/>
        </w:numPr>
        <w:suppressAutoHyphens/>
        <w:autoSpaceDN w:val="0"/>
        <w:spacing w:line="240" w:lineRule="auto"/>
        <w:ind w:left="426" w:right="-1" w:hanging="426"/>
        <w:jc w:val="both"/>
        <w:textAlignment w:val="baseline"/>
        <w:rPr>
          <w:rFonts w:ascii="Tahoma" w:hAnsi="Tahoma" w:cs="Tahoma"/>
          <w:sz w:val="20"/>
          <w:szCs w:val="20"/>
        </w:rPr>
      </w:pPr>
      <w:r>
        <w:rPr>
          <w:rFonts w:ascii="Tahoma" w:eastAsia="Andale Sans UI" w:hAnsi="Tahoma" w:cs="Tahoma"/>
          <w:b/>
          <w:bCs/>
          <w:color w:val="000000"/>
          <w:kern w:val="2"/>
          <w:sz w:val="20"/>
          <w:szCs w:val="20"/>
        </w:rPr>
        <w:t>VISTO</w:t>
      </w:r>
      <w:r w:rsidRPr="00BD09CB">
        <w:rPr>
          <w:rFonts w:ascii="Tahoma" w:eastAsia="Andale Sans UI" w:hAnsi="Tahoma" w:cs="Tahoma"/>
          <w:b/>
          <w:bCs/>
          <w:color w:val="000000"/>
          <w:kern w:val="2"/>
          <w:sz w:val="20"/>
          <w:szCs w:val="20"/>
        </w:rPr>
        <w:t>:</w:t>
      </w:r>
    </w:p>
    <w:p w14:paraId="39EFF1BA" w14:textId="77777777" w:rsidR="00222156" w:rsidRPr="00BD09CB" w:rsidRDefault="00222156" w:rsidP="00222156">
      <w:pPr>
        <w:pStyle w:val="Prrafodelista"/>
        <w:spacing w:line="240" w:lineRule="auto"/>
        <w:ind w:left="426" w:right="-1"/>
        <w:jc w:val="both"/>
        <w:rPr>
          <w:rFonts w:ascii="Tahoma" w:hAnsi="Tahoma" w:cs="Tahoma"/>
          <w:sz w:val="20"/>
          <w:szCs w:val="20"/>
        </w:rPr>
      </w:pPr>
      <w:r w:rsidRPr="00BD09CB">
        <w:rPr>
          <w:rFonts w:ascii="Tahoma" w:eastAsia="Andale Sans UI" w:hAnsi="Tahoma" w:cs="Tahoma"/>
          <w:b/>
          <w:bCs/>
          <w:color w:val="000000"/>
          <w:kern w:val="2"/>
          <w:sz w:val="20"/>
          <w:szCs w:val="20"/>
        </w:rPr>
        <w:t xml:space="preserve"> </w:t>
      </w:r>
    </w:p>
    <w:p w14:paraId="45194F1A" w14:textId="3238AE63" w:rsidR="00222156" w:rsidRPr="00364BAB" w:rsidRDefault="00222156" w:rsidP="00222156">
      <w:pPr>
        <w:spacing w:line="240" w:lineRule="auto"/>
        <w:ind w:right="-1"/>
        <w:contextualSpacing/>
        <w:jc w:val="both"/>
        <w:rPr>
          <w:rFonts w:ascii="Tahoma" w:hAnsi="Tahoma" w:cs="Tahoma"/>
          <w:sz w:val="20"/>
          <w:szCs w:val="20"/>
        </w:rPr>
      </w:pPr>
      <w:r w:rsidRPr="00364BAB">
        <w:rPr>
          <w:rFonts w:ascii="Tahoma" w:hAnsi="Tahoma" w:cs="Tahoma"/>
          <w:sz w:val="20"/>
          <w:szCs w:val="20"/>
        </w:rPr>
        <w:t xml:space="preserve">El Oficio </w:t>
      </w:r>
      <w:proofErr w:type="spellStart"/>
      <w:r w:rsidRPr="00364BAB">
        <w:rPr>
          <w:rFonts w:ascii="Tahoma" w:hAnsi="Tahoma" w:cs="Tahoma"/>
          <w:sz w:val="20"/>
          <w:szCs w:val="20"/>
        </w:rPr>
        <w:t>N°</w:t>
      </w:r>
      <w:proofErr w:type="spellEnd"/>
      <w:r w:rsidRPr="00364BAB">
        <w:rPr>
          <w:rFonts w:ascii="Tahoma" w:hAnsi="Tahoma" w:cs="Tahoma"/>
          <w:sz w:val="20"/>
          <w:szCs w:val="20"/>
        </w:rPr>
        <w:t xml:space="preserve"> </w:t>
      </w:r>
      <w:bookmarkStart w:id="2" w:name="_Hlk211273428"/>
      <w:r w:rsidRPr="004C23A4">
        <w:rPr>
          <w:rFonts w:ascii="Tahoma" w:eastAsia="SimSun" w:hAnsi="Tahoma" w:cs="Tahoma"/>
          <w:kern w:val="3"/>
          <w:sz w:val="20"/>
          <w:szCs w:val="20"/>
          <w:lang w:eastAsia="zh-CN" w:bidi="hi-IN"/>
        </w:rPr>
        <w:t>&lt;&lt;oficio&gt;&gt;</w:t>
      </w:r>
      <w:r w:rsidRPr="00364BAB">
        <w:rPr>
          <w:rFonts w:ascii="Tahoma" w:eastAsia="SimSun" w:hAnsi="Tahoma" w:cs="Tahoma"/>
          <w:kern w:val="3"/>
          <w:sz w:val="20"/>
          <w:szCs w:val="20"/>
          <w:lang w:eastAsia="zh-CN" w:bidi="hi-IN"/>
        </w:rPr>
        <w:t xml:space="preserve">, a través del cual el </w:t>
      </w:r>
      <w:r w:rsidRPr="004C23A4">
        <w:rPr>
          <w:rFonts w:ascii="Tahoma" w:eastAsia="SimSun" w:hAnsi="Tahoma" w:cs="Tahoma"/>
          <w:kern w:val="3"/>
          <w:sz w:val="20"/>
          <w:szCs w:val="20"/>
          <w:lang w:eastAsia="zh-CN" w:bidi="hi-IN"/>
        </w:rPr>
        <w:t>&lt;&lt;remitente&gt;&gt;</w:t>
      </w:r>
      <w:r w:rsidRPr="00364BAB">
        <w:rPr>
          <w:rFonts w:ascii="Tahoma" w:eastAsia="SimSun" w:hAnsi="Tahoma" w:cs="Tahoma"/>
          <w:kern w:val="3"/>
          <w:sz w:val="20"/>
          <w:szCs w:val="20"/>
          <w:lang w:eastAsia="zh-CN" w:bidi="hi-IN"/>
        </w:rPr>
        <w:t xml:space="preserve">, remite la denuncia </w:t>
      </w:r>
      <w:r w:rsidRPr="00364BAB">
        <w:rPr>
          <w:rFonts w:ascii="Tahoma" w:eastAsia="Arial Unicode MS" w:hAnsi="Tahoma" w:cs="Tahoma"/>
          <w:bCs/>
          <w:kern w:val="1"/>
          <w:sz w:val="20"/>
          <w:szCs w:val="20"/>
          <w:lang w:eastAsia="hi-IN" w:bidi="hi-IN"/>
        </w:rPr>
        <w:t xml:space="preserve">de parte interpuesta por </w:t>
      </w:r>
      <w:r w:rsidR="007A0597" w:rsidRPr="007A0597">
        <w:rPr>
          <w:rFonts w:ascii="Tahoma" w:eastAsia="Arial Narrow" w:hAnsi="Tahoma" w:cs="Tahoma"/>
          <w:color w:val="000000"/>
          <w:sz w:val="20"/>
          <w:szCs w:val="20"/>
        </w:rPr>
        <w:t>&lt;&lt;agraviado&gt;&gt;</w:t>
      </w:r>
      <w:r w:rsidRPr="00364BAB">
        <w:rPr>
          <w:rFonts w:ascii="Tahoma" w:eastAsia="Arial Unicode MS" w:hAnsi="Tahoma" w:cs="Tahoma"/>
          <w:bCs/>
          <w:kern w:val="1"/>
          <w:sz w:val="20"/>
          <w:szCs w:val="20"/>
          <w:lang w:eastAsia="hi-IN" w:bidi="hi-IN"/>
        </w:rPr>
        <w:t xml:space="preserve">, contra </w:t>
      </w:r>
      <w:r w:rsidRPr="00364BAB">
        <w:rPr>
          <w:rFonts w:ascii="Tahoma" w:eastAsia="Arial Unicode MS" w:hAnsi="Tahoma" w:cs="Tahoma"/>
          <w:b/>
          <w:kern w:val="1"/>
          <w:sz w:val="20"/>
          <w:szCs w:val="20"/>
          <w:lang w:eastAsia="hi-IN" w:bidi="hi-IN"/>
        </w:rPr>
        <w:t>LOS QUE RESULTEN RESPONSABLES</w:t>
      </w:r>
      <w:r w:rsidRPr="00364BAB">
        <w:rPr>
          <w:rFonts w:ascii="Tahoma" w:eastAsia="Arial Unicode MS" w:hAnsi="Tahoma" w:cs="Tahoma"/>
          <w:bCs/>
          <w:kern w:val="1"/>
          <w:sz w:val="20"/>
          <w:szCs w:val="20"/>
          <w:lang w:eastAsia="hi-IN" w:bidi="hi-IN"/>
        </w:rPr>
        <w:t xml:space="preserve"> (sujetos en vías de identificación) por</w:t>
      </w:r>
      <w:r w:rsidRPr="00364BAB">
        <w:rPr>
          <w:rFonts w:ascii="Tahoma" w:eastAsia="Arial Unicode MS" w:hAnsi="Tahoma" w:cs="Tahoma"/>
          <w:kern w:val="1"/>
          <w:sz w:val="20"/>
          <w:szCs w:val="20"/>
          <w:lang w:eastAsia="hi-IN" w:bidi="hi-IN"/>
        </w:rPr>
        <w:t xml:space="preserve"> la presunta comisión del delito informático contra el patrimonio, en la modalidad de </w:t>
      </w:r>
      <w:r w:rsidRPr="00364BAB">
        <w:rPr>
          <w:rFonts w:ascii="Tahoma" w:eastAsia="Arial Unicode MS" w:hAnsi="Tahoma" w:cs="Tahoma"/>
          <w:b/>
          <w:bCs/>
          <w:kern w:val="1"/>
          <w:sz w:val="20"/>
          <w:szCs w:val="20"/>
          <w:lang w:eastAsia="hi-IN" w:bidi="hi-IN"/>
        </w:rPr>
        <w:t>FRAUDE INFORMÁTICO</w:t>
      </w:r>
      <w:r w:rsidRPr="00364BAB">
        <w:rPr>
          <w:rFonts w:ascii="Tahoma" w:eastAsia="Arial Unicode MS" w:hAnsi="Tahoma" w:cs="Tahoma"/>
          <w:kern w:val="1"/>
          <w:sz w:val="20"/>
          <w:szCs w:val="20"/>
          <w:lang w:eastAsia="hi-IN" w:bidi="hi-IN"/>
        </w:rPr>
        <w:t>, y otro</w:t>
      </w:r>
      <w:r w:rsidRPr="00364BAB">
        <w:rPr>
          <w:rFonts w:ascii="Tahoma" w:eastAsia="Arial Unicode MS" w:hAnsi="Tahoma" w:cs="Tahoma"/>
          <w:b/>
          <w:bCs/>
          <w:kern w:val="1"/>
          <w:sz w:val="20"/>
          <w:szCs w:val="20"/>
          <w:lang w:eastAsia="hi-IN" w:bidi="hi-IN"/>
        </w:rPr>
        <w:t xml:space="preserve">, </w:t>
      </w:r>
      <w:r w:rsidRPr="00364BAB">
        <w:rPr>
          <w:rFonts w:ascii="Tahoma" w:eastAsia="Arial Unicode MS" w:hAnsi="Tahoma" w:cs="Tahoma"/>
          <w:kern w:val="1"/>
          <w:sz w:val="20"/>
          <w:szCs w:val="20"/>
          <w:lang w:eastAsia="hi-IN" w:bidi="hi-IN"/>
        </w:rPr>
        <w:t>en su agravio</w:t>
      </w:r>
      <w:r w:rsidRPr="00364BAB">
        <w:rPr>
          <w:rFonts w:ascii="Tahoma" w:hAnsi="Tahoma" w:cs="Tahoma"/>
          <w:color w:val="000000"/>
          <w:sz w:val="20"/>
          <w:szCs w:val="20"/>
        </w:rPr>
        <w:t>; y,</w:t>
      </w:r>
    </w:p>
    <w:bookmarkEnd w:id="2"/>
    <w:p w14:paraId="76FC6CD0" w14:textId="77777777" w:rsidR="00222156" w:rsidRPr="00BD09CB" w:rsidRDefault="00222156" w:rsidP="00222156">
      <w:pPr>
        <w:spacing w:line="240" w:lineRule="auto"/>
        <w:ind w:right="-1"/>
        <w:contextualSpacing/>
        <w:jc w:val="both"/>
        <w:rPr>
          <w:rFonts w:ascii="Tahoma" w:hAnsi="Tahoma" w:cs="Tahoma"/>
          <w:sz w:val="20"/>
          <w:szCs w:val="20"/>
        </w:rPr>
      </w:pPr>
    </w:p>
    <w:bookmarkEnd w:id="1"/>
    <w:p w14:paraId="4CE755A2" w14:textId="77777777" w:rsidR="00222156" w:rsidRPr="00BD09CB" w:rsidRDefault="00222156" w:rsidP="00222156">
      <w:pPr>
        <w:pStyle w:val="Prrafodelista"/>
        <w:widowControl w:val="0"/>
        <w:numPr>
          <w:ilvl w:val="0"/>
          <w:numId w:val="1"/>
        </w:numPr>
        <w:suppressAutoHyphens/>
        <w:autoSpaceDN w:val="0"/>
        <w:spacing w:line="240" w:lineRule="auto"/>
        <w:ind w:left="426" w:right="-1" w:hanging="426"/>
        <w:jc w:val="both"/>
        <w:textAlignment w:val="baseline"/>
        <w:rPr>
          <w:rFonts w:ascii="Tahoma" w:eastAsia="Andale Sans UI" w:hAnsi="Tahoma" w:cs="Tahoma"/>
          <w:bCs/>
          <w:color w:val="000000"/>
          <w:kern w:val="2"/>
          <w:sz w:val="20"/>
          <w:szCs w:val="20"/>
        </w:rPr>
      </w:pPr>
      <w:r w:rsidRPr="00BD09CB">
        <w:rPr>
          <w:rFonts w:ascii="Tahoma" w:eastAsia="Andale Sans UI" w:hAnsi="Tahoma" w:cs="Tahoma"/>
          <w:b/>
          <w:color w:val="000000"/>
          <w:kern w:val="2"/>
          <w:sz w:val="20"/>
          <w:szCs w:val="20"/>
        </w:rPr>
        <w:t>CONSIDERANDO:</w:t>
      </w:r>
    </w:p>
    <w:p w14:paraId="61CCFB3F" w14:textId="77777777" w:rsidR="00222156" w:rsidRPr="00BD09CB" w:rsidRDefault="00222156" w:rsidP="00222156">
      <w:pPr>
        <w:pStyle w:val="Prrafodelista"/>
        <w:spacing w:line="240" w:lineRule="auto"/>
        <w:ind w:left="426" w:right="-1"/>
        <w:jc w:val="both"/>
        <w:rPr>
          <w:rFonts w:ascii="Tahoma" w:eastAsia="Andale Sans UI" w:hAnsi="Tahoma" w:cs="Tahoma"/>
          <w:bCs/>
          <w:color w:val="000000"/>
          <w:kern w:val="2"/>
          <w:sz w:val="20"/>
          <w:szCs w:val="20"/>
        </w:rPr>
      </w:pPr>
    </w:p>
    <w:p w14:paraId="0FCF8019" w14:textId="77777777" w:rsidR="00222156" w:rsidRDefault="00222156" w:rsidP="00222156">
      <w:pPr>
        <w:tabs>
          <w:tab w:val="left" w:pos="-142"/>
          <w:tab w:val="left" w:pos="2127"/>
        </w:tabs>
        <w:spacing w:line="240" w:lineRule="auto"/>
        <w:contextualSpacing/>
        <w:jc w:val="both"/>
        <w:rPr>
          <w:rFonts w:ascii="Tahoma" w:eastAsia="Arial Unicode MS" w:hAnsi="Tahoma" w:cs="Tahoma"/>
          <w:b/>
          <w:kern w:val="2"/>
          <w:sz w:val="20"/>
          <w:szCs w:val="20"/>
          <w:lang w:eastAsia="hi-IN"/>
        </w:rPr>
      </w:pPr>
      <w:r w:rsidRPr="00BD09CB">
        <w:rPr>
          <w:rFonts w:ascii="Tahoma" w:eastAsia="Arial Unicode MS" w:hAnsi="Tahoma" w:cs="Tahoma"/>
          <w:b/>
          <w:kern w:val="2"/>
          <w:sz w:val="20"/>
          <w:szCs w:val="20"/>
          <w:lang w:eastAsia="hi-IN"/>
        </w:rPr>
        <w:t>PRIMERO: HECHOS DENUNCIADOS</w:t>
      </w:r>
    </w:p>
    <w:p w14:paraId="08796DBF" w14:textId="77777777" w:rsidR="00222156" w:rsidRDefault="00222156" w:rsidP="00222156">
      <w:pPr>
        <w:tabs>
          <w:tab w:val="left" w:pos="-142"/>
          <w:tab w:val="left" w:pos="2127"/>
        </w:tabs>
        <w:spacing w:line="240" w:lineRule="auto"/>
        <w:contextualSpacing/>
        <w:jc w:val="both"/>
        <w:rPr>
          <w:rFonts w:ascii="Tahoma" w:eastAsia="Arial Unicode MS" w:hAnsi="Tahoma" w:cs="Tahoma"/>
          <w:b/>
          <w:kern w:val="2"/>
          <w:sz w:val="20"/>
          <w:szCs w:val="20"/>
          <w:lang w:eastAsia="hi-IN"/>
        </w:rPr>
      </w:pPr>
    </w:p>
    <w:p w14:paraId="57963ADE" w14:textId="359584E1" w:rsidR="00222156" w:rsidRPr="00222156" w:rsidRDefault="00222156" w:rsidP="00222156">
      <w:pPr>
        <w:pStyle w:val="NormalWeb"/>
        <w:numPr>
          <w:ilvl w:val="0"/>
          <w:numId w:val="2"/>
        </w:numPr>
        <w:tabs>
          <w:tab w:val="left" w:pos="-142"/>
          <w:tab w:val="left" w:pos="2127"/>
        </w:tabs>
        <w:spacing w:before="0" w:beforeAutospacing="0" w:after="0"/>
        <w:ind w:left="426" w:hanging="284"/>
        <w:contextualSpacing/>
        <w:jc w:val="both"/>
        <w:rPr>
          <w:rFonts w:ascii="Tahoma" w:eastAsia="Arial Unicode MS" w:hAnsi="Tahoma" w:cs="Tahoma"/>
          <w:kern w:val="2"/>
          <w:sz w:val="20"/>
          <w:szCs w:val="20"/>
          <w:lang w:eastAsia="hi-IN"/>
        </w:rPr>
      </w:pPr>
      <w:r>
        <w:rPr>
          <w:rFonts w:ascii="Tahoma" w:eastAsia="Arial Unicode MS" w:hAnsi="Tahoma" w:cs="Tahoma"/>
          <w:kern w:val="2"/>
          <w:sz w:val="20"/>
          <w:szCs w:val="20"/>
          <w:lang w:eastAsia="hi-IN"/>
        </w:rPr>
        <w:t>&lt;&lt;hechos&gt;&gt;</w:t>
      </w:r>
    </w:p>
    <w:p w14:paraId="2DCEB8C5" w14:textId="77777777" w:rsidR="00222156" w:rsidRDefault="00222156" w:rsidP="00222156">
      <w:pPr>
        <w:tabs>
          <w:tab w:val="left" w:pos="0"/>
          <w:tab w:val="left" w:pos="1418"/>
        </w:tabs>
        <w:spacing w:line="240" w:lineRule="auto"/>
        <w:contextualSpacing/>
        <w:jc w:val="both"/>
        <w:rPr>
          <w:rFonts w:ascii="Tahoma" w:eastAsia="Arial Unicode MS" w:hAnsi="Tahoma" w:cs="Tahoma"/>
          <w:b/>
          <w:kern w:val="2"/>
          <w:sz w:val="20"/>
          <w:szCs w:val="20"/>
          <w:lang w:eastAsia="hi-IN"/>
        </w:rPr>
      </w:pPr>
    </w:p>
    <w:p w14:paraId="475229DD" w14:textId="77777777" w:rsidR="00222156" w:rsidRPr="00BD09CB" w:rsidRDefault="00222156" w:rsidP="00222156">
      <w:pPr>
        <w:tabs>
          <w:tab w:val="left" w:pos="-142"/>
          <w:tab w:val="left" w:pos="2127"/>
        </w:tabs>
        <w:spacing w:line="240" w:lineRule="auto"/>
        <w:contextualSpacing/>
        <w:jc w:val="both"/>
        <w:rPr>
          <w:rFonts w:ascii="Tahoma" w:eastAsia="Arial Unicode MS" w:hAnsi="Tahoma" w:cs="Tahoma"/>
          <w:b/>
          <w:kern w:val="2"/>
          <w:sz w:val="20"/>
          <w:szCs w:val="20"/>
          <w:lang w:eastAsia="hi-IN"/>
        </w:rPr>
      </w:pPr>
      <w:r w:rsidRPr="00BD09CB">
        <w:rPr>
          <w:rFonts w:ascii="Tahoma" w:eastAsia="Arial Unicode MS" w:hAnsi="Tahoma" w:cs="Tahoma"/>
          <w:b/>
          <w:kern w:val="2"/>
          <w:sz w:val="20"/>
          <w:szCs w:val="20"/>
          <w:lang w:eastAsia="hi-IN"/>
        </w:rPr>
        <w:t>SEGUNDO: COMPETENCIA DE LAS FISCALÍAS ESPECIALIZADAS EN CIBERDELINCUENCIA DE LIMA CENTRO</w:t>
      </w:r>
    </w:p>
    <w:p w14:paraId="3A5807FD" w14:textId="77777777" w:rsidR="00222156" w:rsidRPr="00BD09CB" w:rsidRDefault="00222156" w:rsidP="00222156">
      <w:pPr>
        <w:tabs>
          <w:tab w:val="left" w:pos="-142"/>
          <w:tab w:val="left" w:pos="2127"/>
        </w:tabs>
        <w:spacing w:line="240" w:lineRule="auto"/>
        <w:contextualSpacing/>
        <w:jc w:val="both"/>
        <w:rPr>
          <w:rFonts w:ascii="Tahoma" w:eastAsia="Arial Unicode MS" w:hAnsi="Tahoma" w:cs="Tahoma"/>
          <w:b/>
          <w:kern w:val="2"/>
          <w:sz w:val="20"/>
          <w:szCs w:val="20"/>
          <w:lang w:eastAsia="hi-IN"/>
        </w:rPr>
      </w:pPr>
    </w:p>
    <w:p w14:paraId="5E515ED9" w14:textId="0D64E378" w:rsidR="00222156" w:rsidRPr="00222156" w:rsidRDefault="00222156" w:rsidP="00222156">
      <w:pPr>
        <w:pStyle w:val="NormalWeb"/>
        <w:numPr>
          <w:ilvl w:val="0"/>
          <w:numId w:val="2"/>
        </w:numPr>
        <w:tabs>
          <w:tab w:val="left" w:pos="-142"/>
          <w:tab w:val="left" w:pos="2127"/>
        </w:tabs>
        <w:spacing w:before="0" w:beforeAutospacing="0" w:after="0"/>
        <w:ind w:left="426" w:hanging="284"/>
        <w:contextualSpacing/>
        <w:jc w:val="both"/>
        <w:rPr>
          <w:rFonts w:ascii="Tahoma" w:eastAsia="Arial Unicode MS" w:hAnsi="Tahoma" w:cs="Tahoma"/>
          <w:kern w:val="2"/>
          <w:sz w:val="20"/>
          <w:szCs w:val="20"/>
          <w:lang w:eastAsia="hi-IN"/>
        </w:rPr>
      </w:pPr>
      <w:r w:rsidRPr="00BD09CB">
        <w:rPr>
          <w:rFonts w:ascii="Tahoma" w:eastAsia="Arial Unicode MS" w:hAnsi="Tahoma" w:cs="Tahoma"/>
          <w:kern w:val="2"/>
          <w:sz w:val="20"/>
          <w:szCs w:val="20"/>
          <w:lang w:eastAsia="hi-IN"/>
        </w:rPr>
        <w:t xml:space="preserve">Que, mediante Resolución de la Fiscalía de la Nación N.º 843-2021-MP-FN, del 08 de junio de 2021 y modificatoria (denominación) Resolución N.º 848-2021-MP-FN, de 11 de junio de 2021, con el propósito de ofrecer a la sociedad un servicio eficiente y eficaz que permita acceder a una pronta administración de justicia a favor de la ciudadanía y ante la alta incidencia delictiva respecto a la vulneración y/o utilización ilegal de las tecnologías de la información o de la comunicación, se creó la Fiscalía Especializada en Ciberdelincuencia de Lima Centro, cuya competencia se rige por la Ley N.º 30096 – Ley de Delitos Informáticos, del 22 de octubre de 2013 y modificatoria establecida en la Ley N.º 30171; así como, </w:t>
      </w:r>
      <w:r w:rsidRPr="00BD09CB">
        <w:rPr>
          <w:rFonts w:ascii="Tahoma" w:eastAsia="Arial Unicode MS" w:hAnsi="Tahoma" w:cs="Tahoma"/>
          <w:color w:val="000000"/>
          <w:kern w:val="2"/>
          <w:sz w:val="20"/>
          <w:szCs w:val="20"/>
          <w:lang w:eastAsia="hi-IN"/>
        </w:rPr>
        <w:t xml:space="preserve">el artículo 196-A, numeral 5) del Código Penal, debiendo dichas </w:t>
      </w:r>
      <w:r w:rsidRPr="00BD09CB">
        <w:rPr>
          <w:rFonts w:ascii="Tahoma" w:eastAsia="Arial Unicode MS" w:hAnsi="Tahoma" w:cs="Tahoma"/>
          <w:kern w:val="2"/>
          <w:sz w:val="20"/>
          <w:szCs w:val="20"/>
          <w:lang w:eastAsia="hi-IN"/>
        </w:rPr>
        <w:t>modalidades ser conocidas por este Subsistema Especializado en Ciberdelincuencia de Lima Centro (Competencia territorial y especial).</w:t>
      </w:r>
    </w:p>
    <w:p w14:paraId="0BC9426F" w14:textId="77777777" w:rsidR="00222156" w:rsidRPr="00BD09CB" w:rsidRDefault="00222156" w:rsidP="00222156">
      <w:pPr>
        <w:pStyle w:val="NormalWeb"/>
        <w:tabs>
          <w:tab w:val="left" w:pos="-142"/>
          <w:tab w:val="left" w:pos="2127"/>
        </w:tabs>
        <w:spacing w:before="0" w:beforeAutospacing="0" w:after="0"/>
        <w:ind w:left="426"/>
        <w:contextualSpacing/>
        <w:jc w:val="both"/>
        <w:rPr>
          <w:rFonts w:ascii="Tahoma" w:eastAsia="Arial Unicode MS" w:hAnsi="Tahoma" w:cs="Tahoma"/>
          <w:kern w:val="2"/>
          <w:sz w:val="20"/>
          <w:szCs w:val="20"/>
          <w:lang w:eastAsia="hi-IN"/>
        </w:rPr>
      </w:pPr>
    </w:p>
    <w:p w14:paraId="43064A55" w14:textId="6160C22C" w:rsidR="00222156" w:rsidRPr="00BD09CB" w:rsidRDefault="00222156" w:rsidP="00222156">
      <w:pPr>
        <w:pStyle w:val="NormalWeb"/>
        <w:numPr>
          <w:ilvl w:val="0"/>
          <w:numId w:val="2"/>
        </w:numPr>
        <w:tabs>
          <w:tab w:val="left" w:pos="-142"/>
          <w:tab w:val="left" w:pos="2127"/>
        </w:tabs>
        <w:spacing w:before="0" w:beforeAutospacing="0" w:after="0"/>
        <w:ind w:left="426" w:hanging="284"/>
        <w:contextualSpacing/>
        <w:jc w:val="both"/>
        <w:rPr>
          <w:rFonts w:ascii="Tahoma" w:eastAsia="Arial Unicode MS" w:hAnsi="Tahoma" w:cs="Tahoma"/>
          <w:kern w:val="2"/>
          <w:sz w:val="20"/>
          <w:szCs w:val="20"/>
          <w:lang w:eastAsia="hi-IN"/>
        </w:rPr>
      </w:pPr>
      <w:r w:rsidRPr="00BD09CB">
        <w:rPr>
          <w:rFonts w:ascii="Tahoma" w:hAnsi="Tahoma" w:cs="Tahoma"/>
          <w:sz w:val="20"/>
          <w:szCs w:val="20"/>
        </w:rPr>
        <w:t>De otro lado, mediante Resolución de la Fiscalía de la Nación N.º 304-2022-MP-FN</w:t>
      </w:r>
      <w:r w:rsidRPr="00BD09CB">
        <w:rPr>
          <w:rStyle w:val="Refdenotaalpie"/>
          <w:rFonts w:ascii="Tahoma" w:hAnsi="Tahoma" w:cs="Tahoma"/>
          <w:sz w:val="20"/>
          <w:szCs w:val="20"/>
        </w:rPr>
        <w:footnoteReference w:id="1"/>
      </w:r>
      <w:r w:rsidRPr="00BD09CB">
        <w:rPr>
          <w:rFonts w:ascii="Tahoma" w:hAnsi="Tahoma" w:cs="Tahoma"/>
          <w:sz w:val="20"/>
          <w:szCs w:val="20"/>
        </w:rPr>
        <w:t>, se estableció que la competencia territorial del Distrito Fiscal de Lima Centro comprende dieciséis distritos fiscales: Cercado de Lima, Breña, Rímac, Jesús María, La Victoria, San Luis, Santiago de Surco, Barranco, Miraflores, Surquillo, San Borja, San Isidro, Lince, Magdalena del Mar, Pueblo Libre y San Miguel. En consecuencia, la competencia de esta Fiscalía Especializada se circunscribe a los hechos ocurridos dentro de dichos distritos.</w:t>
      </w:r>
    </w:p>
    <w:p w14:paraId="635E6695" w14:textId="77777777" w:rsidR="00222156" w:rsidRPr="00BD09CB" w:rsidRDefault="00222156" w:rsidP="00222156">
      <w:pPr>
        <w:spacing w:line="240" w:lineRule="auto"/>
        <w:contextualSpacing/>
        <w:rPr>
          <w:rFonts w:ascii="Tahoma" w:eastAsia="Arial Unicode MS" w:hAnsi="Tahoma" w:cs="Tahoma"/>
          <w:kern w:val="2"/>
          <w:sz w:val="20"/>
          <w:szCs w:val="20"/>
          <w:lang w:eastAsia="hi-IN"/>
        </w:rPr>
      </w:pPr>
    </w:p>
    <w:p w14:paraId="37925BD0" w14:textId="77777777" w:rsidR="00222156" w:rsidRPr="00BD09CB" w:rsidRDefault="00222156" w:rsidP="00222156">
      <w:pPr>
        <w:pStyle w:val="NormalWeb"/>
        <w:numPr>
          <w:ilvl w:val="0"/>
          <w:numId w:val="2"/>
        </w:numPr>
        <w:tabs>
          <w:tab w:val="left" w:pos="-142"/>
          <w:tab w:val="left" w:pos="2127"/>
        </w:tabs>
        <w:spacing w:before="0" w:beforeAutospacing="0" w:after="0"/>
        <w:ind w:left="426" w:hanging="284"/>
        <w:contextualSpacing/>
        <w:jc w:val="both"/>
        <w:rPr>
          <w:rFonts w:ascii="Tahoma" w:eastAsia="Arial Unicode MS" w:hAnsi="Tahoma" w:cs="Tahoma"/>
          <w:kern w:val="2"/>
          <w:sz w:val="20"/>
          <w:szCs w:val="20"/>
          <w:lang w:eastAsia="hi-IN"/>
        </w:rPr>
      </w:pPr>
      <w:r w:rsidRPr="00BD09CB">
        <w:rPr>
          <w:rFonts w:ascii="Tahoma" w:eastAsia="Arial Unicode MS" w:hAnsi="Tahoma" w:cs="Tahoma"/>
          <w:kern w:val="2"/>
          <w:sz w:val="20"/>
          <w:szCs w:val="20"/>
          <w:lang w:eastAsia="hi-IN"/>
        </w:rPr>
        <w:lastRenderedPageBreak/>
        <w:t xml:space="preserve">No obstante, resulta pertinente traer a colación el documento denominado Instrucción General </w:t>
      </w:r>
      <w:proofErr w:type="spellStart"/>
      <w:r w:rsidRPr="00BD09CB">
        <w:rPr>
          <w:rFonts w:ascii="Tahoma" w:eastAsia="Arial Unicode MS" w:hAnsi="Tahoma" w:cs="Tahoma"/>
          <w:kern w:val="2"/>
          <w:sz w:val="20"/>
          <w:szCs w:val="20"/>
          <w:lang w:eastAsia="hi-IN"/>
        </w:rPr>
        <w:t>N°</w:t>
      </w:r>
      <w:proofErr w:type="spellEnd"/>
      <w:r w:rsidRPr="00BD09CB">
        <w:rPr>
          <w:rFonts w:ascii="Tahoma" w:eastAsia="Arial Unicode MS" w:hAnsi="Tahoma" w:cs="Tahoma"/>
          <w:kern w:val="2"/>
          <w:sz w:val="20"/>
          <w:szCs w:val="20"/>
          <w:lang w:eastAsia="hi-IN"/>
        </w:rPr>
        <w:t xml:space="preserve"> 1-2018-MP-FN “LINEAMIENTOS PARA LA GESTIÓN DE DENUNCIAS Y CASOS DEL MINISTERIO PÚBLICO”, aprobado mediante Resolución de la Fiscalía de la Nación </w:t>
      </w:r>
      <w:proofErr w:type="spellStart"/>
      <w:r w:rsidRPr="00BD09CB">
        <w:rPr>
          <w:rFonts w:ascii="Tahoma" w:eastAsia="Arial Unicode MS" w:hAnsi="Tahoma" w:cs="Tahoma"/>
          <w:kern w:val="2"/>
          <w:sz w:val="20"/>
          <w:szCs w:val="20"/>
          <w:lang w:eastAsia="hi-IN"/>
        </w:rPr>
        <w:t>N°</w:t>
      </w:r>
      <w:proofErr w:type="spellEnd"/>
      <w:r w:rsidRPr="00BD09CB">
        <w:rPr>
          <w:rFonts w:ascii="Tahoma" w:eastAsia="Arial Unicode MS" w:hAnsi="Tahoma" w:cs="Tahoma"/>
          <w:kern w:val="2"/>
          <w:sz w:val="20"/>
          <w:szCs w:val="20"/>
          <w:lang w:eastAsia="hi-IN"/>
        </w:rPr>
        <w:t xml:space="preserve"> 002648-2018-MP-FN de fecha 19 de julio del 2018, que en su numeral 6.2.7.1 prescribe que  “El fiscal que conoce un caso debe promover la unidad de investigación, evitando desdoblar, dividir, derivar u otras acciones que impidan el conocimiento integral de los hechos (…)”; así también en el numeral 6.2.7.2, establece que “De evidenciarse elementos que permitan afirmar que los hechos se subsumen en un delito especial y éste resulte de mayor relevancia que el delito común y conexo al mismo, derivará los actuados a la Fiscalía Especializada del mismo nivel jerárquico para el pronunciamiento integral del caso. En ningún supuesto remitirá copias certificadas de los hechos que se encuentra bajo su actual conocimiento a otra fiscalía especializadas para no afectar el principio de doble persecución”.</w:t>
      </w:r>
    </w:p>
    <w:p w14:paraId="04D913CE" w14:textId="77777777" w:rsidR="00222156" w:rsidRPr="00BD09CB" w:rsidRDefault="00222156" w:rsidP="00222156">
      <w:pPr>
        <w:spacing w:line="240" w:lineRule="auto"/>
        <w:contextualSpacing/>
        <w:rPr>
          <w:rFonts w:ascii="Tahoma" w:eastAsia="Arial Unicode MS" w:hAnsi="Tahoma" w:cs="Tahoma"/>
          <w:kern w:val="2"/>
          <w:sz w:val="20"/>
          <w:szCs w:val="20"/>
          <w:lang w:eastAsia="hi-IN"/>
        </w:rPr>
      </w:pPr>
    </w:p>
    <w:p w14:paraId="16D98621" w14:textId="77777777" w:rsidR="00222156" w:rsidRPr="00BD09CB" w:rsidRDefault="00222156" w:rsidP="00222156">
      <w:pPr>
        <w:pStyle w:val="NormalWeb"/>
        <w:numPr>
          <w:ilvl w:val="0"/>
          <w:numId w:val="2"/>
        </w:numPr>
        <w:tabs>
          <w:tab w:val="left" w:pos="-142"/>
          <w:tab w:val="left" w:pos="2127"/>
        </w:tabs>
        <w:spacing w:before="0" w:beforeAutospacing="0" w:after="0"/>
        <w:ind w:left="426" w:hanging="284"/>
        <w:contextualSpacing/>
        <w:jc w:val="both"/>
        <w:rPr>
          <w:rFonts w:ascii="Tahoma" w:eastAsia="Arial Unicode MS" w:hAnsi="Tahoma" w:cs="Tahoma"/>
          <w:kern w:val="2"/>
          <w:sz w:val="20"/>
          <w:szCs w:val="20"/>
          <w:lang w:eastAsia="hi-IN"/>
        </w:rPr>
      </w:pPr>
      <w:r w:rsidRPr="00BD09CB">
        <w:rPr>
          <w:rFonts w:ascii="Tahoma" w:eastAsia="Arial Unicode MS" w:hAnsi="Tahoma" w:cs="Tahoma"/>
          <w:kern w:val="2"/>
          <w:sz w:val="20"/>
          <w:szCs w:val="20"/>
          <w:lang w:eastAsia="hi-IN"/>
        </w:rPr>
        <w:t xml:space="preserve">En ese orden, podemos afirmar que, ante un concurso real de delitos que son competencia material de distintos órganos fiscales, como en el presente caso (penal común y penal especializada en ciberdelincuencia), corresponde que la fiscalía que ostente la competencia material del delito de mayor pena se avoque al conocimiento de los hechos denunciados, en salvaguarda del principio de unidad de la investigación; siendo esto así, teniendo en cuenta que la pena del delito de Hurto simple es menor de uno ni mayor de tres años de pena privativa de la libertad, mientras que la pena del delito de Fraude informático es no menor de cuatro ni mayor de ocho años de pena privativa de la libertad, corresponde a esta Fiscalía Especializada en Ciberdelincuencia avocarse al conocimiento de los hechos y emitir el pronunciamiento que corresponda.  </w:t>
      </w:r>
    </w:p>
    <w:p w14:paraId="31FB4D9F" w14:textId="77777777" w:rsidR="00222156" w:rsidRPr="00BD09CB" w:rsidRDefault="00222156" w:rsidP="00222156">
      <w:pPr>
        <w:pStyle w:val="NormalWeb"/>
        <w:tabs>
          <w:tab w:val="left" w:pos="-142"/>
          <w:tab w:val="left" w:pos="2127"/>
        </w:tabs>
        <w:spacing w:before="0" w:beforeAutospacing="0" w:after="0"/>
        <w:contextualSpacing/>
        <w:jc w:val="both"/>
        <w:rPr>
          <w:rFonts w:ascii="Tahoma" w:eastAsia="Arial Unicode MS" w:hAnsi="Tahoma" w:cs="Tahoma"/>
          <w:kern w:val="2"/>
          <w:sz w:val="20"/>
          <w:szCs w:val="20"/>
          <w:lang w:eastAsia="hi-IN"/>
        </w:rPr>
      </w:pPr>
    </w:p>
    <w:p w14:paraId="10DD97FE" w14:textId="77777777" w:rsidR="00222156" w:rsidRPr="00BD09CB" w:rsidRDefault="00222156" w:rsidP="00222156">
      <w:pPr>
        <w:tabs>
          <w:tab w:val="left" w:pos="-142"/>
          <w:tab w:val="left" w:pos="2127"/>
        </w:tabs>
        <w:spacing w:line="240" w:lineRule="auto"/>
        <w:contextualSpacing/>
        <w:jc w:val="both"/>
        <w:rPr>
          <w:rFonts w:ascii="Tahoma" w:eastAsia="Arial Unicode MS" w:hAnsi="Tahoma" w:cs="Tahoma"/>
          <w:b/>
          <w:kern w:val="2"/>
          <w:sz w:val="20"/>
          <w:szCs w:val="20"/>
          <w:lang w:eastAsia="hi-IN"/>
        </w:rPr>
      </w:pPr>
      <w:r w:rsidRPr="00BD09CB">
        <w:rPr>
          <w:rFonts w:ascii="Tahoma" w:eastAsia="Arial Unicode MS" w:hAnsi="Tahoma" w:cs="Tahoma"/>
          <w:b/>
          <w:kern w:val="2"/>
          <w:sz w:val="20"/>
          <w:szCs w:val="20"/>
          <w:lang w:eastAsia="hi-IN"/>
        </w:rPr>
        <w:t>TERCERO: CALIFICACIÓN DEL TIPO PENAL</w:t>
      </w:r>
    </w:p>
    <w:p w14:paraId="201CACD7" w14:textId="77777777" w:rsidR="00222156" w:rsidRPr="00BD09CB" w:rsidRDefault="00222156" w:rsidP="00222156">
      <w:pPr>
        <w:pStyle w:val="NormalWeb"/>
        <w:spacing w:before="0" w:beforeAutospacing="0" w:after="0"/>
        <w:ind w:left="426"/>
        <w:contextualSpacing/>
        <w:jc w:val="both"/>
        <w:rPr>
          <w:rFonts w:ascii="Tahoma" w:eastAsia="Arial Unicode MS" w:hAnsi="Tahoma" w:cs="Tahoma"/>
          <w:i/>
          <w:iCs/>
          <w:kern w:val="2"/>
          <w:sz w:val="20"/>
          <w:szCs w:val="20"/>
          <w:lang w:eastAsia="hi-IN"/>
        </w:rPr>
      </w:pPr>
    </w:p>
    <w:p w14:paraId="071F651D" w14:textId="77777777" w:rsidR="00222156" w:rsidRPr="00754FAD" w:rsidRDefault="00222156" w:rsidP="00222156">
      <w:pPr>
        <w:pStyle w:val="NormalWeb"/>
        <w:numPr>
          <w:ilvl w:val="0"/>
          <w:numId w:val="2"/>
        </w:numPr>
        <w:spacing w:before="0" w:beforeAutospacing="0" w:after="0"/>
        <w:ind w:left="426" w:hanging="284"/>
        <w:contextualSpacing/>
        <w:jc w:val="both"/>
        <w:rPr>
          <w:rFonts w:ascii="Tahoma" w:eastAsia="Arial Unicode MS" w:hAnsi="Tahoma" w:cs="Tahoma"/>
          <w:i/>
          <w:iCs/>
          <w:kern w:val="2"/>
          <w:sz w:val="20"/>
          <w:szCs w:val="20"/>
          <w:lang w:eastAsia="hi-IN"/>
        </w:rPr>
      </w:pPr>
      <w:r w:rsidRPr="00BD09CB">
        <w:rPr>
          <w:rFonts w:ascii="Tahoma" w:hAnsi="Tahoma" w:cs="Tahoma"/>
          <w:kern w:val="2"/>
          <w:sz w:val="20"/>
          <w:szCs w:val="20"/>
          <w:lang w:val="es-ES" w:eastAsia="ar-SA"/>
        </w:rPr>
        <w:t>Corresponde al Ministerio Público calificar si la conducta antes detallada se subsumiría dentro de los tipos penales descritos en nuestro Código Penal o Ley especial materia de pronunciamiento de esta fiscalía, lo que se conoce también como el juicio de tipicidad</w:t>
      </w:r>
      <w:r w:rsidRPr="00BD09CB">
        <w:rPr>
          <w:rFonts w:ascii="Tahoma" w:hAnsi="Tahoma" w:cs="Tahoma"/>
          <w:sz w:val="20"/>
          <w:szCs w:val="20"/>
          <w:vertAlign w:val="superscript"/>
        </w:rPr>
        <w:footnoteReference w:id="2"/>
      </w:r>
      <w:r w:rsidRPr="00BD09CB">
        <w:rPr>
          <w:rFonts w:ascii="Tahoma" w:hAnsi="Tahoma" w:cs="Tahoma"/>
          <w:kern w:val="2"/>
          <w:sz w:val="20"/>
          <w:szCs w:val="20"/>
          <w:lang w:val="es-ES" w:eastAsia="ar-SA"/>
        </w:rPr>
        <w:t xml:space="preserve">, siendo así, luego del análisis de los hechos denunciados y descritos a detalle en el primer considerando, tendríamos que los hechos puestos a conocimiento presentarían contenido con relevancia penal, por cuanto se ajustarían a la conducta típica del delito contra el patrimonio en la modalidad de Hurto, previsto en el artículo 185 del Código Penal; así como a la conducta típica del delito informático contra el patrimonio en la modalidad de Fraude Informático, </w:t>
      </w:r>
      <w:r w:rsidRPr="00BD09CB">
        <w:rPr>
          <w:rFonts w:ascii="Tahoma" w:hAnsi="Tahoma" w:cs="Tahoma"/>
          <w:color w:val="000000"/>
          <w:kern w:val="2"/>
          <w:sz w:val="20"/>
          <w:szCs w:val="20"/>
          <w:lang w:val="es-ES" w:eastAsia="ar-SA"/>
        </w:rPr>
        <w:t>previsto en el artículo 8 de la Ley 30096</w:t>
      </w:r>
      <w:r w:rsidRPr="00BD09CB">
        <w:rPr>
          <w:rFonts w:ascii="Tahoma" w:hAnsi="Tahoma" w:cs="Tahoma"/>
          <w:kern w:val="2"/>
          <w:sz w:val="20"/>
          <w:szCs w:val="20"/>
          <w:lang w:val="es-ES" w:eastAsia="ar-SA"/>
        </w:rPr>
        <w:t xml:space="preserve"> (</w:t>
      </w:r>
      <w:r w:rsidRPr="00BD09CB">
        <w:rPr>
          <w:rFonts w:ascii="Tahoma" w:eastAsia="Arial Unicode MS" w:hAnsi="Tahoma" w:cs="Tahoma"/>
          <w:iCs/>
          <w:kern w:val="2"/>
          <w:sz w:val="20"/>
          <w:szCs w:val="20"/>
          <w:lang w:eastAsia="hi-IN"/>
        </w:rPr>
        <w:t>modificado por el Decreto Legislativo N.º 1614 publicado el 21 de diciembre de 2023 en El Peruano)</w:t>
      </w:r>
      <w:r w:rsidRPr="00BD09CB">
        <w:rPr>
          <w:rFonts w:ascii="Tahoma" w:hAnsi="Tahoma" w:cs="Tahoma"/>
          <w:kern w:val="2"/>
          <w:sz w:val="20"/>
          <w:szCs w:val="20"/>
          <w:lang w:val="es-ES" w:eastAsia="ar-SA"/>
        </w:rPr>
        <w:t xml:space="preserve"> que prescriben:</w:t>
      </w:r>
    </w:p>
    <w:p w14:paraId="0C3FA979" w14:textId="77777777" w:rsidR="00754FAD" w:rsidRDefault="00754FAD" w:rsidP="00754FAD">
      <w:pPr>
        <w:pStyle w:val="NormalWeb"/>
        <w:spacing w:before="0" w:beforeAutospacing="0" w:after="0"/>
        <w:ind w:left="426"/>
        <w:contextualSpacing/>
        <w:jc w:val="both"/>
        <w:rPr>
          <w:rFonts w:ascii="Tahoma" w:hAnsi="Tahoma" w:cs="Tahoma"/>
          <w:kern w:val="2"/>
          <w:sz w:val="20"/>
          <w:szCs w:val="20"/>
          <w:lang w:val="es-ES" w:eastAsia="ar-SA"/>
        </w:rPr>
      </w:pPr>
    </w:p>
    <w:p w14:paraId="10B6CAB4" w14:textId="477734E9" w:rsidR="00754FAD" w:rsidRPr="00754FAD" w:rsidRDefault="00754FAD" w:rsidP="00754FAD">
      <w:pPr>
        <w:pStyle w:val="NormalWeb"/>
        <w:spacing w:before="0" w:beforeAutospacing="0" w:after="0"/>
        <w:ind w:left="426"/>
        <w:contextualSpacing/>
        <w:jc w:val="center"/>
        <w:rPr>
          <w:rFonts w:ascii="Tahoma" w:eastAsia="Arial Unicode MS" w:hAnsi="Tahoma" w:cs="Tahoma"/>
          <w:b/>
          <w:bCs/>
          <w:i/>
          <w:iCs/>
          <w:kern w:val="2"/>
          <w:sz w:val="20"/>
          <w:szCs w:val="20"/>
          <w:lang w:eastAsia="hi-IN"/>
        </w:rPr>
      </w:pPr>
      <w:r w:rsidRPr="00754FAD">
        <w:rPr>
          <w:rFonts w:ascii="Tahoma" w:eastAsia="Arial Unicode MS" w:hAnsi="Tahoma" w:cs="Tahoma"/>
          <w:b/>
          <w:bCs/>
          <w:i/>
          <w:iCs/>
          <w:kern w:val="2"/>
          <w:sz w:val="20"/>
          <w:szCs w:val="20"/>
          <w:lang w:eastAsia="hi-IN"/>
        </w:rPr>
        <w:t>Artículo 185.</w:t>
      </w:r>
      <w:r>
        <w:rPr>
          <w:rFonts w:ascii="Tahoma" w:eastAsia="Arial Unicode MS" w:hAnsi="Tahoma" w:cs="Tahoma"/>
          <w:b/>
          <w:bCs/>
          <w:i/>
          <w:iCs/>
          <w:kern w:val="2"/>
          <w:sz w:val="20"/>
          <w:szCs w:val="20"/>
          <w:lang w:eastAsia="hi-IN"/>
        </w:rPr>
        <w:t xml:space="preserve"> Del Código Penal </w:t>
      </w:r>
      <w:r w:rsidRPr="00754FAD">
        <w:rPr>
          <w:rFonts w:ascii="Tahoma" w:eastAsia="Arial Unicode MS" w:hAnsi="Tahoma" w:cs="Tahoma"/>
          <w:b/>
          <w:bCs/>
          <w:i/>
          <w:iCs/>
          <w:kern w:val="2"/>
          <w:sz w:val="20"/>
          <w:szCs w:val="20"/>
          <w:lang w:eastAsia="hi-IN"/>
        </w:rPr>
        <w:t>- Hurto simple:</w:t>
      </w:r>
    </w:p>
    <w:p w14:paraId="702FD119" w14:textId="0AFC6B8E" w:rsidR="00754FAD" w:rsidRDefault="00754FAD" w:rsidP="00754FAD">
      <w:pPr>
        <w:pStyle w:val="NormalWeb"/>
        <w:spacing w:before="0" w:beforeAutospacing="0" w:after="0"/>
        <w:ind w:left="426"/>
        <w:contextualSpacing/>
        <w:jc w:val="both"/>
        <w:rPr>
          <w:rFonts w:ascii="Tahoma" w:eastAsia="Arial Unicode MS" w:hAnsi="Tahoma" w:cs="Tahoma"/>
          <w:i/>
          <w:iCs/>
          <w:kern w:val="2"/>
          <w:sz w:val="20"/>
          <w:szCs w:val="20"/>
          <w:lang w:eastAsia="hi-IN"/>
        </w:rPr>
      </w:pPr>
      <w:r w:rsidRPr="00754FAD">
        <w:rPr>
          <w:rFonts w:ascii="Tahoma" w:eastAsia="Arial Unicode MS" w:hAnsi="Tahoma" w:cs="Tahoma"/>
          <w:i/>
          <w:iCs/>
          <w:kern w:val="2"/>
          <w:sz w:val="20"/>
          <w:szCs w:val="20"/>
          <w:lang w:eastAsia="hi-IN"/>
        </w:rPr>
        <w:t>“El que, para obtener provecho, se apodera ilegítimamente de un bien mueble, total o parcialmente ajeno, sustrayéndolo del lugar donde se encuentra, será reprimido con pena privativa de libertad no menor de uno ni mayor de tres años. (…).”</w:t>
      </w:r>
    </w:p>
    <w:p w14:paraId="0B42228F" w14:textId="77777777" w:rsidR="00754FAD" w:rsidRDefault="00754FAD" w:rsidP="00754FAD">
      <w:pPr>
        <w:pStyle w:val="NormalWeb"/>
        <w:spacing w:before="0" w:beforeAutospacing="0" w:after="0"/>
        <w:ind w:left="426"/>
        <w:contextualSpacing/>
        <w:jc w:val="both"/>
        <w:rPr>
          <w:rFonts w:ascii="Tahoma" w:eastAsia="Arial Unicode MS" w:hAnsi="Tahoma" w:cs="Tahoma"/>
          <w:i/>
          <w:iCs/>
          <w:kern w:val="2"/>
          <w:sz w:val="20"/>
          <w:szCs w:val="20"/>
          <w:lang w:eastAsia="hi-IN"/>
        </w:rPr>
      </w:pPr>
    </w:p>
    <w:p w14:paraId="11F7A84A" w14:textId="4DFB945B" w:rsidR="00754FAD" w:rsidRPr="00BD09CB" w:rsidRDefault="00754FAD" w:rsidP="00754FAD">
      <w:pPr>
        <w:pStyle w:val="NormalWeb"/>
        <w:tabs>
          <w:tab w:val="left" w:pos="-142"/>
          <w:tab w:val="left" w:pos="2127"/>
        </w:tabs>
        <w:spacing w:before="0" w:beforeAutospacing="0" w:after="0"/>
        <w:ind w:left="426"/>
        <w:contextualSpacing/>
        <w:jc w:val="center"/>
        <w:rPr>
          <w:rFonts w:ascii="Tahoma" w:eastAsia="Arial Unicode MS" w:hAnsi="Tahoma" w:cs="Tahoma"/>
          <w:i/>
          <w:iCs/>
          <w:kern w:val="2"/>
          <w:sz w:val="20"/>
          <w:szCs w:val="20"/>
          <w:lang w:val="es-419" w:eastAsia="hi-IN"/>
        </w:rPr>
      </w:pPr>
      <w:r w:rsidRPr="00BD09CB">
        <w:rPr>
          <w:rFonts w:ascii="Tahoma" w:eastAsia="Arial Unicode MS" w:hAnsi="Tahoma" w:cs="Tahoma"/>
          <w:b/>
          <w:i/>
          <w:iCs/>
          <w:kern w:val="2"/>
          <w:sz w:val="20"/>
          <w:szCs w:val="20"/>
          <w:lang w:val="es-419" w:eastAsia="hi-IN"/>
        </w:rPr>
        <w:t>Artículo 8.</w:t>
      </w:r>
      <w:r>
        <w:rPr>
          <w:rFonts w:ascii="Tahoma" w:eastAsia="Arial Unicode MS" w:hAnsi="Tahoma" w:cs="Tahoma"/>
          <w:b/>
          <w:i/>
          <w:iCs/>
          <w:kern w:val="2"/>
          <w:sz w:val="20"/>
          <w:szCs w:val="20"/>
          <w:lang w:val="es-419" w:eastAsia="hi-IN"/>
        </w:rPr>
        <w:t xml:space="preserve"> De la Ley </w:t>
      </w:r>
      <w:proofErr w:type="spellStart"/>
      <w:r>
        <w:rPr>
          <w:rFonts w:ascii="Tahoma" w:eastAsia="Arial Unicode MS" w:hAnsi="Tahoma" w:cs="Tahoma"/>
          <w:b/>
          <w:i/>
          <w:iCs/>
          <w:kern w:val="2"/>
          <w:sz w:val="20"/>
          <w:szCs w:val="20"/>
          <w:lang w:val="es-419" w:eastAsia="hi-IN"/>
        </w:rPr>
        <w:t>N°</w:t>
      </w:r>
      <w:proofErr w:type="spellEnd"/>
      <w:r>
        <w:rPr>
          <w:rFonts w:ascii="Tahoma" w:eastAsia="Arial Unicode MS" w:hAnsi="Tahoma" w:cs="Tahoma"/>
          <w:b/>
          <w:i/>
          <w:iCs/>
          <w:kern w:val="2"/>
          <w:sz w:val="20"/>
          <w:szCs w:val="20"/>
          <w:lang w:val="es-419" w:eastAsia="hi-IN"/>
        </w:rPr>
        <w:t xml:space="preserve"> 30096 - </w:t>
      </w:r>
      <w:r w:rsidRPr="00BD09CB">
        <w:rPr>
          <w:rFonts w:ascii="Tahoma" w:eastAsia="Arial Unicode MS" w:hAnsi="Tahoma" w:cs="Tahoma"/>
          <w:b/>
          <w:i/>
          <w:iCs/>
          <w:kern w:val="2"/>
          <w:sz w:val="20"/>
          <w:szCs w:val="20"/>
          <w:lang w:val="es-419" w:eastAsia="hi-IN"/>
        </w:rPr>
        <w:t>Fraude informático</w:t>
      </w:r>
      <w:r w:rsidRPr="00BD09CB">
        <w:rPr>
          <w:rFonts w:ascii="Tahoma" w:eastAsia="Arial Unicode MS" w:hAnsi="Tahoma" w:cs="Tahoma"/>
          <w:i/>
          <w:iCs/>
          <w:kern w:val="2"/>
          <w:sz w:val="20"/>
          <w:szCs w:val="20"/>
          <w:lang w:val="es-419" w:eastAsia="hi-IN"/>
        </w:rPr>
        <w:t>:</w:t>
      </w:r>
    </w:p>
    <w:p w14:paraId="64FFDFD8" w14:textId="77777777" w:rsidR="00754FAD" w:rsidRPr="00BD09CB" w:rsidRDefault="00754FAD" w:rsidP="00754FAD">
      <w:pPr>
        <w:pStyle w:val="NormalWeb"/>
        <w:tabs>
          <w:tab w:val="left" w:pos="-142"/>
          <w:tab w:val="left" w:pos="2127"/>
        </w:tabs>
        <w:spacing w:before="0" w:beforeAutospacing="0" w:after="0"/>
        <w:ind w:left="426"/>
        <w:contextualSpacing/>
        <w:jc w:val="both"/>
        <w:rPr>
          <w:rFonts w:ascii="Tahoma" w:eastAsia="Arial Unicode MS" w:hAnsi="Tahoma" w:cs="Tahoma"/>
          <w:i/>
          <w:iCs/>
          <w:kern w:val="2"/>
          <w:sz w:val="20"/>
          <w:szCs w:val="20"/>
          <w:lang w:val="es-419" w:eastAsia="hi-IN"/>
        </w:rPr>
      </w:pPr>
      <w:r w:rsidRPr="00BD09CB">
        <w:rPr>
          <w:rFonts w:ascii="Tahoma" w:eastAsia="Arial Unicode MS" w:hAnsi="Tahoma" w:cs="Tahoma"/>
          <w:i/>
          <w:iCs/>
          <w:kern w:val="2"/>
          <w:sz w:val="20"/>
          <w:szCs w:val="20"/>
          <w:lang w:val="es-419" w:eastAsia="hi-IN"/>
        </w:rPr>
        <w:t xml:space="preserve">El que deliberada e ilegítimamente procura para sí o para otro un provecho ilícito en perjuicio de tercero mediante el diseño, introducción, alteración, borrado, supresión, clonación de datos informáticos, suplantación de interfaces o páginas web o cualquier interferencia o manipulación en el funcionamiento de un sistema informático, será reprimido con una pena </w:t>
      </w:r>
      <w:r w:rsidRPr="00BD09CB">
        <w:rPr>
          <w:rFonts w:ascii="Tahoma" w:eastAsia="Arial Unicode MS" w:hAnsi="Tahoma" w:cs="Tahoma"/>
          <w:i/>
          <w:iCs/>
          <w:kern w:val="2"/>
          <w:sz w:val="20"/>
          <w:szCs w:val="20"/>
          <w:lang w:val="es-419" w:eastAsia="hi-IN"/>
        </w:rPr>
        <w:lastRenderedPageBreak/>
        <w:t>privativa de libertad no menor de </w:t>
      </w:r>
      <w:r w:rsidRPr="00BD09CB">
        <w:rPr>
          <w:rFonts w:ascii="Tahoma" w:eastAsia="Arial Unicode MS" w:hAnsi="Tahoma" w:cs="Tahoma"/>
          <w:b/>
          <w:bCs/>
          <w:i/>
          <w:iCs/>
          <w:kern w:val="2"/>
          <w:sz w:val="20"/>
          <w:szCs w:val="20"/>
          <w:lang w:val="es-419" w:eastAsia="hi-IN"/>
        </w:rPr>
        <w:t>cuatro</w:t>
      </w:r>
      <w:r w:rsidRPr="00BD09CB">
        <w:rPr>
          <w:rFonts w:ascii="Tahoma" w:eastAsia="Arial Unicode MS" w:hAnsi="Tahoma" w:cs="Tahoma"/>
          <w:i/>
          <w:iCs/>
          <w:kern w:val="2"/>
          <w:sz w:val="20"/>
          <w:szCs w:val="20"/>
          <w:lang w:val="es-419" w:eastAsia="hi-IN"/>
        </w:rPr>
        <w:t> ni mayor de </w:t>
      </w:r>
      <w:r w:rsidRPr="00BD09CB">
        <w:rPr>
          <w:rFonts w:ascii="Tahoma" w:eastAsia="Arial Unicode MS" w:hAnsi="Tahoma" w:cs="Tahoma"/>
          <w:b/>
          <w:bCs/>
          <w:i/>
          <w:iCs/>
          <w:kern w:val="2"/>
          <w:sz w:val="20"/>
          <w:szCs w:val="20"/>
          <w:lang w:val="es-419" w:eastAsia="hi-IN"/>
        </w:rPr>
        <w:t>ocho</w:t>
      </w:r>
      <w:r w:rsidRPr="00BD09CB">
        <w:rPr>
          <w:rFonts w:ascii="Tahoma" w:eastAsia="Arial Unicode MS" w:hAnsi="Tahoma" w:cs="Tahoma"/>
          <w:i/>
          <w:iCs/>
          <w:kern w:val="2"/>
          <w:sz w:val="20"/>
          <w:szCs w:val="20"/>
          <w:lang w:val="es-419" w:eastAsia="hi-IN"/>
        </w:rPr>
        <w:t> años y con sesenta a ciento veinte días-multa.</w:t>
      </w:r>
    </w:p>
    <w:p w14:paraId="473B4DD1" w14:textId="77777777" w:rsidR="00754FAD" w:rsidRPr="00BD09CB" w:rsidRDefault="00754FAD" w:rsidP="00754FAD">
      <w:pPr>
        <w:pStyle w:val="NormalWeb"/>
        <w:tabs>
          <w:tab w:val="left" w:pos="-142"/>
          <w:tab w:val="left" w:pos="2127"/>
        </w:tabs>
        <w:spacing w:before="0" w:beforeAutospacing="0" w:after="0"/>
        <w:ind w:left="426"/>
        <w:contextualSpacing/>
        <w:jc w:val="both"/>
        <w:rPr>
          <w:rFonts w:ascii="Tahoma" w:eastAsia="Arial Unicode MS" w:hAnsi="Tahoma" w:cs="Tahoma"/>
          <w:i/>
          <w:iCs/>
          <w:kern w:val="2"/>
          <w:sz w:val="20"/>
          <w:szCs w:val="20"/>
          <w:lang w:val="es-419" w:eastAsia="hi-IN"/>
        </w:rPr>
      </w:pPr>
      <w:r w:rsidRPr="00BD09CB">
        <w:rPr>
          <w:rFonts w:ascii="Tahoma" w:eastAsia="Arial Unicode MS" w:hAnsi="Tahoma" w:cs="Tahoma"/>
          <w:i/>
          <w:iCs/>
          <w:kern w:val="2"/>
          <w:sz w:val="20"/>
          <w:szCs w:val="20"/>
          <w:lang w:val="es-419" w:eastAsia="hi-IN"/>
        </w:rPr>
        <w:t>La pena será privativa de libertad no menor de cinco ni mayor de diez años y de ochenta a ciento cuarenta días multa cuando se afecte el patrimonio del Estado destinado a fines asistenciales o a programas de apoyo social.</w:t>
      </w:r>
    </w:p>
    <w:p w14:paraId="4925176D" w14:textId="77777777" w:rsidR="00754FAD" w:rsidRPr="00BD09CB" w:rsidRDefault="00754FAD" w:rsidP="00754FAD">
      <w:pPr>
        <w:pStyle w:val="NormalWeb"/>
        <w:tabs>
          <w:tab w:val="left" w:pos="-142"/>
          <w:tab w:val="left" w:pos="2127"/>
        </w:tabs>
        <w:spacing w:before="0" w:beforeAutospacing="0" w:after="0"/>
        <w:ind w:left="426"/>
        <w:contextualSpacing/>
        <w:jc w:val="both"/>
        <w:rPr>
          <w:rFonts w:ascii="Tahoma" w:eastAsia="Arial Unicode MS" w:hAnsi="Tahoma" w:cs="Tahoma"/>
          <w:i/>
          <w:iCs/>
          <w:kern w:val="2"/>
          <w:sz w:val="20"/>
          <w:szCs w:val="20"/>
          <w:lang w:val="es-419" w:eastAsia="hi-IN"/>
        </w:rPr>
      </w:pPr>
      <w:r w:rsidRPr="00BD09CB">
        <w:rPr>
          <w:rFonts w:ascii="Tahoma" w:eastAsia="Arial Unicode MS" w:hAnsi="Tahoma" w:cs="Tahoma"/>
          <w:bCs/>
          <w:i/>
          <w:iCs/>
          <w:kern w:val="2"/>
          <w:sz w:val="20"/>
          <w:szCs w:val="20"/>
          <w:lang w:val="es-419" w:eastAsia="hi-IN"/>
        </w:rPr>
        <w:t>La misma pena se aplica al que intencionalmente colabora con la comisión de alguno de los supuestos de los párrafos precedentes, facilitando la transferencia de activos</w:t>
      </w:r>
      <w:r w:rsidRPr="00BD09CB">
        <w:rPr>
          <w:rFonts w:ascii="Tahoma" w:eastAsia="Arial Unicode MS" w:hAnsi="Tahoma" w:cs="Tahoma"/>
          <w:i/>
          <w:iCs/>
          <w:kern w:val="2"/>
          <w:sz w:val="20"/>
          <w:szCs w:val="20"/>
          <w:lang w:val="es-419" w:eastAsia="hi-IN"/>
        </w:rPr>
        <w:t>”.</w:t>
      </w:r>
    </w:p>
    <w:p w14:paraId="0EE5ECBF" w14:textId="77777777" w:rsidR="00754FAD" w:rsidRDefault="00754FAD" w:rsidP="00754FAD">
      <w:pPr>
        <w:pStyle w:val="NormalWeb"/>
        <w:contextualSpacing/>
        <w:jc w:val="center"/>
        <w:rPr>
          <w:rFonts w:ascii="Tahoma" w:hAnsi="Tahoma" w:cs="Tahoma"/>
          <w:b/>
          <w:bCs/>
          <w:sz w:val="20"/>
          <w:szCs w:val="20"/>
          <w:lang w:val="es-MX"/>
        </w:rPr>
      </w:pPr>
    </w:p>
    <w:p w14:paraId="64525010" w14:textId="0C6B63F2" w:rsidR="00222156" w:rsidRPr="00754FAD" w:rsidRDefault="00222156" w:rsidP="00754FAD">
      <w:pPr>
        <w:pStyle w:val="NormalWeb"/>
        <w:contextualSpacing/>
        <w:rPr>
          <w:rFonts w:ascii="Tahoma" w:eastAsia="Arial Unicode MS" w:hAnsi="Tahoma" w:cs="Tahoma"/>
          <w:i/>
          <w:iCs/>
          <w:kern w:val="2"/>
          <w:sz w:val="20"/>
          <w:szCs w:val="20"/>
          <w:lang w:eastAsia="hi-IN"/>
        </w:rPr>
      </w:pPr>
      <w:r w:rsidRPr="00BD09CB">
        <w:rPr>
          <w:rFonts w:ascii="Tahoma" w:hAnsi="Tahoma" w:cs="Tahoma"/>
          <w:b/>
          <w:bCs/>
          <w:sz w:val="20"/>
          <w:szCs w:val="20"/>
          <w:lang w:val="es-MX"/>
        </w:rPr>
        <w:t xml:space="preserve">CUARTO: </w:t>
      </w:r>
      <w:r w:rsidRPr="00BD09CB">
        <w:rPr>
          <w:rFonts w:ascii="Tahoma" w:eastAsia="Andale Sans UI" w:hAnsi="Tahoma" w:cs="Tahoma"/>
          <w:b/>
          <w:bCs/>
          <w:iCs/>
          <w:sz w:val="20"/>
          <w:szCs w:val="20"/>
          <w:lang w:val="es-ES" w:eastAsia="fa-IR" w:bidi="fa-IR"/>
        </w:rPr>
        <w:t>REQUISITOS PARA EL EJERCICIO DE LA ACCIÓN PENAL</w:t>
      </w:r>
    </w:p>
    <w:p w14:paraId="44D65DBD" w14:textId="77777777" w:rsidR="00222156" w:rsidRPr="00BD09CB" w:rsidRDefault="00222156" w:rsidP="00222156">
      <w:pPr>
        <w:spacing w:line="240" w:lineRule="auto"/>
        <w:ind w:right="-1"/>
        <w:contextualSpacing/>
        <w:jc w:val="both"/>
        <w:rPr>
          <w:rFonts w:ascii="Tahoma" w:eastAsia="Times New Roman" w:hAnsi="Tahoma" w:cs="Tahoma"/>
          <w:b/>
          <w:bCs/>
          <w:sz w:val="20"/>
          <w:szCs w:val="20"/>
          <w:lang w:val="es-MX"/>
        </w:rPr>
      </w:pPr>
    </w:p>
    <w:p w14:paraId="6ED6F306" w14:textId="77777777" w:rsidR="00222156" w:rsidRPr="00603388" w:rsidRDefault="00222156" w:rsidP="00222156">
      <w:pPr>
        <w:pStyle w:val="NormalWeb"/>
        <w:numPr>
          <w:ilvl w:val="0"/>
          <w:numId w:val="2"/>
        </w:numPr>
        <w:spacing w:before="0" w:beforeAutospacing="0" w:after="0"/>
        <w:ind w:left="426" w:hanging="284"/>
        <w:contextualSpacing/>
        <w:jc w:val="both"/>
        <w:rPr>
          <w:rFonts w:ascii="Tahoma" w:eastAsia="Andale Sans UI" w:hAnsi="Tahoma" w:cs="Tahoma"/>
          <w:iCs/>
          <w:sz w:val="20"/>
          <w:szCs w:val="20"/>
          <w:lang w:eastAsia="fa-IR" w:bidi="fa-IR"/>
        </w:rPr>
      </w:pPr>
      <w:r w:rsidRPr="00BD09CB">
        <w:rPr>
          <w:rFonts w:ascii="Tahoma" w:eastAsia="Andale Sans UI" w:hAnsi="Tahoma" w:cs="Tahoma"/>
          <w:sz w:val="20"/>
          <w:szCs w:val="20"/>
          <w:lang w:val="es-ES" w:eastAsia="fa-IR" w:bidi="fa-IR"/>
        </w:rPr>
        <w:t>L</w:t>
      </w:r>
      <w:r w:rsidRPr="00BD09CB">
        <w:rPr>
          <w:rFonts w:ascii="Tahoma" w:eastAsia="Andale Sans UI" w:hAnsi="Tahoma" w:cs="Tahoma"/>
          <w:iCs/>
          <w:sz w:val="20"/>
          <w:szCs w:val="20"/>
          <w:lang w:val="es-ES" w:eastAsia="fa-IR" w:bidi="fa-IR"/>
        </w:rPr>
        <w:t xml:space="preserve">a persecución del delito le corresponde al Ministerio Público, por ser el titular de la acción penal, conforme lo prescribe el Artículo 159º de la Constitución Política del Estado, concordado con el Artículo IV inciso 1 del Título Preliminar y los Arts. 1.1° y 60° del Código Procesal Penal. Sin embargo, </w:t>
      </w:r>
      <w:r w:rsidRPr="00BD09CB">
        <w:rPr>
          <w:rFonts w:ascii="Tahoma" w:eastAsia="Andale Sans UI" w:hAnsi="Tahoma" w:cs="Tahoma"/>
          <w:i/>
          <w:iCs/>
          <w:sz w:val="20"/>
          <w:szCs w:val="20"/>
          <w:lang w:val="es-ES" w:eastAsia="fa-IR" w:bidi="fa-IR"/>
        </w:rPr>
        <w:t>para ejercitar esta acción el Fiscal debe verificar que se presenten de manera concurrente los requisitos previstos en el Artículo 336º inciso 1 del Código Procesal Penal</w:t>
      </w:r>
      <w:r w:rsidRPr="00BD09CB">
        <w:rPr>
          <w:rFonts w:ascii="Tahoma" w:eastAsia="Andale Sans UI" w:hAnsi="Tahoma" w:cs="Tahoma"/>
          <w:iCs/>
          <w:sz w:val="20"/>
          <w:szCs w:val="20"/>
          <w:lang w:val="es-ES" w:eastAsia="fa-IR" w:bidi="fa-IR"/>
        </w:rPr>
        <w:t xml:space="preserve">, según el cual, </w:t>
      </w:r>
      <w:r w:rsidRPr="00603388">
        <w:rPr>
          <w:rFonts w:ascii="Tahoma" w:eastAsia="Andale Sans UI" w:hAnsi="Tahoma" w:cs="Tahoma"/>
          <w:iCs/>
          <w:sz w:val="20"/>
          <w:szCs w:val="20"/>
          <w:lang w:eastAsia="fa-IR" w:bidi="fa-IR"/>
        </w:rPr>
        <w:t xml:space="preserve">para formalizar y continuar con la investigación preparatoria, deben aparecer indicios reveladores de: </w:t>
      </w:r>
      <w:r w:rsidRPr="00603388">
        <w:rPr>
          <w:rFonts w:ascii="Tahoma" w:eastAsia="Andale Sans UI" w:hAnsi="Tahoma" w:cs="Tahoma"/>
          <w:b/>
          <w:iCs/>
          <w:sz w:val="20"/>
          <w:szCs w:val="20"/>
          <w:lang w:eastAsia="fa-IR" w:bidi="fa-IR"/>
        </w:rPr>
        <w:t>a)</w:t>
      </w:r>
      <w:r w:rsidRPr="00603388">
        <w:rPr>
          <w:rFonts w:ascii="Tahoma" w:eastAsia="Andale Sans UI" w:hAnsi="Tahoma" w:cs="Tahoma"/>
          <w:iCs/>
          <w:sz w:val="20"/>
          <w:szCs w:val="20"/>
          <w:lang w:eastAsia="fa-IR" w:bidi="fa-IR"/>
        </w:rPr>
        <w:t xml:space="preserve"> la existencia de un delito, </w:t>
      </w:r>
      <w:r w:rsidRPr="00603388">
        <w:rPr>
          <w:rFonts w:ascii="Tahoma" w:eastAsia="Andale Sans UI" w:hAnsi="Tahoma" w:cs="Tahoma"/>
          <w:b/>
          <w:iCs/>
          <w:sz w:val="20"/>
          <w:szCs w:val="20"/>
          <w:lang w:eastAsia="fa-IR" w:bidi="fa-IR"/>
        </w:rPr>
        <w:t>b)</w:t>
      </w:r>
      <w:r w:rsidRPr="00603388">
        <w:rPr>
          <w:rFonts w:ascii="Tahoma" w:eastAsia="Andale Sans UI" w:hAnsi="Tahoma" w:cs="Tahoma"/>
          <w:iCs/>
          <w:sz w:val="20"/>
          <w:szCs w:val="20"/>
          <w:lang w:eastAsia="fa-IR" w:bidi="fa-IR"/>
        </w:rPr>
        <w:t xml:space="preserve"> que la acción penal no ha prescrito, </w:t>
      </w:r>
      <w:r w:rsidRPr="00603388">
        <w:rPr>
          <w:rFonts w:ascii="Tahoma" w:eastAsia="Andale Sans UI" w:hAnsi="Tahoma" w:cs="Tahoma"/>
          <w:b/>
          <w:iCs/>
          <w:sz w:val="20"/>
          <w:szCs w:val="20"/>
          <w:lang w:eastAsia="fa-IR" w:bidi="fa-IR"/>
        </w:rPr>
        <w:t xml:space="preserve">c) </w:t>
      </w:r>
      <w:r w:rsidRPr="00603388">
        <w:rPr>
          <w:rFonts w:ascii="Tahoma" w:eastAsia="Andale Sans UI" w:hAnsi="Tahoma" w:cs="Tahoma"/>
          <w:iCs/>
          <w:sz w:val="20"/>
          <w:szCs w:val="20"/>
          <w:lang w:eastAsia="fa-IR" w:bidi="fa-IR"/>
        </w:rPr>
        <w:t xml:space="preserve">que se ha individualizado al imputado y </w:t>
      </w:r>
      <w:r w:rsidRPr="00603388">
        <w:rPr>
          <w:rFonts w:ascii="Tahoma" w:eastAsia="Andale Sans UI" w:hAnsi="Tahoma" w:cs="Tahoma"/>
          <w:b/>
          <w:iCs/>
          <w:sz w:val="20"/>
          <w:szCs w:val="20"/>
          <w:lang w:eastAsia="fa-IR" w:bidi="fa-IR"/>
        </w:rPr>
        <w:t>d)</w:t>
      </w:r>
      <w:r w:rsidRPr="00603388">
        <w:rPr>
          <w:rFonts w:ascii="Tahoma" w:eastAsia="Andale Sans UI" w:hAnsi="Tahoma" w:cs="Tahoma"/>
          <w:iCs/>
          <w:sz w:val="20"/>
          <w:szCs w:val="20"/>
          <w:lang w:eastAsia="fa-IR" w:bidi="fa-IR"/>
        </w:rPr>
        <w:t xml:space="preserve"> que, si fuera el caso, se han satisfecho los requisitos de procedibilidad.</w:t>
      </w:r>
    </w:p>
    <w:p w14:paraId="47362571" w14:textId="77777777" w:rsidR="00222156" w:rsidRPr="00603388" w:rsidRDefault="00222156" w:rsidP="00222156">
      <w:pPr>
        <w:pStyle w:val="NormalWeb"/>
        <w:spacing w:before="0" w:beforeAutospacing="0" w:after="0"/>
        <w:ind w:left="426"/>
        <w:contextualSpacing/>
        <w:jc w:val="both"/>
        <w:rPr>
          <w:rFonts w:ascii="Tahoma" w:eastAsia="Andale Sans UI" w:hAnsi="Tahoma" w:cs="Tahoma"/>
          <w:iCs/>
          <w:sz w:val="20"/>
          <w:szCs w:val="20"/>
          <w:lang w:eastAsia="fa-IR" w:bidi="fa-IR"/>
        </w:rPr>
      </w:pPr>
    </w:p>
    <w:p w14:paraId="03472810" w14:textId="77777777" w:rsidR="00222156" w:rsidRPr="00BD09CB" w:rsidRDefault="00222156" w:rsidP="00222156">
      <w:pPr>
        <w:pStyle w:val="NormalWeb"/>
        <w:numPr>
          <w:ilvl w:val="0"/>
          <w:numId w:val="2"/>
        </w:numPr>
        <w:spacing w:before="0" w:beforeAutospacing="0" w:after="0"/>
        <w:ind w:left="426" w:hanging="284"/>
        <w:contextualSpacing/>
        <w:jc w:val="both"/>
        <w:rPr>
          <w:rFonts w:ascii="Tahoma" w:eastAsia="Andale Sans UI" w:hAnsi="Tahoma" w:cs="Tahoma"/>
          <w:iCs/>
          <w:sz w:val="20"/>
          <w:szCs w:val="20"/>
          <w:lang w:val="de-DE" w:eastAsia="fa-IR" w:bidi="fa-IR"/>
        </w:rPr>
      </w:pPr>
      <w:r w:rsidRPr="00603388">
        <w:rPr>
          <w:rFonts w:ascii="Tahoma" w:hAnsi="Tahoma" w:cs="Tahoma"/>
          <w:sz w:val="20"/>
          <w:szCs w:val="20"/>
          <w:lang w:bidi="fa-IR"/>
        </w:rPr>
        <w:t xml:space="preserve">Por regla general la persecución del delito le corresponde al Ministerio Público, por ser el titular de la acción penal, conforme lo prescribe el numeral 5 del artículo 159° de la Constitución Política del Estado; asimismo, el Tribunal Constitucional ha establecido cono doctrina jurisprudencial, que la actividad del Ministerio Público, al igual que de cualquier ente estatal, se encuentra limitada por el </w:t>
      </w:r>
      <w:r w:rsidRPr="00BD09CB">
        <w:rPr>
          <w:rFonts w:ascii="Tahoma" w:eastAsia="Andale Sans UI" w:hAnsi="Tahoma" w:cs="Tahoma"/>
          <w:i/>
          <w:iCs/>
          <w:sz w:val="20"/>
          <w:szCs w:val="20"/>
          <w:lang w:val="es-ES" w:eastAsia="fa-IR" w:bidi="fa-IR"/>
        </w:rPr>
        <w:t>principio</w:t>
      </w:r>
      <w:r w:rsidRPr="00603388">
        <w:rPr>
          <w:rFonts w:ascii="Tahoma" w:hAnsi="Tahoma" w:cs="Tahoma"/>
          <w:sz w:val="20"/>
          <w:szCs w:val="20"/>
          <w:lang w:bidi="fa-IR"/>
        </w:rPr>
        <w:t xml:space="preserve"> de la interdicción de la arbitrariedad (STC 6167-2005-HC), y que la investigación se encuentra limitada a la concurrencia de dos elementos esenciales 1) que exista una causa probable y, 2) una búsqueda razonable de la comisión de un ilícito penal (</w:t>
      </w:r>
      <w:proofErr w:type="spellStart"/>
      <w:r w:rsidRPr="00603388">
        <w:rPr>
          <w:rFonts w:ascii="Tahoma" w:hAnsi="Tahoma" w:cs="Tahoma"/>
          <w:sz w:val="20"/>
          <w:szCs w:val="20"/>
          <w:lang w:bidi="fa-IR"/>
        </w:rPr>
        <w:t>Exp</w:t>
      </w:r>
      <w:proofErr w:type="spellEnd"/>
      <w:r w:rsidRPr="00603388">
        <w:rPr>
          <w:rFonts w:ascii="Tahoma" w:hAnsi="Tahoma" w:cs="Tahoma"/>
          <w:sz w:val="20"/>
          <w:szCs w:val="20"/>
          <w:lang w:bidi="fa-IR"/>
        </w:rPr>
        <w:t xml:space="preserve">. </w:t>
      </w:r>
      <w:r w:rsidRPr="00BD09CB">
        <w:rPr>
          <w:rFonts w:ascii="Tahoma" w:hAnsi="Tahoma" w:cs="Tahoma"/>
          <w:sz w:val="20"/>
          <w:szCs w:val="20"/>
          <w:lang w:val="de-DE" w:bidi="fa-IR"/>
        </w:rPr>
        <w:t>N° 5228-2006-PHC).</w:t>
      </w:r>
    </w:p>
    <w:p w14:paraId="5BD89047" w14:textId="77777777" w:rsidR="00222156" w:rsidRPr="00BD09CB" w:rsidRDefault="00222156" w:rsidP="00222156">
      <w:pPr>
        <w:pStyle w:val="NormalWeb"/>
        <w:spacing w:before="0" w:beforeAutospacing="0" w:after="0"/>
        <w:ind w:left="425"/>
        <w:contextualSpacing/>
        <w:jc w:val="both"/>
        <w:rPr>
          <w:rFonts w:ascii="Tahoma" w:eastAsia="Andale Sans UI" w:hAnsi="Tahoma" w:cs="Tahoma"/>
          <w:iCs/>
          <w:sz w:val="20"/>
          <w:szCs w:val="20"/>
          <w:lang w:val="de-DE" w:eastAsia="fa-IR" w:bidi="fa-IR"/>
        </w:rPr>
      </w:pPr>
    </w:p>
    <w:p w14:paraId="1E23E2EB" w14:textId="11A0C6EF" w:rsidR="00222156" w:rsidRPr="00603388" w:rsidRDefault="00222156" w:rsidP="00222156">
      <w:pPr>
        <w:pStyle w:val="NormalWeb"/>
        <w:numPr>
          <w:ilvl w:val="0"/>
          <w:numId w:val="2"/>
        </w:numPr>
        <w:spacing w:before="0" w:beforeAutospacing="0" w:after="0"/>
        <w:ind w:left="426" w:hanging="426"/>
        <w:contextualSpacing/>
        <w:jc w:val="both"/>
        <w:rPr>
          <w:rFonts w:ascii="Tahoma" w:eastAsia="Andale Sans UI" w:hAnsi="Tahoma" w:cs="Tahoma"/>
          <w:iCs/>
          <w:sz w:val="20"/>
          <w:szCs w:val="20"/>
          <w:lang w:eastAsia="fa-IR" w:bidi="fa-IR"/>
        </w:rPr>
      </w:pPr>
      <w:r w:rsidRPr="00603388">
        <w:rPr>
          <w:rFonts w:ascii="Tahoma" w:hAnsi="Tahoma" w:cs="Tahoma"/>
          <w:sz w:val="20"/>
          <w:szCs w:val="20"/>
          <w:lang w:bidi="fa-IR"/>
        </w:rPr>
        <w:t>Este implica que si no se cuenta con elementos de convicción que nos permitan acreditar la concurrencia de alguno de estos requisitos se deberá disponer que no procede formalizar y continuar con la investigación preparatoria y se ordenara el archivo de la investigación preliminar, de acuerdo con lo previsto en el inciso 1 del artículo 334° del Código Procesal Penal, concordado con el artículo 12° de la Ley Orgánica del Ministerio Público</w:t>
      </w:r>
      <w:r w:rsidRPr="00BD09CB">
        <w:rPr>
          <w:rFonts w:ascii="Tahoma" w:eastAsia="Andale Sans UI" w:hAnsi="Tahoma" w:cs="Tahoma"/>
          <w:sz w:val="20"/>
          <w:szCs w:val="20"/>
          <w:vertAlign w:val="superscript"/>
          <w:lang w:eastAsia="fa-IR" w:bidi="fa-IR"/>
        </w:rPr>
        <w:footnoteReference w:id="3"/>
      </w:r>
      <w:r w:rsidRPr="00603388">
        <w:rPr>
          <w:rFonts w:ascii="Tahoma" w:hAnsi="Tahoma" w:cs="Tahoma"/>
          <w:sz w:val="20"/>
          <w:szCs w:val="20"/>
          <w:lang w:bidi="fa-IR"/>
        </w:rPr>
        <w:t>.</w:t>
      </w:r>
    </w:p>
    <w:p w14:paraId="61C503CC" w14:textId="77777777" w:rsidR="00222156" w:rsidRPr="00603388" w:rsidRDefault="00222156" w:rsidP="00222156">
      <w:pPr>
        <w:pStyle w:val="NormalWeb"/>
        <w:spacing w:before="0" w:beforeAutospacing="0" w:after="0"/>
        <w:ind w:left="426"/>
        <w:contextualSpacing/>
        <w:jc w:val="both"/>
        <w:rPr>
          <w:rFonts w:ascii="Tahoma" w:eastAsia="Andale Sans UI" w:hAnsi="Tahoma" w:cs="Tahoma"/>
          <w:iCs/>
          <w:sz w:val="20"/>
          <w:szCs w:val="20"/>
          <w:lang w:eastAsia="fa-IR" w:bidi="fa-IR"/>
        </w:rPr>
      </w:pPr>
    </w:p>
    <w:p w14:paraId="5E2F8C50" w14:textId="77777777" w:rsidR="00222156" w:rsidRPr="00603388" w:rsidRDefault="00222156" w:rsidP="00222156">
      <w:pPr>
        <w:pStyle w:val="NormalWeb"/>
        <w:numPr>
          <w:ilvl w:val="0"/>
          <w:numId w:val="2"/>
        </w:numPr>
        <w:spacing w:before="0" w:beforeAutospacing="0" w:after="0"/>
        <w:ind w:left="426" w:hanging="426"/>
        <w:contextualSpacing/>
        <w:jc w:val="both"/>
        <w:rPr>
          <w:rFonts w:ascii="Tahoma" w:eastAsia="Andale Sans UI" w:hAnsi="Tahoma" w:cs="Tahoma"/>
          <w:iCs/>
          <w:sz w:val="20"/>
          <w:szCs w:val="20"/>
          <w:lang w:eastAsia="fa-IR" w:bidi="fa-IR"/>
        </w:rPr>
      </w:pPr>
      <w:r w:rsidRPr="00603388">
        <w:rPr>
          <w:rFonts w:ascii="Tahoma" w:hAnsi="Tahoma" w:cs="Tahoma"/>
          <w:sz w:val="20"/>
          <w:szCs w:val="20"/>
          <w:lang w:bidi="fa-IR"/>
        </w:rPr>
        <w:t>Asimismo, se tiene que el correcto funcionamiento del sistema procesal penal adversarial asumido con el Nuevo Código Procesal Penal, vigente en esta ciudad, requiere de una adecuada gestión de la carga procesal por parte del Ministerio Público, por lo que para decidir el inicio de la persecución penal además de hacer un análisis sobre la presencia de los requisitos que de manera formal exige la legislación vigente se debe realizar un pronóstico respecto de las circunstancias y posibilidades que presenta el costo para lograr una persecución penal exitosa, de manera que no se sobrecargue inútilmente el sistema de persecución, perjudicándose innecesariamente su funcionamiento con el seguimiento de casos condenados desde un inicio al fracaso.</w:t>
      </w:r>
    </w:p>
    <w:p w14:paraId="6126C5C8" w14:textId="77777777" w:rsidR="00222156" w:rsidRPr="00603388" w:rsidRDefault="00222156" w:rsidP="00222156">
      <w:pPr>
        <w:pStyle w:val="NormalWeb"/>
        <w:spacing w:before="0" w:beforeAutospacing="0" w:after="0"/>
        <w:ind w:left="426"/>
        <w:contextualSpacing/>
        <w:jc w:val="both"/>
        <w:rPr>
          <w:rFonts w:ascii="Tahoma" w:eastAsia="Andale Sans UI" w:hAnsi="Tahoma" w:cs="Tahoma"/>
          <w:iCs/>
          <w:sz w:val="20"/>
          <w:szCs w:val="20"/>
          <w:lang w:eastAsia="fa-IR" w:bidi="fa-IR"/>
        </w:rPr>
      </w:pPr>
    </w:p>
    <w:p w14:paraId="277E7900" w14:textId="77777777" w:rsidR="00222156" w:rsidRPr="00603388" w:rsidRDefault="00222156" w:rsidP="00222156">
      <w:pPr>
        <w:pStyle w:val="NormalWeb"/>
        <w:numPr>
          <w:ilvl w:val="0"/>
          <w:numId w:val="2"/>
        </w:numPr>
        <w:spacing w:before="0" w:beforeAutospacing="0" w:after="0"/>
        <w:ind w:left="426" w:hanging="426"/>
        <w:contextualSpacing/>
        <w:jc w:val="both"/>
        <w:rPr>
          <w:rFonts w:ascii="Tahoma" w:eastAsia="Andale Sans UI" w:hAnsi="Tahoma" w:cs="Tahoma"/>
          <w:iCs/>
          <w:sz w:val="20"/>
          <w:szCs w:val="20"/>
          <w:lang w:eastAsia="fa-IR" w:bidi="fa-IR"/>
        </w:rPr>
      </w:pPr>
      <w:r w:rsidRPr="00603388">
        <w:rPr>
          <w:rFonts w:ascii="Tahoma" w:eastAsia="Andale Sans UI" w:hAnsi="Tahoma" w:cs="Tahoma"/>
          <w:color w:val="000000"/>
          <w:kern w:val="2"/>
          <w:sz w:val="20"/>
          <w:szCs w:val="20"/>
          <w:lang w:eastAsia="fa-IR" w:bidi="fa-IR"/>
          <w14:ligatures w14:val="standardContextual"/>
        </w:rPr>
        <w:lastRenderedPageBreak/>
        <w:t xml:space="preserve">Aunado a ello, </w:t>
      </w:r>
      <w:r w:rsidRPr="00603388">
        <w:rPr>
          <w:rFonts w:ascii="Tahoma" w:eastAsia="Andale Sans UI" w:hAnsi="Tahoma" w:cs="Tahoma"/>
          <w:kern w:val="2"/>
          <w:sz w:val="20"/>
          <w:szCs w:val="20"/>
          <w:lang w:eastAsia="fa-IR" w:bidi="fa-IR"/>
          <w14:ligatures w14:val="standardContextual"/>
        </w:rPr>
        <w:t>el Nuevo Código Procesal Penal es absolutamente garantista, partiendo del respeto a la persona humana, tanto para la parte investigada como para quien reclama la condición de agraviado en un hecho ilícito. En este contexto, impulsar una persecución penal formal cuando el análisis realizado dice que finalmente no se podrá destruir la presunción de inocencia y obtener una sentencia condenatoria representa una injerencia ilegítima, por innecesaria e inútil, en el plexo de los derechos fundamentales de las personas a las que se les atribuye la comisión de un delito: resultando, por tanto, constitucionalmente inadmisible. Pero no sólo ello, sino que el inicio de una persecución penal formal en las condiciones apuntadas también resulta inadmisible desde la perspectiva del respeto que se debe a la dignidad y derechos fundamentales de los agraviados; pues, persiguiendo formalmente casos que no tienen de inicio un pronóstico positivo de éxito, se crean expectativas irreales en los agraviados y se les hace invertir inútilmente tiempo y recursos en el seguimiento de las causas, se les vuelve a hacer víctimas, pero esta vez del sistema de justicia penal, lo que también resulta constitucionalmente inadmisible.</w:t>
      </w:r>
    </w:p>
    <w:p w14:paraId="39F4CBB1" w14:textId="77777777" w:rsidR="00222156" w:rsidRPr="00BD09CB" w:rsidRDefault="00222156" w:rsidP="00222156">
      <w:pPr>
        <w:spacing w:line="240" w:lineRule="auto"/>
        <w:ind w:left="1560" w:right="-1"/>
        <w:contextualSpacing/>
        <w:jc w:val="both"/>
        <w:rPr>
          <w:rFonts w:ascii="Tahoma" w:eastAsia="Arial Unicode MS" w:hAnsi="Tahoma" w:cs="Tahoma"/>
          <w:b/>
          <w:bCs/>
          <w:i/>
          <w:iCs/>
          <w:kern w:val="2"/>
          <w:sz w:val="20"/>
          <w:szCs w:val="20"/>
          <w:u w:val="single"/>
          <w:lang w:eastAsia="hi-IN"/>
        </w:rPr>
      </w:pPr>
    </w:p>
    <w:p w14:paraId="7F372535" w14:textId="77777777" w:rsidR="00222156" w:rsidRPr="00BD09CB" w:rsidRDefault="00222156" w:rsidP="00222156">
      <w:pPr>
        <w:spacing w:line="240" w:lineRule="auto"/>
        <w:ind w:right="-1"/>
        <w:contextualSpacing/>
        <w:jc w:val="both"/>
        <w:rPr>
          <w:rFonts w:ascii="Tahoma" w:eastAsia="Andale Sans UI" w:hAnsi="Tahoma" w:cs="Tahoma"/>
          <w:b/>
          <w:bCs/>
          <w:iCs/>
          <w:sz w:val="20"/>
          <w:szCs w:val="20"/>
          <w:lang w:eastAsia="fa-IR" w:bidi="fa-IR"/>
        </w:rPr>
      </w:pPr>
      <w:r w:rsidRPr="00BD09CB">
        <w:rPr>
          <w:rFonts w:ascii="Tahoma" w:eastAsia="Andale Sans UI" w:hAnsi="Tahoma" w:cs="Tahoma"/>
          <w:b/>
          <w:bCs/>
          <w:iCs/>
          <w:sz w:val="20"/>
          <w:szCs w:val="20"/>
          <w:lang w:eastAsia="fa-IR" w:bidi="fa-IR"/>
        </w:rPr>
        <w:t>QUINTO: ANÁLISIS DEL CASO EN CONCRETO</w:t>
      </w:r>
    </w:p>
    <w:p w14:paraId="019B4F47" w14:textId="77777777" w:rsidR="00222156" w:rsidRPr="00BD09CB" w:rsidRDefault="00222156" w:rsidP="00222156">
      <w:pPr>
        <w:widowControl w:val="0"/>
        <w:suppressAutoHyphens/>
        <w:autoSpaceDN w:val="0"/>
        <w:spacing w:line="240" w:lineRule="auto"/>
        <w:ind w:left="360" w:right="-1"/>
        <w:contextualSpacing/>
        <w:jc w:val="both"/>
        <w:textAlignment w:val="baseline"/>
        <w:rPr>
          <w:rFonts w:ascii="Tahoma" w:eastAsia="Andale Sans UI" w:hAnsi="Tahoma" w:cs="Tahoma"/>
          <w:b/>
          <w:bCs/>
          <w:iCs/>
          <w:sz w:val="20"/>
          <w:szCs w:val="20"/>
          <w:lang w:eastAsia="fa-IR" w:bidi="fa-IR"/>
        </w:rPr>
      </w:pPr>
    </w:p>
    <w:p w14:paraId="3E3D155C" w14:textId="2A5D7A7D" w:rsidR="00222156" w:rsidRPr="00603388" w:rsidRDefault="00222156" w:rsidP="00222156">
      <w:pPr>
        <w:pStyle w:val="NormalWeb"/>
        <w:numPr>
          <w:ilvl w:val="0"/>
          <w:numId w:val="2"/>
        </w:numPr>
        <w:spacing w:before="0" w:beforeAutospacing="0" w:after="0"/>
        <w:ind w:left="426" w:hanging="426"/>
        <w:contextualSpacing/>
        <w:jc w:val="both"/>
        <w:rPr>
          <w:rFonts w:ascii="Tahoma" w:eastAsia="Andale Sans UI" w:hAnsi="Tahoma" w:cs="Tahoma"/>
          <w:sz w:val="20"/>
          <w:szCs w:val="20"/>
          <w:lang w:eastAsia="fa-IR" w:bidi="fa-IR"/>
        </w:rPr>
      </w:pPr>
      <w:r w:rsidRPr="00603388">
        <w:rPr>
          <w:rFonts w:ascii="Tahoma" w:eastAsia="Andale Sans UI" w:hAnsi="Tahoma" w:cs="Tahoma"/>
          <w:sz w:val="20"/>
          <w:szCs w:val="20"/>
          <w:lang w:eastAsia="fa-IR" w:bidi="fa-IR"/>
        </w:rPr>
        <w:t xml:space="preserve">En el presente caso, se tiene que </w:t>
      </w:r>
      <w:r>
        <w:rPr>
          <w:rFonts w:ascii="Tahoma" w:eastAsia="Andale Sans UI" w:hAnsi="Tahoma" w:cs="Tahoma"/>
          <w:sz w:val="20"/>
          <w:szCs w:val="20"/>
          <w:lang w:eastAsia="fa-IR" w:bidi="fa-IR"/>
        </w:rPr>
        <w:t>la</w:t>
      </w:r>
      <w:r w:rsidRPr="00603388">
        <w:rPr>
          <w:rFonts w:ascii="Tahoma" w:eastAsia="Andale Sans UI" w:hAnsi="Tahoma" w:cs="Tahoma"/>
          <w:sz w:val="20"/>
          <w:szCs w:val="20"/>
          <w:lang w:eastAsia="fa-IR" w:bidi="fa-IR"/>
        </w:rPr>
        <w:t xml:space="preserve"> denunciante </w:t>
      </w:r>
      <w:r>
        <w:rPr>
          <w:rFonts w:ascii="Tahoma" w:eastAsia="Andale Sans UI" w:hAnsi="Tahoma" w:cs="Tahoma"/>
          <w:sz w:val="20"/>
          <w:szCs w:val="20"/>
          <w:lang w:eastAsia="fa-IR" w:bidi="fa-IR"/>
        </w:rPr>
        <w:t>&lt;&lt;agraviado&gt;&gt;</w:t>
      </w:r>
      <w:r w:rsidRPr="00603388">
        <w:rPr>
          <w:rFonts w:ascii="Tahoma" w:eastAsia="Andale Sans UI" w:hAnsi="Tahoma" w:cs="Tahoma"/>
          <w:sz w:val="20"/>
          <w:szCs w:val="20"/>
          <w:lang w:eastAsia="fa-IR" w:bidi="fa-IR"/>
        </w:rPr>
        <w:t xml:space="preserve"> señaló que</w:t>
      </w:r>
      <w:r>
        <w:rPr>
          <w:rFonts w:ascii="Tahoma" w:eastAsia="Andale Sans UI" w:hAnsi="Tahoma" w:cs="Tahoma"/>
          <w:sz w:val="20"/>
          <w:szCs w:val="20"/>
          <w:lang w:eastAsia="fa-IR" w:bidi="fa-IR"/>
        </w:rPr>
        <w:t>:</w:t>
      </w:r>
      <w:r w:rsidRPr="00603388">
        <w:rPr>
          <w:rFonts w:ascii="Tahoma" w:eastAsia="Andale Sans UI" w:hAnsi="Tahoma" w:cs="Tahoma"/>
          <w:sz w:val="20"/>
          <w:szCs w:val="20"/>
          <w:lang w:eastAsia="fa-IR" w:bidi="fa-IR"/>
        </w:rPr>
        <w:t xml:space="preserve"> </w:t>
      </w:r>
      <w:r>
        <w:rPr>
          <w:rFonts w:ascii="Tahoma" w:eastAsia="Andale Sans UI" w:hAnsi="Tahoma" w:cs="Tahoma"/>
          <w:sz w:val="20"/>
          <w:szCs w:val="20"/>
          <w:lang w:eastAsia="fa-IR" w:bidi="fa-IR"/>
        </w:rPr>
        <w:t>&lt;&lt;</w:t>
      </w:r>
      <w:proofErr w:type="spellStart"/>
      <w:r>
        <w:rPr>
          <w:rFonts w:ascii="Tahoma" w:eastAsia="Andale Sans UI" w:hAnsi="Tahoma" w:cs="Tahoma"/>
          <w:sz w:val="20"/>
          <w:szCs w:val="20"/>
          <w:lang w:eastAsia="fa-IR" w:bidi="fa-IR"/>
        </w:rPr>
        <w:t>hechos</w:t>
      </w:r>
      <w:r w:rsidR="00A0011E">
        <w:rPr>
          <w:rFonts w:ascii="Tahoma" w:eastAsia="Andale Sans UI" w:hAnsi="Tahoma" w:cs="Tahoma"/>
          <w:sz w:val="20"/>
          <w:szCs w:val="20"/>
          <w:lang w:eastAsia="fa-IR" w:bidi="fa-IR"/>
        </w:rPr>
        <w:t>_hurto</w:t>
      </w:r>
      <w:proofErr w:type="spellEnd"/>
      <w:r>
        <w:rPr>
          <w:rFonts w:ascii="Tahoma" w:eastAsia="Andale Sans UI" w:hAnsi="Tahoma" w:cs="Tahoma"/>
          <w:sz w:val="20"/>
          <w:szCs w:val="20"/>
          <w:lang w:eastAsia="fa-IR" w:bidi="fa-IR"/>
        </w:rPr>
        <w:t>&gt;&gt;</w:t>
      </w:r>
    </w:p>
    <w:p w14:paraId="48693799" w14:textId="77777777" w:rsidR="00222156" w:rsidRPr="00603388" w:rsidRDefault="00222156" w:rsidP="00222156">
      <w:pPr>
        <w:pStyle w:val="NormalWeb"/>
        <w:spacing w:before="0" w:beforeAutospacing="0" w:after="0"/>
        <w:ind w:left="426"/>
        <w:contextualSpacing/>
        <w:jc w:val="both"/>
        <w:rPr>
          <w:rFonts w:ascii="Tahoma" w:eastAsia="Andale Sans UI" w:hAnsi="Tahoma" w:cs="Tahoma"/>
          <w:sz w:val="20"/>
          <w:szCs w:val="20"/>
          <w:lang w:eastAsia="fa-IR" w:bidi="fa-IR"/>
        </w:rPr>
      </w:pPr>
    </w:p>
    <w:p w14:paraId="0786D156" w14:textId="4FF52DE1" w:rsidR="00222156" w:rsidRPr="00603388" w:rsidRDefault="00D32679" w:rsidP="00222156">
      <w:pPr>
        <w:pStyle w:val="NormalWeb"/>
        <w:numPr>
          <w:ilvl w:val="0"/>
          <w:numId w:val="2"/>
        </w:numPr>
        <w:spacing w:before="0" w:beforeAutospacing="0" w:after="0"/>
        <w:ind w:left="426" w:hanging="426"/>
        <w:contextualSpacing/>
        <w:jc w:val="both"/>
        <w:rPr>
          <w:rFonts w:ascii="Tahoma" w:eastAsia="Andale Sans UI" w:hAnsi="Tahoma" w:cs="Tahoma"/>
          <w:sz w:val="20"/>
          <w:szCs w:val="20"/>
          <w:lang w:eastAsia="fa-IR" w:bidi="fa-IR"/>
        </w:rPr>
      </w:pPr>
      <w:r>
        <w:rPr>
          <w:rFonts w:ascii="Tahoma" w:eastAsia="Andale Sans UI" w:hAnsi="Tahoma" w:cs="Tahoma"/>
          <w:sz w:val="20"/>
          <w:szCs w:val="20"/>
          <w:lang w:eastAsia="fa-IR" w:bidi="fa-IR"/>
        </w:rPr>
        <w:t>&lt;&lt;</w:t>
      </w:r>
      <w:proofErr w:type="spellStart"/>
      <w:r>
        <w:rPr>
          <w:rFonts w:ascii="Tahoma" w:eastAsia="Andale Sans UI" w:hAnsi="Tahoma" w:cs="Tahoma"/>
          <w:sz w:val="20"/>
          <w:szCs w:val="20"/>
          <w:lang w:eastAsia="fa-IR" w:bidi="fa-IR"/>
        </w:rPr>
        <w:t>parrafo_hurto</w:t>
      </w:r>
      <w:proofErr w:type="spellEnd"/>
      <w:r>
        <w:rPr>
          <w:rFonts w:ascii="Tahoma" w:eastAsia="Andale Sans UI" w:hAnsi="Tahoma" w:cs="Tahoma"/>
          <w:sz w:val="20"/>
          <w:szCs w:val="20"/>
          <w:lang w:eastAsia="fa-IR" w:bidi="fa-IR"/>
        </w:rPr>
        <w:t>&gt;&gt;</w:t>
      </w:r>
    </w:p>
    <w:p w14:paraId="5A19812B" w14:textId="77777777" w:rsidR="00222156" w:rsidRPr="00603388" w:rsidRDefault="00222156" w:rsidP="00222156">
      <w:pPr>
        <w:pStyle w:val="Prrafodelista"/>
        <w:spacing w:line="240" w:lineRule="auto"/>
        <w:rPr>
          <w:rFonts w:ascii="Tahoma" w:eastAsia="Andale Sans UI" w:hAnsi="Tahoma" w:cs="Tahoma"/>
          <w:sz w:val="20"/>
          <w:szCs w:val="20"/>
          <w:lang w:val="es-PE" w:eastAsia="fa-IR" w:bidi="fa-IR"/>
        </w:rPr>
      </w:pPr>
    </w:p>
    <w:p w14:paraId="1F7D3FEA" w14:textId="77777777" w:rsidR="00222156" w:rsidRPr="00603388" w:rsidRDefault="00222156" w:rsidP="00222156">
      <w:pPr>
        <w:pStyle w:val="NormalWeb"/>
        <w:numPr>
          <w:ilvl w:val="0"/>
          <w:numId w:val="2"/>
        </w:numPr>
        <w:spacing w:before="0" w:beforeAutospacing="0" w:after="0"/>
        <w:ind w:left="426" w:hanging="426"/>
        <w:contextualSpacing/>
        <w:jc w:val="both"/>
        <w:rPr>
          <w:rFonts w:ascii="Tahoma" w:eastAsia="Andale Sans UI" w:hAnsi="Tahoma" w:cs="Tahoma"/>
          <w:sz w:val="20"/>
          <w:szCs w:val="20"/>
          <w:lang w:eastAsia="fa-IR" w:bidi="fa-IR"/>
        </w:rPr>
      </w:pPr>
      <w:r w:rsidRPr="00603388">
        <w:rPr>
          <w:rFonts w:ascii="Tahoma" w:eastAsia="Andale Sans UI" w:hAnsi="Tahoma" w:cs="Tahoma"/>
          <w:sz w:val="20"/>
          <w:szCs w:val="20"/>
          <w:lang w:eastAsia="fa-IR" w:bidi="fa-IR"/>
        </w:rPr>
        <w:t>En tal sentido, este despacho fiscal no cuenta con información precisa sobre las circunstancias del hecho ni sobre el presunto responsable</w:t>
      </w:r>
      <w:r w:rsidRPr="00BD09CB">
        <w:rPr>
          <w:rFonts w:ascii="Tahoma" w:eastAsia="Arial Unicode MS" w:hAnsi="Tahoma" w:cs="Tahoma"/>
          <w:kern w:val="1"/>
          <w:sz w:val="20"/>
          <w:szCs w:val="20"/>
          <w:lang w:eastAsia="hi-IN" w:bidi="hi-IN"/>
        </w:rPr>
        <w:t>, razón por la cual no existen, ni es posible obtener elementos objetivos que permitan identificar, individualizar o determinar a la persona o personas</w:t>
      </w:r>
      <w:r>
        <w:rPr>
          <w:rFonts w:ascii="Tahoma" w:eastAsia="Arial Unicode MS" w:hAnsi="Tahoma" w:cs="Tahoma"/>
          <w:kern w:val="1"/>
          <w:sz w:val="20"/>
          <w:szCs w:val="20"/>
          <w:lang w:eastAsia="hi-IN" w:bidi="hi-IN"/>
        </w:rPr>
        <w:t xml:space="preserve"> que participaron</w:t>
      </w:r>
      <w:r w:rsidRPr="00603388">
        <w:rPr>
          <w:rFonts w:ascii="Tahoma" w:eastAsia="Andale Sans UI" w:hAnsi="Tahoma" w:cs="Tahoma"/>
          <w:sz w:val="20"/>
          <w:szCs w:val="20"/>
          <w:lang w:eastAsia="fa-IR" w:bidi="fa-IR"/>
        </w:rPr>
        <w:t>. Por tanto, corresponde disponer el archivo liminar en este extremo de la denuncia.</w:t>
      </w:r>
    </w:p>
    <w:p w14:paraId="2309C010" w14:textId="77777777" w:rsidR="00222156" w:rsidRPr="00603388" w:rsidRDefault="00222156" w:rsidP="00222156">
      <w:pPr>
        <w:pStyle w:val="Prrafodelista"/>
        <w:spacing w:line="240" w:lineRule="auto"/>
        <w:rPr>
          <w:rFonts w:ascii="Tahoma" w:eastAsia="Andale Sans UI" w:hAnsi="Tahoma" w:cs="Tahoma"/>
          <w:sz w:val="20"/>
          <w:szCs w:val="20"/>
          <w:lang w:val="es-PE" w:eastAsia="fa-IR" w:bidi="fa-IR"/>
        </w:rPr>
      </w:pPr>
    </w:p>
    <w:p w14:paraId="4819E74D" w14:textId="2C1A0F4F" w:rsidR="00222156" w:rsidRPr="00603388" w:rsidRDefault="00222156" w:rsidP="00222156">
      <w:pPr>
        <w:pStyle w:val="NormalWeb"/>
        <w:numPr>
          <w:ilvl w:val="0"/>
          <w:numId w:val="2"/>
        </w:numPr>
        <w:spacing w:before="0" w:beforeAutospacing="0" w:after="0"/>
        <w:ind w:left="426" w:hanging="426"/>
        <w:contextualSpacing/>
        <w:jc w:val="both"/>
        <w:rPr>
          <w:rFonts w:ascii="Tahoma" w:eastAsia="Andale Sans UI" w:hAnsi="Tahoma" w:cs="Tahoma"/>
          <w:sz w:val="20"/>
          <w:szCs w:val="20"/>
          <w:lang w:eastAsia="fa-IR" w:bidi="fa-IR"/>
        </w:rPr>
      </w:pPr>
      <w:r w:rsidRPr="00603388">
        <w:rPr>
          <w:rFonts w:ascii="Tahoma" w:eastAsia="Andale Sans UI" w:hAnsi="Tahoma" w:cs="Tahoma"/>
          <w:sz w:val="20"/>
          <w:szCs w:val="20"/>
          <w:lang w:eastAsia="fa-IR" w:bidi="fa-IR"/>
        </w:rPr>
        <w:t xml:space="preserve">Por otro lado, respecto a la naturaleza de los delitos informáticos investigados por esta Fiscalía Especializada, cabe señalar que estos requieren, en la mayoría de </w:t>
      </w:r>
      <w:r w:rsidR="00D32679" w:rsidRPr="00603388">
        <w:rPr>
          <w:rFonts w:ascii="Tahoma" w:eastAsia="Andale Sans UI" w:hAnsi="Tahoma" w:cs="Tahoma"/>
          <w:sz w:val="20"/>
          <w:szCs w:val="20"/>
          <w:lang w:eastAsia="fa-IR" w:bidi="fa-IR"/>
        </w:rPr>
        <w:t>los casos</w:t>
      </w:r>
      <w:r w:rsidRPr="00603388">
        <w:rPr>
          <w:rFonts w:ascii="Tahoma" w:eastAsia="Andale Sans UI" w:hAnsi="Tahoma" w:cs="Tahoma"/>
          <w:sz w:val="20"/>
          <w:szCs w:val="20"/>
          <w:lang w:eastAsia="fa-IR" w:bidi="fa-IR"/>
        </w:rPr>
        <w:t>, del recojo de evidencia digital, la cual presenta desafíos específicos relacionados con su volumen, velocidad, volatilidad y fragilidad, lo que exige condiciones técnicas estrictas para su adecuada autenticación y conservación.</w:t>
      </w:r>
    </w:p>
    <w:p w14:paraId="25312388" w14:textId="77777777" w:rsidR="00222156" w:rsidRPr="00603388" w:rsidRDefault="00222156" w:rsidP="00222156">
      <w:pPr>
        <w:pStyle w:val="NormalWeb"/>
        <w:spacing w:before="0" w:beforeAutospacing="0" w:after="0"/>
        <w:contextualSpacing/>
        <w:jc w:val="both"/>
        <w:rPr>
          <w:rFonts w:ascii="Tahoma" w:eastAsia="Andale Sans UI" w:hAnsi="Tahoma" w:cs="Tahoma"/>
          <w:sz w:val="20"/>
          <w:szCs w:val="20"/>
          <w:lang w:eastAsia="fa-IR" w:bidi="fa-IR"/>
        </w:rPr>
      </w:pPr>
    </w:p>
    <w:p w14:paraId="692CDFF6" w14:textId="6C8DC7CB" w:rsidR="00222156" w:rsidRPr="00603388" w:rsidRDefault="00222156" w:rsidP="00222156">
      <w:pPr>
        <w:pStyle w:val="NormalWeb"/>
        <w:numPr>
          <w:ilvl w:val="0"/>
          <w:numId w:val="2"/>
        </w:numPr>
        <w:spacing w:before="0" w:beforeAutospacing="0" w:after="0"/>
        <w:ind w:left="426" w:hanging="426"/>
        <w:contextualSpacing/>
        <w:jc w:val="both"/>
        <w:rPr>
          <w:rFonts w:ascii="Tahoma" w:eastAsia="Andale Sans UI" w:hAnsi="Tahoma" w:cs="Tahoma"/>
          <w:sz w:val="20"/>
          <w:szCs w:val="20"/>
          <w:lang w:eastAsia="fa-IR" w:bidi="fa-IR"/>
        </w:rPr>
      </w:pPr>
      <w:r w:rsidRPr="00603388">
        <w:rPr>
          <w:rFonts w:ascii="Tahoma" w:eastAsia="Andale Sans UI" w:hAnsi="Tahoma" w:cs="Tahoma"/>
          <w:sz w:val="20"/>
          <w:szCs w:val="20"/>
          <w:lang w:eastAsia="fa-IR" w:bidi="fa-IR"/>
        </w:rPr>
        <w:t xml:space="preserve">En ese sentido, del análisis del presunto fraude informático, se tiene que el denunciante señaló en su denuncia que: </w:t>
      </w:r>
      <w:r w:rsidR="008364EE" w:rsidRPr="008364EE">
        <w:rPr>
          <w:rFonts w:ascii="Tahoma" w:eastAsia="Andale Sans UI" w:hAnsi="Tahoma" w:cs="Tahoma"/>
          <w:iCs/>
          <w:sz w:val="20"/>
          <w:szCs w:val="20"/>
          <w:lang w:eastAsia="fa-IR" w:bidi="fa-IR"/>
        </w:rPr>
        <w:t>&lt;&lt;</w:t>
      </w:r>
      <w:proofErr w:type="spellStart"/>
      <w:r w:rsidR="008364EE" w:rsidRPr="008364EE">
        <w:rPr>
          <w:rFonts w:ascii="Tahoma" w:eastAsia="Andale Sans UI" w:hAnsi="Tahoma" w:cs="Tahoma"/>
          <w:iCs/>
          <w:sz w:val="20"/>
          <w:szCs w:val="20"/>
          <w:lang w:eastAsia="fa-IR" w:bidi="fa-IR"/>
        </w:rPr>
        <w:t>hechos</w:t>
      </w:r>
      <w:r w:rsidR="00A0011E">
        <w:rPr>
          <w:rFonts w:ascii="Tahoma" w:eastAsia="Andale Sans UI" w:hAnsi="Tahoma" w:cs="Tahoma"/>
          <w:iCs/>
          <w:sz w:val="20"/>
          <w:szCs w:val="20"/>
          <w:lang w:eastAsia="fa-IR" w:bidi="fa-IR"/>
        </w:rPr>
        <w:t>_fraude</w:t>
      </w:r>
      <w:proofErr w:type="spellEnd"/>
      <w:r w:rsidR="008364EE" w:rsidRPr="008364EE">
        <w:rPr>
          <w:rFonts w:ascii="Tahoma" w:eastAsia="Andale Sans UI" w:hAnsi="Tahoma" w:cs="Tahoma"/>
          <w:iCs/>
          <w:sz w:val="20"/>
          <w:szCs w:val="20"/>
          <w:lang w:eastAsia="fa-IR" w:bidi="fa-IR"/>
        </w:rPr>
        <w:t>&gt;&gt;</w:t>
      </w:r>
    </w:p>
    <w:p w14:paraId="7998CC1C" w14:textId="77777777" w:rsidR="00222156" w:rsidRPr="00603388" w:rsidRDefault="00222156" w:rsidP="00222156">
      <w:pPr>
        <w:pStyle w:val="NormalWeb"/>
        <w:spacing w:before="0" w:beforeAutospacing="0" w:after="0"/>
        <w:contextualSpacing/>
        <w:jc w:val="both"/>
        <w:rPr>
          <w:rFonts w:ascii="Tahoma" w:eastAsia="Andale Sans UI" w:hAnsi="Tahoma" w:cs="Tahoma"/>
          <w:sz w:val="20"/>
          <w:szCs w:val="20"/>
          <w:lang w:eastAsia="fa-IR" w:bidi="fa-IR"/>
        </w:rPr>
      </w:pPr>
    </w:p>
    <w:p w14:paraId="75DB5604" w14:textId="77777777" w:rsidR="00222156" w:rsidRPr="00603388" w:rsidRDefault="00222156" w:rsidP="00222156">
      <w:pPr>
        <w:pStyle w:val="NormalWeb"/>
        <w:numPr>
          <w:ilvl w:val="0"/>
          <w:numId w:val="2"/>
        </w:numPr>
        <w:spacing w:before="0" w:beforeAutospacing="0" w:after="0"/>
        <w:ind w:left="426" w:hanging="426"/>
        <w:contextualSpacing/>
        <w:jc w:val="both"/>
        <w:rPr>
          <w:rFonts w:ascii="Tahoma" w:eastAsia="Andale Sans UI" w:hAnsi="Tahoma" w:cs="Tahoma"/>
          <w:sz w:val="20"/>
          <w:szCs w:val="20"/>
          <w:lang w:eastAsia="fa-IR" w:bidi="fa-IR"/>
        </w:rPr>
      </w:pPr>
      <w:r w:rsidRPr="00603388">
        <w:rPr>
          <w:rFonts w:ascii="Tahoma" w:eastAsia="Andale Sans UI" w:hAnsi="Tahoma" w:cs="Tahoma"/>
          <w:sz w:val="20"/>
          <w:szCs w:val="20"/>
          <w:lang w:eastAsia="fa-IR" w:bidi="fa-IR"/>
        </w:rPr>
        <w:t xml:space="preserve">Estando a ello, </w:t>
      </w:r>
      <w:r w:rsidRPr="00B16AB7">
        <w:rPr>
          <w:rFonts w:ascii="Tahoma" w:eastAsia="Andale Sans UI" w:hAnsi="Tahoma" w:cs="Tahoma"/>
          <w:sz w:val="20"/>
          <w:szCs w:val="20"/>
          <w:lang w:eastAsia="fa-IR" w:bidi="fa-IR"/>
        </w:rPr>
        <w:t xml:space="preserve">corresponde </w:t>
      </w:r>
      <w:r w:rsidRPr="00603388">
        <w:rPr>
          <w:rFonts w:ascii="Tahoma" w:eastAsia="Andale Sans UI" w:hAnsi="Tahoma" w:cs="Tahoma"/>
          <w:sz w:val="20"/>
          <w:szCs w:val="20"/>
          <w:lang w:eastAsia="fa-IR" w:bidi="fa-IR"/>
        </w:rPr>
        <w:t xml:space="preserve">tener en cuenta los principios del Derecho Penal. Siendo así, resulta pertinente referirnos al principio de lesividad, </w:t>
      </w:r>
      <w:r w:rsidRPr="00603388">
        <w:rPr>
          <w:rFonts w:ascii="Tahoma" w:eastAsia="Andale Sans UI" w:hAnsi="Tahoma" w:cs="Tahoma"/>
          <w:b/>
          <w:bCs/>
          <w:i/>
          <w:iCs/>
          <w:sz w:val="20"/>
          <w:szCs w:val="20"/>
          <w:lang w:eastAsia="fa-IR" w:bidi="fa-IR"/>
        </w:rPr>
        <w:t>según el cual la pena solo se justifica ante afectaciones graves a bienes jurídicos</w:t>
      </w:r>
      <w:r w:rsidRPr="00603388">
        <w:rPr>
          <w:rFonts w:ascii="Tahoma" w:eastAsia="Andale Sans UI" w:hAnsi="Tahoma" w:cs="Tahoma"/>
          <w:sz w:val="20"/>
          <w:szCs w:val="20"/>
          <w:lang w:eastAsia="fa-IR" w:bidi="fa-IR"/>
        </w:rPr>
        <w:t xml:space="preserve">; sin embargo, no toda afectación patrimonial tiene entidad suficiente para activar el sistema penal, sino únicamente aquellas que revisten un grado de gravedad significativo y que no pueden ser abordadas mediante otros mecanismos de control social menos severos; </w:t>
      </w:r>
      <w:r w:rsidRPr="00BD09CB">
        <w:rPr>
          <w:rFonts w:ascii="Tahoma" w:hAnsi="Tahoma" w:cs="Tahoma"/>
          <w:color w:val="000000"/>
          <w:sz w:val="20"/>
          <w:szCs w:val="20"/>
        </w:rPr>
        <w:t>en ese sentido, para la materialización de un delito se requiere que el sujeto activo haya cometido un hecho lo suficientemente grave como para ser objeto de represión penal y no un simple desliz disciplinario</w:t>
      </w:r>
      <w:r w:rsidRPr="00BD09CB">
        <w:rPr>
          <w:rStyle w:val="Refdenotaalpie"/>
          <w:rFonts w:ascii="Tahoma" w:hAnsi="Tahoma" w:cs="Tahoma"/>
          <w:color w:val="000000"/>
          <w:sz w:val="20"/>
          <w:szCs w:val="20"/>
        </w:rPr>
        <w:footnoteReference w:id="4"/>
      </w:r>
      <w:r w:rsidRPr="00BD09CB">
        <w:rPr>
          <w:rFonts w:ascii="Tahoma" w:hAnsi="Tahoma" w:cs="Tahoma"/>
          <w:color w:val="000000"/>
          <w:sz w:val="20"/>
          <w:szCs w:val="20"/>
        </w:rPr>
        <w:t xml:space="preserve">.   </w:t>
      </w:r>
    </w:p>
    <w:p w14:paraId="7A7FBD6D" w14:textId="77777777" w:rsidR="00222156" w:rsidRPr="00BD09CB" w:rsidRDefault="00222156" w:rsidP="00222156">
      <w:pPr>
        <w:pStyle w:val="Prrafodelista"/>
        <w:spacing w:line="240" w:lineRule="auto"/>
        <w:rPr>
          <w:rFonts w:ascii="Tahoma" w:hAnsi="Tahoma" w:cs="Tahoma"/>
          <w:iCs/>
          <w:sz w:val="20"/>
          <w:szCs w:val="20"/>
        </w:rPr>
      </w:pPr>
    </w:p>
    <w:p w14:paraId="1193070C" w14:textId="77777777" w:rsidR="00222156" w:rsidRPr="00603388" w:rsidRDefault="00222156" w:rsidP="00222156">
      <w:pPr>
        <w:pStyle w:val="NormalWeb"/>
        <w:numPr>
          <w:ilvl w:val="0"/>
          <w:numId w:val="2"/>
        </w:numPr>
        <w:spacing w:before="0" w:beforeAutospacing="0" w:after="0"/>
        <w:ind w:left="426" w:hanging="426"/>
        <w:contextualSpacing/>
        <w:jc w:val="both"/>
        <w:rPr>
          <w:rFonts w:ascii="Tahoma" w:eastAsia="Andale Sans UI" w:hAnsi="Tahoma" w:cs="Tahoma"/>
          <w:sz w:val="20"/>
          <w:szCs w:val="20"/>
          <w:lang w:eastAsia="fa-IR" w:bidi="fa-IR"/>
        </w:rPr>
      </w:pPr>
      <w:r w:rsidRPr="00BD09CB">
        <w:rPr>
          <w:rFonts w:ascii="Tahoma" w:hAnsi="Tahoma" w:cs="Tahoma"/>
          <w:iCs/>
          <w:sz w:val="20"/>
          <w:szCs w:val="20"/>
        </w:rPr>
        <w:t xml:space="preserve">En </w:t>
      </w:r>
      <w:r w:rsidRPr="00BD09CB">
        <w:rPr>
          <w:rFonts w:ascii="Tahoma" w:hAnsi="Tahoma" w:cs="Tahoma"/>
          <w:sz w:val="20"/>
          <w:szCs w:val="20"/>
        </w:rPr>
        <w:t>cuanto</w:t>
      </w:r>
      <w:r w:rsidRPr="00BD09CB">
        <w:rPr>
          <w:rFonts w:ascii="Tahoma" w:hAnsi="Tahoma" w:cs="Tahoma"/>
          <w:iCs/>
          <w:sz w:val="20"/>
          <w:szCs w:val="20"/>
        </w:rPr>
        <w:t xml:space="preserve"> al principio de mínima intervención del Derecho Penal, debe tenerse en cuenta que la doctrina nacional e internacional, ya reconocen que el Derecho Penal, como medio de control social, es la “última ratio” de modo tal que el ciudadano lo utilizará para resolver </w:t>
      </w:r>
      <w:r w:rsidRPr="00BD09CB">
        <w:rPr>
          <w:rFonts w:ascii="Tahoma" w:hAnsi="Tahoma" w:cs="Tahoma"/>
          <w:iCs/>
          <w:sz w:val="20"/>
          <w:szCs w:val="20"/>
        </w:rPr>
        <w:lastRenderedPageBreak/>
        <w:t xml:space="preserve">conflictos cuando todos los otros controles han fracasado. Estando a ello, la Corte Suprema, al resolver el Recurso de Nulidad </w:t>
      </w:r>
      <w:proofErr w:type="spellStart"/>
      <w:r w:rsidRPr="00BD09CB">
        <w:rPr>
          <w:rFonts w:ascii="Tahoma" w:hAnsi="Tahoma" w:cs="Tahoma"/>
          <w:iCs/>
          <w:sz w:val="20"/>
          <w:szCs w:val="20"/>
        </w:rPr>
        <w:t>N°</w:t>
      </w:r>
      <w:proofErr w:type="spellEnd"/>
      <w:r w:rsidRPr="00BD09CB">
        <w:rPr>
          <w:rFonts w:ascii="Tahoma" w:hAnsi="Tahoma" w:cs="Tahoma"/>
          <w:iCs/>
          <w:sz w:val="20"/>
          <w:szCs w:val="20"/>
        </w:rPr>
        <w:t xml:space="preserve"> 3004-2012- Cajamarca, ha señalado: “En aplicación del principio de mínima intervención el ejercicio del </w:t>
      </w:r>
      <w:r w:rsidRPr="00BD09CB">
        <w:rPr>
          <w:rFonts w:ascii="Tahoma" w:hAnsi="Tahoma" w:cs="Tahoma"/>
          <w:i/>
          <w:iCs/>
          <w:sz w:val="20"/>
          <w:szCs w:val="20"/>
        </w:rPr>
        <w:t>ius puniendi</w:t>
      </w:r>
      <w:r w:rsidRPr="00BD09CB">
        <w:rPr>
          <w:rFonts w:ascii="Tahoma" w:hAnsi="Tahoma" w:cs="Tahoma"/>
          <w:iCs/>
          <w:sz w:val="20"/>
          <w:szCs w:val="20"/>
        </w:rPr>
        <w:t xml:space="preserve"> debe operar cuando las demás alternativas de control han fallado, es decir, que carece de sentido la intervención del Derecho Penal cuando existe la posibilidad de utilizar otros medios o instrumentos jurídicos que permiten la solución del conflicto lo más satisfactoriamente posible tanto para el imputado como para la sociedad”.</w:t>
      </w:r>
    </w:p>
    <w:p w14:paraId="508201FE" w14:textId="77777777" w:rsidR="00222156" w:rsidRPr="00603388" w:rsidRDefault="00222156" w:rsidP="00222156">
      <w:pPr>
        <w:pStyle w:val="Prrafodelista"/>
        <w:spacing w:line="240" w:lineRule="auto"/>
        <w:rPr>
          <w:rFonts w:ascii="Tahoma" w:eastAsia="Andale Sans UI" w:hAnsi="Tahoma" w:cs="Tahoma"/>
          <w:sz w:val="20"/>
          <w:szCs w:val="20"/>
          <w:lang w:val="es-PE" w:eastAsia="fa-IR" w:bidi="fa-IR"/>
        </w:rPr>
      </w:pPr>
    </w:p>
    <w:p w14:paraId="269354AD" w14:textId="0F4B16FD" w:rsidR="00222156" w:rsidRPr="00603388" w:rsidRDefault="00222156" w:rsidP="00222156">
      <w:pPr>
        <w:pStyle w:val="NormalWeb"/>
        <w:numPr>
          <w:ilvl w:val="0"/>
          <w:numId w:val="2"/>
        </w:numPr>
        <w:spacing w:before="0" w:beforeAutospacing="0" w:after="0"/>
        <w:ind w:left="426" w:hanging="426"/>
        <w:contextualSpacing/>
        <w:jc w:val="both"/>
        <w:rPr>
          <w:rFonts w:ascii="Tahoma" w:eastAsia="Andale Sans UI" w:hAnsi="Tahoma" w:cs="Tahoma"/>
          <w:sz w:val="20"/>
          <w:szCs w:val="20"/>
          <w:lang w:eastAsia="fa-IR" w:bidi="fa-IR"/>
        </w:rPr>
      </w:pPr>
      <w:r w:rsidRPr="00603388">
        <w:rPr>
          <w:rFonts w:ascii="Tahoma" w:eastAsia="Andale Sans UI" w:hAnsi="Tahoma" w:cs="Tahoma"/>
          <w:sz w:val="20"/>
          <w:szCs w:val="20"/>
          <w:lang w:eastAsia="fa-IR" w:bidi="fa-IR"/>
        </w:rPr>
        <w:t xml:space="preserve">En el presente caso, se advierte que, si bien se habría ocasionado un perjuicio económico por un </w:t>
      </w:r>
      <w:r w:rsidRPr="00603388">
        <w:rPr>
          <w:rFonts w:ascii="Tahoma" w:eastAsia="Andale Sans UI" w:hAnsi="Tahoma" w:cs="Tahoma"/>
          <w:color w:val="002060"/>
          <w:sz w:val="20"/>
          <w:szCs w:val="20"/>
          <w:lang w:eastAsia="fa-IR" w:bidi="fa-IR"/>
        </w:rPr>
        <w:t xml:space="preserve">monto de </w:t>
      </w:r>
      <w:r w:rsidR="008364EE">
        <w:rPr>
          <w:rFonts w:ascii="Tahoma" w:eastAsia="Andale Sans UI" w:hAnsi="Tahoma" w:cs="Tahoma"/>
          <w:color w:val="002060"/>
          <w:sz w:val="20"/>
          <w:szCs w:val="20"/>
          <w:lang w:eastAsia="fa-IR" w:bidi="fa-IR"/>
        </w:rPr>
        <w:t xml:space="preserve">S/. </w:t>
      </w:r>
      <w:r w:rsidR="008364EE" w:rsidRPr="008364EE">
        <w:rPr>
          <w:rFonts w:ascii="Tahoma" w:eastAsia="Andale Sans UI" w:hAnsi="Tahoma" w:cs="Tahoma"/>
          <w:bCs/>
          <w:sz w:val="20"/>
          <w:szCs w:val="20"/>
          <w:lang w:eastAsia="fa-IR" w:bidi="fa-IR"/>
        </w:rPr>
        <w:t>&lt;&lt;monto&gt;&gt;</w:t>
      </w:r>
      <w:r>
        <w:rPr>
          <w:rFonts w:ascii="Tahoma" w:eastAsia="Andale Sans UI" w:hAnsi="Tahoma" w:cs="Tahoma"/>
          <w:sz w:val="20"/>
          <w:szCs w:val="20"/>
          <w:lang w:eastAsia="fa-IR" w:bidi="fa-IR"/>
        </w:rPr>
        <w:t xml:space="preserve"> </w:t>
      </w:r>
      <w:r w:rsidR="008364EE">
        <w:rPr>
          <w:rFonts w:ascii="Tahoma" w:eastAsia="Andale Sans UI" w:hAnsi="Tahoma" w:cs="Tahoma"/>
          <w:sz w:val="20"/>
          <w:szCs w:val="20"/>
          <w:lang w:eastAsia="fa-IR" w:bidi="fa-IR"/>
        </w:rPr>
        <w:t>al</w:t>
      </w:r>
      <w:r w:rsidRPr="00B16AB7">
        <w:rPr>
          <w:rFonts w:ascii="Tahoma" w:eastAsia="Andale Sans UI" w:hAnsi="Tahoma" w:cs="Tahoma"/>
          <w:sz w:val="20"/>
          <w:szCs w:val="20"/>
          <w:lang w:eastAsia="fa-IR" w:bidi="fa-IR"/>
        </w:rPr>
        <w:t xml:space="preserve"> denunciante</w:t>
      </w:r>
      <w:r w:rsidRPr="00B16AB7">
        <w:rPr>
          <w:rFonts w:ascii="Tahoma" w:hAnsi="Tahoma" w:cs="Tahoma"/>
          <w:iCs/>
          <w:sz w:val="20"/>
          <w:szCs w:val="20"/>
        </w:rPr>
        <w:t>; sin embargo</w:t>
      </w:r>
      <w:r w:rsidRPr="00BD09CB">
        <w:rPr>
          <w:rFonts w:ascii="Tahoma" w:hAnsi="Tahoma" w:cs="Tahoma"/>
          <w:iCs/>
          <w:sz w:val="20"/>
          <w:szCs w:val="20"/>
        </w:rPr>
        <w:t xml:space="preserve">, </w:t>
      </w:r>
      <w:r>
        <w:rPr>
          <w:rFonts w:ascii="Tahoma" w:hAnsi="Tahoma" w:cs="Tahoma"/>
          <w:iCs/>
          <w:sz w:val="20"/>
          <w:szCs w:val="20"/>
        </w:rPr>
        <w:t xml:space="preserve">desde una perspectiva de mínima intervención y de última ratio del derecho penal, </w:t>
      </w:r>
      <w:r w:rsidRPr="00BD09CB">
        <w:rPr>
          <w:rFonts w:ascii="Tahoma" w:hAnsi="Tahoma" w:cs="Tahoma"/>
          <w:iCs/>
          <w:sz w:val="20"/>
          <w:szCs w:val="20"/>
        </w:rPr>
        <w:t xml:space="preserve">dicho perjuicio no tendría entidad suficiente para activar el sistema penal. </w:t>
      </w:r>
      <w:r w:rsidRPr="00603388">
        <w:rPr>
          <w:rFonts w:ascii="Tahoma" w:eastAsia="Andale Sans UI" w:hAnsi="Tahoma" w:cs="Tahoma"/>
          <w:sz w:val="20"/>
          <w:szCs w:val="20"/>
          <w:lang w:eastAsia="fa-IR" w:bidi="fa-IR"/>
        </w:rPr>
        <w:t xml:space="preserve">Más aún, si consideramos que el Código Penal establece un criterio objetivo para diferenciar la falta contra el patrimonio del delito contra el patrimonio, consistente en el valor económico del bien afectado, solo </w:t>
      </w:r>
      <w:r w:rsidRPr="00603388">
        <w:rPr>
          <w:rFonts w:ascii="Tahoma" w:eastAsia="Andale Sans UI" w:hAnsi="Tahoma" w:cs="Tahoma"/>
          <w:b/>
          <w:sz w:val="20"/>
          <w:szCs w:val="20"/>
          <w:lang w:eastAsia="fa-IR" w:bidi="fa-IR"/>
        </w:rPr>
        <w:t>cuando el perjuicio supera el diez por ciento (10 %) de la UIT se configura delito</w:t>
      </w:r>
      <w:r>
        <w:rPr>
          <w:rFonts w:ascii="Tahoma" w:eastAsia="Andale Sans UI" w:hAnsi="Tahoma" w:cs="Tahoma"/>
          <w:b/>
          <w:sz w:val="20"/>
          <w:szCs w:val="20"/>
          <w:lang w:eastAsia="fa-IR" w:bidi="fa-IR"/>
        </w:rPr>
        <w:t>,</w:t>
      </w:r>
      <w:r w:rsidRPr="00B14356">
        <w:rPr>
          <w:rFonts w:ascii="Tahoma" w:eastAsia="Andale Sans UI" w:hAnsi="Tahoma" w:cs="Tahoma"/>
          <w:sz w:val="20"/>
          <w:szCs w:val="20"/>
          <w:lang w:val="de-DE" w:eastAsia="fa-IR" w:bidi="fa-IR"/>
        </w:rPr>
        <w:t xml:space="preserve"> </w:t>
      </w:r>
      <w:r>
        <w:rPr>
          <w:rFonts w:ascii="Tahoma" w:eastAsia="Andale Sans UI" w:hAnsi="Tahoma" w:cs="Tahoma"/>
          <w:sz w:val="20"/>
          <w:szCs w:val="20"/>
          <w:lang w:val="de-DE" w:eastAsia="fa-IR" w:bidi="fa-IR"/>
        </w:rPr>
        <w:t xml:space="preserve">caso constrario </w:t>
      </w:r>
      <w:r w:rsidRPr="00CF1E6C">
        <w:rPr>
          <w:rFonts w:ascii="Tahoma" w:eastAsia="Andale Sans UI" w:hAnsi="Tahoma" w:cs="Tahoma"/>
          <w:sz w:val="20"/>
          <w:szCs w:val="20"/>
          <w:lang w:val="de-DE" w:eastAsia="fa-IR" w:bidi="fa-IR"/>
        </w:rPr>
        <w:t>constituye una falta contra el patrimonio</w:t>
      </w:r>
      <w:r w:rsidRPr="00BD09CB">
        <w:rPr>
          <w:rStyle w:val="Refdenotaalpie"/>
          <w:rFonts w:ascii="Tahoma" w:eastAsia="Andale Sans UI" w:hAnsi="Tahoma" w:cs="Tahoma"/>
          <w:sz w:val="20"/>
          <w:szCs w:val="20"/>
          <w:lang w:val="de-DE" w:eastAsia="fa-IR" w:bidi="fa-IR"/>
        </w:rPr>
        <w:footnoteReference w:id="5"/>
      </w:r>
      <w:r w:rsidRPr="00603388">
        <w:rPr>
          <w:rFonts w:ascii="Tahoma" w:eastAsia="Andale Sans UI" w:hAnsi="Tahoma" w:cs="Tahoma"/>
          <w:sz w:val="20"/>
          <w:szCs w:val="20"/>
          <w:lang w:eastAsia="fa-IR" w:bidi="fa-IR"/>
        </w:rPr>
        <w:t xml:space="preserve">. </w:t>
      </w:r>
    </w:p>
    <w:p w14:paraId="7D243DCC" w14:textId="77777777" w:rsidR="00222156" w:rsidRPr="00BD09CB" w:rsidRDefault="00222156" w:rsidP="00222156">
      <w:pPr>
        <w:pStyle w:val="Prrafodelista"/>
        <w:spacing w:line="240" w:lineRule="auto"/>
        <w:rPr>
          <w:rFonts w:ascii="Tahoma" w:hAnsi="Tahoma" w:cs="Tahoma"/>
          <w:iCs/>
          <w:sz w:val="20"/>
          <w:szCs w:val="20"/>
        </w:rPr>
      </w:pPr>
    </w:p>
    <w:p w14:paraId="7263A9DA" w14:textId="5E2F51E8" w:rsidR="00222156" w:rsidRPr="00603388" w:rsidRDefault="00222156" w:rsidP="00222156">
      <w:pPr>
        <w:pStyle w:val="NormalWeb"/>
        <w:numPr>
          <w:ilvl w:val="0"/>
          <w:numId w:val="2"/>
        </w:numPr>
        <w:spacing w:before="0" w:beforeAutospacing="0" w:after="0"/>
        <w:ind w:left="426" w:hanging="426"/>
        <w:contextualSpacing/>
        <w:jc w:val="both"/>
        <w:rPr>
          <w:rFonts w:ascii="Tahoma" w:eastAsia="Andale Sans UI" w:hAnsi="Tahoma" w:cs="Tahoma"/>
          <w:sz w:val="20"/>
          <w:szCs w:val="20"/>
          <w:lang w:eastAsia="fa-IR" w:bidi="fa-IR"/>
        </w:rPr>
      </w:pPr>
      <w:r>
        <w:rPr>
          <w:rFonts w:ascii="Tahoma" w:hAnsi="Tahoma" w:cs="Tahoma"/>
          <w:iCs/>
          <w:sz w:val="20"/>
          <w:szCs w:val="20"/>
        </w:rPr>
        <w:t>E</w:t>
      </w:r>
      <w:r w:rsidRPr="00BD09CB">
        <w:rPr>
          <w:rFonts w:ascii="Tahoma" w:hAnsi="Tahoma" w:cs="Tahoma"/>
          <w:iCs/>
          <w:sz w:val="20"/>
          <w:szCs w:val="20"/>
        </w:rPr>
        <w:t xml:space="preserve">ste parámetro resulta relevante para el análisis del delito informático de fraude informático, pues, pese a la particularidad de su ejecución mediante medios tecnológicos, se trata de un ilícito de naturaleza patrimonial, cuyo propósito es producir un perjuicio económico o un beneficio ilícito mediante la manipulación de sistemas informáticos o datos. En consecuencia, tanto </w:t>
      </w:r>
      <w:r w:rsidR="008364EE" w:rsidRPr="00BD09CB">
        <w:rPr>
          <w:rFonts w:ascii="Tahoma" w:hAnsi="Tahoma" w:cs="Tahoma"/>
          <w:iCs/>
          <w:sz w:val="20"/>
          <w:szCs w:val="20"/>
        </w:rPr>
        <w:t>los</w:t>
      </w:r>
      <w:r w:rsidRPr="00BD09CB">
        <w:rPr>
          <w:rFonts w:ascii="Tahoma" w:hAnsi="Tahoma" w:cs="Tahoma"/>
          <w:iCs/>
          <w:sz w:val="20"/>
          <w:szCs w:val="20"/>
        </w:rPr>
        <w:t xml:space="preserve"> delitos patrimoniales tradicionales y el fraude informático comparten el mismo bien jurídico protegido —el patrimonio—, así como la existencia de un </w:t>
      </w:r>
      <w:r w:rsidRPr="00BD09CB">
        <w:rPr>
          <w:rFonts w:ascii="Tahoma" w:hAnsi="Tahoma" w:cs="Tahoma"/>
          <w:b/>
          <w:bCs/>
          <w:iCs/>
          <w:sz w:val="20"/>
          <w:szCs w:val="20"/>
        </w:rPr>
        <w:t>perjuicio económico con lesividad suficiente para activar el ius puniendi del Estado</w:t>
      </w:r>
      <w:r w:rsidRPr="00BD09CB">
        <w:rPr>
          <w:rFonts w:ascii="Tahoma" w:hAnsi="Tahoma" w:cs="Tahoma"/>
          <w:iCs/>
          <w:sz w:val="20"/>
          <w:szCs w:val="20"/>
        </w:rPr>
        <w:t>, lo que no ocurre en el caso materia de análisis.</w:t>
      </w:r>
    </w:p>
    <w:p w14:paraId="7477FC04" w14:textId="77777777" w:rsidR="00222156" w:rsidRPr="00BD09CB" w:rsidRDefault="00222156" w:rsidP="00222156">
      <w:pPr>
        <w:pStyle w:val="Prrafodelista"/>
        <w:spacing w:line="240" w:lineRule="auto"/>
        <w:rPr>
          <w:rFonts w:ascii="Tahoma" w:hAnsi="Tahoma" w:cs="Tahoma"/>
          <w:iCs/>
          <w:sz w:val="20"/>
          <w:szCs w:val="20"/>
        </w:rPr>
      </w:pPr>
    </w:p>
    <w:p w14:paraId="3A0C0DFB" w14:textId="77777777" w:rsidR="00222156" w:rsidRPr="00603388" w:rsidRDefault="00222156" w:rsidP="00222156">
      <w:pPr>
        <w:pStyle w:val="NormalWeb"/>
        <w:numPr>
          <w:ilvl w:val="0"/>
          <w:numId w:val="2"/>
        </w:numPr>
        <w:spacing w:before="0" w:beforeAutospacing="0" w:after="0"/>
        <w:ind w:left="426" w:hanging="426"/>
        <w:contextualSpacing/>
        <w:jc w:val="both"/>
        <w:rPr>
          <w:rFonts w:ascii="Tahoma" w:eastAsia="Andale Sans UI" w:hAnsi="Tahoma" w:cs="Tahoma"/>
          <w:sz w:val="20"/>
          <w:szCs w:val="20"/>
          <w:lang w:eastAsia="fa-IR" w:bidi="fa-IR"/>
        </w:rPr>
      </w:pPr>
      <w:r w:rsidRPr="00BD09CB">
        <w:rPr>
          <w:rFonts w:ascii="Tahoma" w:hAnsi="Tahoma" w:cs="Tahoma"/>
          <w:iCs/>
          <w:sz w:val="20"/>
          <w:szCs w:val="20"/>
        </w:rPr>
        <w:t>Por lo que, en este contexto</w:t>
      </w:r>
      <w:r>
        <w:rPr>
          <w:rFonts w:ascii="Tahoma" w:hAnsi="Tahoma" w:cs="Tahoma"/>
          <w:iCs/>
          <w:sz w:val="20"/>
          <w:szCs w:val="20"/>
        </w:rPr>
        <w:t xml:space="preserve">, </w:t>
      </w:r>
      <w:r w:rsidRPr="00BD09CB">
        <w:rPr>
          <w:rFonts w:ascii="Tahoma" w:hAnsi="Tahoma" w:cs="Tahoma"/>
          <w:iCs/>
          <w:sz w:val="20"/>
          <w:szCs w:val="20"/>
        </w:rPr>
        <w:t xml:space="preserve">existe la posibilidad de utilizar otros medios que permitan la solución del conflicto de manera satisfactoria sin la intervención del Derecho Penal, esto es un </w:t>
      </w:r>
      <w:r w:rsidRPr="00BD09CB">
        <w:rPr>
          <w:rFonts w:ascii="Tahoma" w:hAnsi="Tahoma" w:cs="Tahoma"/>
          <w:b/>
          <w:bCs/>
          <w:iCs/>
          <w:sz w:val="20"/>
          <w:szCs w:val="20"/>
        </w:rPr>
        <w:t>reclamo ante la entidad bancaria para que realicen la devolución de dicho monto afectado</w:t>
      </w:r>
      <w:r w:rsidRPr="00BD09CB">
        <w:rPr>
          <w:rFonts w:ascii="Tahoma" w:hAnsi="Tahoma" w:cs="Tahoma"/>
          <w:iCs/>
          <w:sz w:val="20"/>
          <w:szCs w:val="20"/>
        </w:rPr>
        <w:t xml:space="preserve">; asimismo, es relevante y aplicable el principio de subsidiaridad, según el cual el Derecho Penal ha de ser la </w:t>
      </w:r>
      <w:r w:rsidRPr="00BD09CB">
        <w:rPr>
          <w:rFonts w:ascii="Tahoma" w:hAnsi="Tahoma" w:cs="Tahoma"/>
          <w:b/>
          <w:bCs/>
          <w:iCs/>
          <w:sz w:val="20"/>
          <w:szCs w:val="20"/>
        </w:rPr>
        <w:t>“última ratio”</w:t>
      </w:r>
      <w:r w:rsidRPr="00BD09CB">
        <w:rPr>
          <w:rFonts w:ascii="Tahoma" w:hAnsi="Tahoma" w:cs="Tahoma"/>
          <w:iCs/>
          <w:sz w:val="20"/>
          <w:szCs w:val="20"/>
        </w:rPr>
        <w:t>, el último recurso que se debe utilizar a falta de otros menos lesivos, así como el denominado carácter fragmentario del Derecho Penal que constituye una exigencia relacionada con la anterior, es decir, significa que el Derecho Penal no ha de sancionar todas las conductas vulneradoras de los bienes jurídicos que protege, ni tampoco todos ellos son objeto de tutela, sino sólo castiga las modalidades de ataque más peligrosas para ellos -el Derecho Penal protege el bien jurídico contra ataques de especial gravedad</w:t>
      </w:r>
      <w:r w:rsidRPr="00603388">
        <w:rPr>
          <w:rFonts w:ascii="Tahoma" w:eastAsia="Andale Sans UI" w:hAnsi="Tahoma" w:cs="Tahoma"/>
          <w:sz w:val="20"/>
          <w:szCs w:val="20"/>
          <w:lang w:eastAsia="fa-IR" w:bidi="fa-IR"/>
        </w:rPr>
        <w:t>.</w:t>
      </w:r>
    </w:p>
    <w:p w14:paraId="7B8118A4" w14:textId="77777777" w:rsidR="00222156" w:rsidRPr="00BD09CB" w:rsidRDefault="00222156" w:rsidP="00222156">
      <w:pPr>
        <w:pStyle w:val="Prrafodelista"/>
        <w:spacing w:line="240" w:lineRule="auto"/>
        <w:rPr>
          <w:rFonts w:ascii="Tahoma" w:hAnsi="Tahoma" w:cs="Tahoma"/>
          <w:iCs/>
          <w:sz w:val="20"/>
          <w:szCs w:val="20"/>
        </w:rPr>
      </w:pPr>
    </w:p>
    <w:p w14:paraId="229B5034" w14:textId="77777777" w:rsidR="00222156" w:rsidRPr="00603388" w:rsidRDefault="00222156" w:rsidP="00222156">
      <w:pPr>
        <w:pStyle w:val="NormalWeb"/>
        <w:numPr>
          <w:ilvl w:val="0"/>
          <w:numId w:val="2"/>
        </w:numPr>
        <w:spacing w:before="0" w:beforeAutospacing="0" w:after="0"/>
        <w:ind w:left="426" w:hanging="426"/>
        <w:contextualSpacing/>
        <w:jc w:val="both"/>
        <w:rPr>
          <w:rFonts w:ascii="Tahoma" w:eastAsia="Andale Sans UI" w:hAnsi="Tahoma" w:cs="Tahoma"/>
          <w:sz w:val="20"/>
          <w:szCs w:val="20"/>
          <w:lang w:eastAsia="fa-IR" w:bidi="fa-IR"/>
        </w:rPr>
      </w:pPr>
      <w:r w:rsidRPr="00BD09CB">
        <w:rPr>
          <w:rFonts w:ascii="Tahoma" w:hAnsi="Tahoma" w:cs="Tahoma"/>
          <w:iCs/>
          <w:sz w:val="20"/>
          <w:szCs w:val="20"/>
        </w:rPr>
        <w:t xml:space="preserve">Ahora bien, es preciso señalar que ambos postulados integran el llamado </w:t>
      </w:r>
      <w:r w:rsidRPr="00BD09CB">
        <w:rPr>
          <w:rFonts w:ascii="Tahoma" w:hAnsi="Tahoma" w:cs="Tahoma"/>
          <w:b/>
          <w:bCs/>
          <w:iCs/>
          <w:sz w:val="20"/>
          <w:szCs w:val="20"/>
        </w:rPr>
        <w:t>principio de intervención mínima del Derecho Penal</w:t>
      </w:r>
      <w:r w:rsidRPr="00BD09CB">
        <w:rPr>
          <w:rFonts w:ascii="Tahoma" w:hAnsi="Tahoma" w:cs="Tahoma"/>
          <w:iCs/>
          <w:sz w:val="20"/>
          <w:szCs w:val="20"/>
        </w:rPr>
        <w:t>, que consiste en que la intervención del Estado solo se justifica cuando es necesaria para el mantenimiento de su organización; que por eso sólo debe acudirse al Derecho Penal cuando han fracasado todos los demos controles, pues el derecho punitivo es el último recurso que ha de utilizar el Estado, en tanto en cuanto no castiga todas las conductas lesivas de bienes jurídicos, sino sólo las que revisten mayor entidad -la potestad de castigar no puede ser ejercida por el Estado de manera ilimitada, pues se caería en el abuso y la arbitrariedad.</w:t>
      </w:r>
    </w:p>
    <w:p w14:paraId="3B60A1D9" w14:textId="77777777" w:rsidR="00222156" w:rsidRPr="00BD09CB" w:rsidRDefault="00222156" w:rsidP="00222156">
      <w:pPr>
        <w:pStyle w:val="Prrafodelista"/>
        <w:spacing w:line="240" w:lineRule="auto"/>
        <w:rPr>
          <w:rFonts w:ascii="Tahoma" w:hAnsi="Tahoma" w:cs="Tahoma"/>
          <w:iCs/>
          <w:sz w:val="20"/>
          <w:szCs w:val="20"/>
        </w:rPr>
      </w:pPr>
    </w:p>
    <w:p w14:paraId="052DDC33" w14:textId="220B3C6F" w:rsidR="00222156" w:rsidRPr="00603388" w:rsidRDefault="00222156" w:rsidP="00222156">
      <w:pPr>
        <w:pStyle w:val="NormalWeb"/>
        <w:numPr>
          <w:ilvl w:val="0"/>
          <w:numId w:val="2"/>
        </w:numPr>
        <w:spacing w:before="0" w:beforeAutospacing="0" w:after="0"/>
        <w:ind w:left="426" w:hanging="426"/>
        <w:contextualSpacing/>
        <w:jc w:val="both"/>
        <w:rPr>
          <w:rFonts w:ascii="Tahoma" w:eastAsia="Andale Sans UI" w:hAnsi="Tahoma" w:cs="Tahoma"/>
          <w:sz w:val="20"/>
          <w:szCs w:val="20"/>
          <w:lang w:eastAsia="fa-IR" w:bidi="fa-IR"/>
        </w:rPr>
      </w:pPr>
      <w:r w:rsidRPr="00BD09CB">
        <w:rPr>
          <w:rFonts w:ascii="Tahoma" w:hAnsi="Tahoma" w:cs="Tahoma"/>
          <w:iCs/>
          <w:sz w:val="20"/>
          <w:szCs w:val="20"/>
        </w:rPr>
        <w:t>No obstante, corresponde dejar a salvo el derecho de</w:t>
      </w:r>
      <w:r>
        <w:rPr>
          <w:rFonts w:ascii="Tahoma" w:hAnsi="Tahoma" w:cs="Tahoma"/>
          <w:iCs/>
          <w:sz w:val="20"/>
          <w:szCs w:val="20"/>
        </w:rPr>
        <w:t xml:space="preserve"> </w:t>
      </w:r>
      <w:r w:rsidRPr="00BD09CB">
        <w:rPr>
          <w:rFonts w:ascii="Tahoma" w:hAnsi="Tahoma" w:cs="Tahoma"/>
          <w:iCs/>
          <w:sz w:val="20"/>
          <w:szCs w:val="20"/>
        </w:rPr>
        <w:t>l</w:t>
      </w:r>
      <w:r>
        <w:rPr>
          <w:rFonts w:ascii="Tahoma" w:hAnsi="Tahoma" w:cs="Tahoma"/>
          <w:iCs/>
          <w:sz w:val="20"/>
          <w:szCs w:val="20"/>
        </w:rPr>
        <w:t>a</w:t>
      </w:r>
      <w:r w:rsidRPr="00BD09CB">
        <w:rPr>
          <w:rFonts w:ascii="Tahoma" w:hAnsi="Tahoma" w:cs="Tahoma"/>
          <w:iCs/>
          <w:sz w:val="20"/>
          <w:szCs w:val="20"/>
        </w:rPr>
        <w:t xml:space="preserve"> </w:t>
      </w:r>
      <w:r w:rsidR="008364EE">
        <w:rPr>
          <w:rFonts w:ascii="Tahoma" w:hAnsi="Tahoma" w:cs="Tahoma"/>
          <w:iCs/>
          <w:sz w:val="20"/>
          <w:szCs w:val="20"/>
        </w:rPr>
        <w:t>denunciante</w:t>
      </w:r>
      <w:r w:rsidRPr="00BD09CB">
        <w:rPr>
          <w:rFonts w:ascii="Tahoma" w:hAnsi="Tahoma" w:cs="Tahoma"/>
          <w:iCs/>
          <w:sz w:val="20"/>
          <w:szCs w:val="20"/>
        </w:rPr>
        <w:t xml:space="preserve"> </w:t>
      </w:r>
      <w:r w:rsidR="008364EE">
        <w:rPr>
          <w:rFonts w:ascii="Tahoma" w:hAnsi="Tahoma" w:cs="Tahoma"/>
          <w:iCs/>
          <w:sz w:val="20"/>
          <w:szCs w:val="20"/>
        </w:rPr>
        <w:t>&lt;&lt;agraviado&gt;&gt;</w:t>
      </w:r>
      <w:r w:rsidRPr="00BD09CB">
        <w:rPr>
          <w:rFonts w:ascii="Tahoma" w:hAnsi="Tahoma" w:cs="Tahoma"/>
          <w:iCs/>
          <w:sz w:val="20"/>
          <w:szCs w:val="20"/>
        </w:rPr>
        <w:t xml:space="preserve"> para que, de considerarlo pertinente, acuda a la vía extrapenal (instancia administrativa), a </w:t>
      </w:r>
      <w:r w:rsidRPr="00BD09CB">
        <w:rPr>
          <w:rFonts w:ascii="Tahoma" w:hAnsi="Tahoma" w:cs="Tahoma"/>
          <w:iCs/>
          <w:sz w:val="20"/>
          <w:szCs w:val="20"/>
        </w:rPr>
        <w:lastRenderedPageBreak/>
        <w:t>efectos de hacer valer su pretensión económica vinculada a la recuperación del monto afectado en su cuenta bancaria como consecuencia de los consumos y/</w:t>
      </w:r>
      <w:proofErr w:type="spellStart"/>
      <w:r w:rsidRPr="00BD09CB">
        <w:rPr>
          <w:rFonts w:ascii="Tahoma" w:hAnsi="Tahoma" w:cs="Tahoma"/>
          <w:iCs/>
          <w:sz w:val="20"/>
          <w:szCs w:val="20"/>
        </w:rPr>
        <w:t>o</w:t>
      </w:r>
      <w:proofErr w:type="spellEnd"/>
      <w:r w:rsidRPr="00BD09CB">
        <w:rPr>
          <w:rFonts w:ascii="Tahoma" w:hAnsi="Tahoma" w:cs="Tahoma"/>
          <w:iCs/>
          <w:sz w:val="20"/>
          <w:szCs w:val="20"/>
        </w:rPr>
        <w:t xml:space="preserve"> operaciones no reconocidas.</w:t>
      </w:r>
    </w:p>
    <w:p w14:paraId="4B654640" w14:textId="77777777" w:rsidR="00222156" w:rsidRPr="00BD09CB" w:rsidRDefault="00222156" w:rsidP="00222156">
      <w:pPr>
        <w:pStyle w:val="Prrafodelista"/>
        <w:spacing w:line="240" w:lineRule="auto"/>
        <w:rPr>
          <w:rFonts w:ascii="Tahoma" w:hAnsi="Tahoma" w:cs="Tahoma"/>
          <w:iCs/>
          <w:sz w:val="20"/>
          <w:szCs w:val="20"/>
        </w:rPr>
      </w:pPr>
    </w:p>
    <w:p w14:paraId="0744E829" w14:textId="1AF6D6FB" w:rsidR="00222156" w:rsidRPr="00603388" w:rsidRDefault="00222156" w:rsidP="00222156">
      <w:pPr>
        <w:pStyle w:val="NormalWeb"/>
        <w:numPr>
          <w:ilvl w:val="0"/>
          <w:numId w:val="2"/>
        </w:numPr>
        <w:spacing w:before="0" w:beforeAutospacing="0" w:after="0"/>
        <w:ind w:left="426" w:hanging="426"/>
        <w:contextualSpacing/>
        <w:jc w:val="both"/>
        <w:rPr>
          <w:rFonts w:ascii="Tahoma" w:eastAsia="Andale Sans UI" w:hAnsi="Tahoma" w:cs="Tahoma"/>
          <w:sz w:val="20"/>
          <w:szCs w:val="20"/>
          <w:lang w:eastAsia="fa-IR" w:bidi="fa-IR"/>
        </w:rPr>
      </w:pPr>
      <w:r w:rsidRPr="00BD09CB">
        <w:rPr>
          <w:rFonts w:ascii="Tahoma" w:hAnsi="Tahoma" w:cs="Tahoma"/>
          <w:iCs/>
          <w:sz w:val="20"/>
          <w:szCs w:val="20"/>
        </w:rPr>
        <w:t xml:space="preserve">Finalmente, de lo señalado se debe tener en cuenta, que, si bien corresponde al Ministerio Público la titularidad del ejercicio de la acción penal pública, sin embargo, para ello es necesario que el fiscal verifique si está en condiciones de ejercer la acción penal o cuál es el modo más adecuado de hacerlo, concordante con lo dispuesto por el Art. 5º de Ley Orgánica del Ministerio Público, según el cual el fiscal actúa con independencia de criterio. Adecua sus actos a un criterio objetivo, rigiéndose únicamente por la Constitución y la Ley; en tal sentido, su función </w:t>
      </w:r>
      <w:r w:rsidRPr="00BD09CB">
        <w:rPr>
          <w:rFonts w:ascii="Tahoma" w:hAnsi="Tahoma" w:cs="Tahoma"/>
          <w:iCs/>
          <w:sz w:val="20"/>
          <w:szCs w:val="20"/>
          <w:u w:val="single"/>
        </w:rPr>
        <w:t xml:space="preserve">lo faculta a seleccionar los casos que permitan operar con eficacia la gestión de </w:t>
      </w:r>
      <w:r w:rsidR="008364EE" w:rsidRPr="00BD09CB">
        <w:rPr>
          <w:rFonts w:ascii="Tahoma" w:hAnsi="Tahoma" w:cs="Tahoma"/>
          <w:iCs/>
          <w:sz w:val="20"/>
          <w:szCs w:val="20"/>
          <w:u w:val="single"/>
        </w:rPr>
        <w:t>estos</w:t>
      </w:r>
      <w:r w:rsidRPr="00BD09CB">
        <w:rPr>
          <w:rFonts w:ascii="Tahoma" w:hAnsi="Tahoma" w:cs="Tahoma"/>
          <w:iCs/>
          <w:sz w:val="20"/>
          <w:szCs w:val="20"/>
        </w:rPr>
        <w:t>. Por lo tanto, en el presente caso, no se tiene un pronóstico adecuado respecto a las circunstancias y posibilidades para lograr una persecución penal exitosa, por lo que, no se debe sobrecargar inútilmente el sistema de persecución, perjudicándose innecesariamente su funcionamiento con el seguimiento de aquellos casos donde no existe probabilidad razonable de éxito en un eventual juicio.</w:t>
      </w:r>
    </w:p>
    <w:p w14:paraId="798B1760" w14:textId="77777777" w:rsidR="00222156" w:rsidRPr="00BD09CB" w:rsidRDefault="00222156" w:rsidP="00222156">
      <w:pPr>
        <w:widowControl w:val="0"/>
        <w:suppressAutoHyphens/>
        <w:autoSpaceDN w:val="0"/>
        <w:spacing w:line="240" w:lineRule="auto"/>
        <w:contextualSpacing/>
        <w:jc w:val="both"/>
        <w:textAlignment w:val="baseline"/>
        <w:rPr>
          <w:rFonts w:ascii="Tahoma" w:eastAsiaTheme="minorHAnsi" w:hAnsi="Tahoma" w:cs="Tahoma"/>
          <w:color w:val="EE0000"/>
          <w:sz w:val="20"/>
          <w:szCs w:val="20"/>
          <w:u w:val="single"/>
          <w:lang w:val="es-PE" w:eastAsia="en-US"/>
        </w:rPr>
      </w:pPr>
    </w:p>
    <w:p w14:paraId="680CBDB3" w14:textId="77777777" w:rsidR="00222156" w:rsidRPr="00BD09CB" w:rsidRDefault="00222156" w:rsidP="00222156">
      <w:pPr>
        <w:pStyle w:val="Prrafodelista"/>
        <w:widowControl w:val="0"/>
        <w:numPr>
          <w:ilvl w:val="0"/>
          <w:numId w:val="1"/>
        </w:numPr>
        <w:suppressAutoHyphens/>
        <w:autoSpaceDN w:val="0"/>
        <w:spacing w:line="240" w:lineRule="auto"/>
        <w:ind w:left="426" w:right="-1" w:hanging="426"/>
        <w:jc w:val="both"/>
        <w:textAlignment w:val="baseline"/>
        <w:rPr>
          <w:rFonts w:ascii="Tahoma" w:eastAsia="Times New Roman" w:hAnsi="Tahoma" w:cs="Tahoma"/>
          <w:b/>
          <w:bCs/>
          <w:sz w:val="20"/>
          <w:szCs w:val="20"/>
          <w:lang w:val="es-MX"/>
          <w14:ligatures w14:val="standardContextual"/>
        </w:rPr>
      </w:pPr>
      <w:r w:rsidRPr="00BD09CB">
        <w:rPr>
          <w:rFonts w:ascii="Tahoma" w:eastAsia="Times New Roman" w:hAnsi="Tahoma" w:cs="Tahoma"/>
          <w:b/>
          <w:bCs/>
          <w:sz w:val="20"/>
          <w:szCs w:val="20"/>
          <w:lang w:val="es-MX"/>
          <w14:ligatures w14:val="standardContextual"/>
        </w:rPr>
        <w:t>DECISIÓN FISCAL:</w:t>
      </w:r>
    </w:p>
    <w:p w14:paraId="4BD677BC" w14:textId="77777777" w:rsidR="00222156" w:rsidRPr="00BD09CB" w:rsidRDefault="00222156" w:rsidP="00222156">
      <w:pPr>
        <w:spacing w:line="240" w:lineRule="auto"/>
        <w:ind w:right="-1"/>
        <w:contextualSpacing/>
        <w:jc w:val="both"/>
        <w:rPr>
          <w:rFonts w:ascii="Tahoma" w:eastAsia="Times New Roman" w:hAnsi="Tahoma" w:cs="Tahoma"/>
          <w:sz w:val="20"/>
          <w:szCs w:val="20"/>
          <w:lang w:val="es-MX"/>
          <w14:ligatures w14:val="standardContextual"/>
        </w:rPr>
      </w:pPr>
    </w:p>
    <w:p w14:paraId="7DBC3CDD" w14:textId="77777777" w:rsidR="00222156" w:rsidRPr="00BD09CB" w:rsidRDefault="00222156" w:rsidP="00222156">
      <w:pPr>
        <w:tabs>
          <w:tab w:val="left" w:pos="6910"/>
        </w:tabs>
        <w:spacing w:line="240" w:lineRule="auto"/>
        <w:contextualSpacing/>
        <w:jc w:val="both"/>
        <w:rPr>
          <w:rFonts w:ascii="Tahoma" w:eastAsia="Arial Unicode MS" w:hAnsi="Tahoma" w:cs="Tahoma"/>
          <w:b/>
          <w:bCs/>
          <w:kern w:val="2"/>
          <w:sz w:val="20"/>
          <w:szCs w:val="20"/>
          <w:lang w:eastAsia="hi-IN"/>
        </w:rPr>
      </w:pPr>
      <w:r w:rsidRPr="00BD09CB">
        <w:rPr>
          <w:rFonts w:ascii="Tahoma" w:eastAsia="Arial Unicode MS" w:hAnsi="Tahoma" w:cs="Tahoma"/>
          <w:kern w:val="2"/>
          <w:sz w:val="20"/>
          <w:szCs w:val="20"/>
          <w:lang w:eastAsia="hi-IN"/>
        </w:rPr>
        <w:t xml:space="preserve">Por las razones expuestas, el Segundo Despacho Provincial de la Segunda Fiscalía Corporativa Especializada en Ciberdelincuencia, en aplicación del artículo 159, de la Constitución Política del Perú, concordante con el numeral 6.2.4 “Archivo Liminar” del Instructivo General </w:t>
      </w:r>
      <w:proofErr w:type="spellStart"/>
      <w:r w:rsidRPr="00BD09CB">
        <w:rPr>
          <w:rFonts w:ascii="Tahoma" w:eastAsia="Arial Unicode MS" w:hAnsi="Tahoma" w:cs="Tahoma"/>
          <w:kern w:val="2"/>
          <w:sz w:val="20"/>
          <w:szCs w:val="20"/>
          <w:lang w:eastAsia="hi-IN"/>
        </w:rPr>
        <w:t>N°</w:t>
      </w:r>
      <w:proofErr w:type="spellEnd"/>
      <w:r w:rsidRPr="00BD09CB">
        <w:rPr>
          <w:rFonts w:ascii="Tahoma" w:eastAsia="Arial Unicode MS" w:hAnsi="Tahoma" w:cs="Tahoma"/>
          <w:kern w:val="2"/>
          <w:sz w:val="20"/>
          <w:szCs w:val="20"/>
          <w:lang w:eastAsia="hi-IN"/>
        </w:rPr>
        <w:t xml:space="preserve"> 01-2018-MP-FN, </w:t>
      </w:r>
      <w:r w:rsidRPr="00BD09CB">
        <w:rPr>
          <w:rFonts w:ascii="Tahoma" w:eastAsia="Arial Unicode MS" w:hAnsi="Tahoma" w:cs="Tahoma"/>
          <w:b/>
          <w:bCs/>
          <w:kern w:val="2"/>
          <w:sz w:val="20"/>
          <w:szCs w:val="20"/>
          <w:lang w:eastAsia="hi-IN"/>
        </w:rPr>
        <w:t>DISPONE:</w:t>
      </w:r>
    </w:p>
    <w:p w14:paraId="3977D4C2" w14:textId="77777777" w:rsidR="00222156" w:rsidRPr="00BD09CB" w:rsidRDefault="00222156" w:rsidP="00222156">
      <w:pPr>
        <w:tabs>
          <w:tab w:val="left" w:pos="6910"/>
        </w:tabs>
        <w:spacing w:line="240" w:lineRule="auto"/>
        <w:contextualSpacing/>
        <w:jc w:val="both"/>
        <w:rPr>
          <w:rFonts w:ascii="Tahoma" w:eastAsia="Arial Unicode MS" w:hAnsi="Tahoma" w:cs="Tahoma"/>
          <w:kern w:val="2"/>
          <w:sz w:val="20"/>
          <w:szCs w:val="20"/>
          <w:lang w:eastAsia="hi-IN"/>
        </w:rPr>
      </w:pPr>
    </w:p>
    <w:p w14:paraId="4529F4A9" w14:textId="6B557993" w:rsidR="00222156" w:rsidRPr="00490B84" w:rsidRDefault="00222156" w:rsidP="00222156">
      <w:pPr>
        <w:spacing w:line="240" w:lineRule="auto"/>
        <w:contextualSpacing/>
        <w:jc w:val="both"/>
        <w:rPr>
          <w:rFonts w:ascii="Tahoma" w:hAnsi="Tahoma" w:cs="Tahoma"/>
          <w:sz w:val="20"/>
          <w:szCs w:val="20"/>
        </w:rPr>
      </w:pPr>
      <w:r w:rsidRPr="00490B84">
        <w:rPr>
          <w:rFonts w:ascii="Tahoma" w:hAnsi="Tahoma" w:cs="Tahoma"/>
          <w:b/>
          <w:bCs/>
          <w:sz w:val="20"/>
          <w:szCs w:val="20"/>
        </w:rPr>
        <w:t>Primero:</w:t>
      </w:r>
      <w:r w:rsidRPr="00490B84">
        <w:rPr>
          <w:rFonts w:ascii="Tahoma" w:hAnsi="Tahoma" w:cs="Tahoma"/>
          <w:sz w:val="20"/>
          <w:szCs w:val="20"/>
        </w:rPr>
        <w:t xml:space="preserve"> </w:t>
      </w:r>
      <w:r w:rsidRPr="00490B84">
        <w:rPr>
          <w:rFonts w:ascii="Tahoma" w:hAnsi="Tahoma" w:cs="Tahoma"/>
          <w:b/>
          <w:bCs/>
          <w:sz w:val="20"/>
          <w:szCs w:val="20"/>
        </w:rPr>
        <w:t>DECLARAR QUE NO PROCEDE INICIAR INVESTIGACIÓN PRELIMINAR</w:t>
      </w:r>
      <w:r w:rsidRPr="00490B84">
        <w:rPr>
          <w:rFonts w:ascii="Tahoma" w:hAnsi="Tahoma" w:cs="Tahoma"/>
          <w:sz w:val="20"/>
          <w:szCs w:val="20"/>
        </w:rPr>
        <w:t xml:space="preserve"> contra </w:t>
      </w:r>
      <w:r w:rsidRPr="00490B84">
        <w:rPr>
          <w:rFonts w:ascii="Tahoma" w:hAnsi="Tahoma" w:cs="Tahoma"/>
          <w:b/>
          <w:bCs/>
          <w:sz w:val="20"/>
          <w:szCs w:val="20"/>
        </w:rPr>
        <w:t>LOS QUE RESULTEN RESPONSABLES</w:t>
      </w:r>
      <w:r w:rsidRPr="00490B84">
        <w:rPr>
          <w:rFonts w:ascii="Tahoma" w:hAnsi="Tahoma" w:cs="Tahoma"/>
          <w:sz w:val="20"/>
          <w:szCs w:val="20"/>
        </w:rPr>
        <w:t xml:space="preserve">, por la presunta comisión del delito contra el patrimonio en la modalidad de </w:t>
      </w:r>
      <w:r w:rsidRPr="00490B84">
        <w:rPr>
          <w:rFonts w:ascii="Tahoma" w:hAnsi="Tahoma" w:cs="Tahoma"/>
          <w:b/>
          <w:bCs/>
          <w:sz w:val="20"/>
          <w:szCs w:val="20"/>
        </w:rPr>
        <w:t>HURTO SIMPLE</w:t>
      </w:r>
      <w:r w:rsidRPr="00490B84">
        <w:rPr>
          <w:rFonts w:ascii="Tahoma" w:hAnsi="Tahoma" w:cs="Tahoma"/>
          <w:sz w:val="20"/>
          <w:szCs w:val="20"/>
        </w:rPr>
        <w:t xml:space="preserve">, previsto en el artículo 185° del Código Penal; y contra el delito informático contra el patrimonio en la modalidad de </w:t>
      </w:r>
      <w:r w:rsidRPr="00490B84">
        <w:rPr>
          <w:rFonts w:ascii="Tahoma" w:hAnsi="Tahoma" w:cs="Tahoma"/>
          <w:b/>
          <w:bCs/>
          <w:sz w:val="20"/>
          <w:szCs w:val="20"/>
        </w:rPr>
        <w:t>FRAUDE INFORMÁTICO</w:t>
      </w:r>
      <w:r w:rsidRPr="00490B84">
        <w:rPr>
          <w:rFonts w:ascii="Tahoma" w:hAnsi="Tahoma" w:cs="Tahoma"/>
          <w:sz w:val="20"/>
          <w:szCs w:val="20"/>
        </w:rPr>
        <w:t xml:space="preserve">, tipificado en el artículo 8º de la Ley N. º 30096 (modificado por el Decreto Legislativo 1614 del 23 de diciembre de 2024), en agravio de </w:t>
      </w:r>
      <w:r w:rsidR="008364EE">
        <w:rPr>
          <w:rFonts w:ascii="Tahoma" w:hAnsi="Tahoma" w:cs="Tahoma"/>
          <w:sz w:val="20"/>
          <w:szCs w:val="20"/>
        </w:rPr>
        <w:t>&lt;&lt;agraviado&gt;&gt;</w:t>
      </w:r>
      <w:r>
        <w:rPr>
          <w:rFonts w:ascii="Tahoma" w:hAnsi="Tahoma" w:cs="Tahoma"/>
          <w:sz w:val="20"/>
          <w:szCs w:val="20"/>
        </w:rPr>
        <w:t>.</w:t>
      </w:r>
    </w:p>
    <w:p w14:paraId="759BDD98" w14:textId="77777777" w:rsidR="00222156" w:rsidRDefault="00222156" w:rsidP="00222156">
      <w:pPr>
        <w:pStyle w:val="Textoindependiente"/>
        <w:contextualSpacing/>
        <w:jc w:val="both"/>
        <w:rPr>
          <w:rFonts w:ascii="Tahoma" w:hAnsi="Tahoma" w:cs="Tahoma"/>
          <w:b/>
          <w:sz w:val="20"/>
          <w:szCs w:val="20"/>
        </w:rPr>
      </w:pPr>
    </w:p>
    <w:p w14:paraId="77910720" w14:textId="77777777" w:rsidR="00222156" w:rsidRDefault="00222156" w:rsidP="00222156">
      <w:pPr>
        <w:pStyle w:val="Textoindependiente"/>
        <w:contextualSpacing/>
        <w:jc w:val="both"/>
        <w:rPr>
          <w:rFonts w:ascii="Tahoma" w:hAnsi="Tahoma" w:cs="Tahoma"/>
          <w:sz w:val="20"/>
          <w:szCs w:val="20"/>
        </w:rPr>
      </w:pPr>
      <w:r w:rsidRPr="00BD09CB">
        <w:rPr>
          <w:rFonts w:ascii="Tahoma" w:hAnsi="Tahoma" w:cs="Tahoma"/>
          <w:b/>
          <w:sz w:val="20"/>
          <w:szCs w:val="20"/>
        </w:rPr>
        <w:t xml:space="preserve">Segundo: </w:t>
      </w:r>
      <w:r w:rsidRPr="00BD09CB">
        <w:rPr>
          <w:rFonts w:ascii="Tahoma" w:hAnsi="Tahoma" w:cs="Tahoma"/>
          <w:sz w:val="20"/>
          <w:szCs w:val="20"/>
        </w:rPr>
        <w:t>En consecuencia, se</w:t>
      </w:r>
      <w:r w:rsidRPr="00BD09CB">
        <w:rPr>
          <w:rFonts w:ascii="Tahoma" w:hAnsi="Tahoma" w:cs="Tahoma"/>
          <w:b/>
          <w:sz w:val="20"/>
          <w:szCs w:val="20"/>
        </w:rPr>
        <w:t xml:space="preserve"> ORDENA </w:t>
      </w:r>
      <w:r w:rsidRPr="00BD09CB">
        <w:rPr>
          <w:rFonts w:ascii="Tahoma" w:hAnsi="Tahoma" w:cs="Tahoma"/>
          <w:sz w:val="20"/>
          <w:szCs w:val="20"/>
        </w:rPr>
        <w:t xml:space="preserve">el </w:t>
      </w:r>
      <w:r w:rsidRPr="00BD09CB">
        <w:rPr>
          <w:rFonts w:ascii="Tahoma" w:hAnsi="Tahoma" w:cs="Tahoma"/>
          <w:b/>
          <w:sz w:val="20"/>
          <w:szCs w:val="20"/>
        </w:rPr>
        <w:t xml:space="preserve">ARCHIVO LIMINAR </w:t>
      </w:r>
      <w:r w:rsidRPr="00BD09CB">
        <w:rPr>
          <w:rFonts w:ascii="Tahoma" w:hAnsi="Tahoma" w:cs="Tahoma"/>
          <w:sz w:val="20"/>
          <w:szCs w:val="20"/>
        </w:rPr>
        <w:t>de la presente denuncia.</w:t>
      </w:r>
    </w:p>
    <w:p w14:paraId="11CB6105" w14:textId="77777777" w:rsidR="00222156" w:rsidRPr="00BD09CB" w:rsidRDefault="00222156" w:rsidP="00222156">
      <w:pPr>
        <w:pStyle w:val="Textoindependiente"/>
        <w:contextualSpacing/>
        <w:jc w:val="both"/>
        <w:rPr>
          <w:rFonts w:ascii="Tahoma" w:hAnsi="Tahoma" w:cs="Tahoma"/>
          <w:sz w:val="20"/>
          <w:szCs w:val="20"/>
        </w:rPr>
      </w:pPr>
    </w:p>
    <w:p w14:paraId="4255C32D" w14:textId="7B267574" w:rsidR="00222156" w:rsidRPr="00BD09CB" w:rsidRDefault="00222156" w:rsidP="00222156">
      <w:pPr>
        <w:pStyle w:val="Textoindependiente"/>
        <w:contextualSpacing/>
        <w:jc w:val="both"/>
        <w:rPr>
          <w:rFonts w:ascii="Tahoma" w:hAnsi="Tahoma" w:cs="Tahoma"/>
          <w:sz w:val="20"/>
          <w:szCs w:val="20"/>
        </w:rPr>
      </w:pPr>
      <w:r w:rsidRPr="00BD09CB">
        <w:rPr>
          <w:rFonts w:ascii="Tahoma" w:hAnsi="Tahoma" w:cs="Tahoma"/>
          <w:b/>
          <w:sz w:val="20"/>
          <w:szCs w:val="20"/>
        </w:rPr>
        <w:t xml:space="preserve">Tercero: </w:t>
      </w:r>
      <w:r w:rsidRPr="00BD09CB">
        <w:rPr>
          <w:rFonts w:ascii="Tahoma" w:hAnsi="Tahoma" w:cs="Tahoma"/>
          <w:sz w:val="20"/>
          <w:szCs w:val="20"/>
        </w:rPr>
        <w:t>Notificar</w:t>
      </w:r>
      <w:r w:rsidRPr="00BD09CB">
        <w:rPr>
          <w:rFonts w:ascii="Tahoma" w:hAnsi="Tahoma" w:cs="Tahoma"/>
          <w:spacing w:val="1"/>
          <w:sz w:val="20"/>
          <w:szCs w:val="20"/>
        </w:rPr>
        <w:t xml:space="preserve"> </w:t>
      </w:r>
      <w:r w:rsidRPr="00BD09CB">
        <w:rPr>
          <w:rFonts w:ascii="Tahoma" w:hAnsi="Tahoma" w:cs="Tahoma"/>
          <w:sz w:val="20"/>
          <w:szCs w:val="20"/>
        </w:rPr>
        <w:t>la</w:t>
      </w:r>
      <w:r w:rsidRPr="00BD09CB">
        <w:rPr>
          <w:rFonts w:ascii="Tahoma" w:hAnsi="Tahoma" w:cs="Tahoma"/>
          <w:spacing w:val="1"/>
          <w:sz w:val="20"/>
          <w:szCs w:val="20"/>
        </w:rPr>
        <w:t xml:space="preserve"> </w:t>
      </w:r>
      <w:r w:rsidRPr="00BD09CB">
        <w:rPr>
          <w:rFonts w:ascii="Tahoma" w:hAnsi="Tahoma" w:cs="Tahoma"/>
          <w:sz w:val="20"/>
          <w:szCs w:val="20"/>
        </w:rPr>
        <w:t>presente</w:t>
      </w:r>
      <w:r w:rsidRPr="00BD09CB">
        <w:rPr>
          <w:rFonts w:ascii="Tahoma" w:hAnsi="Tahoma" w:cs="Tahoma"/>
          <w:spacing w:val="1"/>
          <w:sz w:val="20"/>
          <w:szCs w:val="20"/>
        </w:rPr>
        <w:t xml:space="preserve"> </w:t>
      </w:r>
      <w:r w:rsidRPr="00BD09CB">
        <w:rPr>
          <w:rFonts w:ascii="Tahoma" w:hAnsi="Tahoma" w:cs="Tahoma"/>
          <w:sz w:val="20"/>
          <w:szCs w:val="20"/>
        </w:rPr>
        <w:t>disposición</w:t>
      </w:r>
      <w:r w:rsidRPr="00BD09CB">
        <w:rPr>
          <w:rFonts w:ascii="Tahoma" w:hAnsi="Tahoma" w:cs="Tahoma"/>
          <w:spacing w:val="1"/>
          <w:sz w:val="20"/>
          <w:szCs w:val="20"/>
        </w:rPr>
        <w:t xml:space="preserve"> </w:t>
      </w:r>
      <w:r w:rsidRPr="00BD09CB">
        <w:rPr>
          <w:rFonts w:ascii="Tahoma" w:hAnsi="Tahoma" w:cs="Tahoma"/>
          <w:sz w:val="20"/>
          <w:szCs w:val="20"/>
        </w:rPr>
        <w:t>a</w:t>
      </w:r>
      <w:r w:rsidRPr="00BD09CB">
        <w:rPr>
          <w:rFonts w:ascii="Tahoma" w:hAnsi="Tahoma" w:cs="Tahoma"/>
          <w:spacing w:val="1"/>
          <w:sz w:val="20"/>
          <w:szCs w:val="20"/>
        </w:rPr>
        <w:t xml:space="preserve"> </w:t>
      </w:r>
      <w:r w:rsidRPr="00BD09CB">
        <w:rPr>
          <w:rFonts w:ascii="Tahoma" w:hAnsi="Tahoma" w:cs="Tahoma"/>
          <w:sz w:val="20"/>
          <w:szCs w:val="20"/>
        </w:rPr>
        <w:t>las</w:t>
      </w:r>
      <w:r w:rsidRPr="00BD09CB">
        <w:rPr>
          <w:rFonts w:ascii="Tahoma" w:hAnsi="Tahoma" w:cs="Tahoma"/>
          <w:spacing w:val="1"/>
          <w:sz w:val="20"/>
          <w:szCs w:val="20"/>
        </w:rPr>
        <w:t xml:space="preserve"> </w:t>
      </w:r>
      <w:r w:rsidRPr="00BD09CB">
        <w:rPr>
          <w:rFonts w:ascii="Tahoma" w:hAnsi="Tahoma" w:cs="Tahoma"/>
          <w:sz w:val="20"/>
          <w:szCs w:val="20"/>
        </w:rPr>
        <w:t>partes</w:t>
      </w:r>
      <w:r w:rsidRPr="00BD09CB">
        <w:rPr>
          <w:rFonts w:ascii="Tahoma" w:hAnsi="Tahoma" w:cs="Tahoma"/>
          <w:spacing w:val="1"/>
          <w:sz w:val="20"/>
          <w:szCs w:val="20"/>
        </w:rPr>
        <w:t xml:space="preserve"> </w:t>
      </w:r>
      <w:r w:rsidRPr="00BD09CB">
        <w:rPr>
          <w:rFonts w:ascii="Tahoma" w:hAnsi="Tahoma" w:cs="Tahoma"/>
          <w:sz w:val="20"/>
          <w:szCs w:val="20"/>
        </w:rPr>
        <w:t>de</w:t>
      </w:r>
      <w:r w:rsidRPr="00BD09CB">
        <w:rPr>
          <w:rFonts w:ascii="Tahoma" w:hAnsi="Tahoma" w:cs="Tahoma"/>
          <w:spacing w:val="1"/>
          <w:sz w:val="20"/>
          <w:szCs w:val="20"/>
        </w:rPr>
        <w:t xml:space="preserve"> </w:t>
      </w:r>
      <w:r w:rsidRPr="00BD09CB">
        <w:rPr>
          <w:rFonts w:ascii="Tahoma" w:hAnsi="Tahoma" w:cs="Tahoma"/>
          <w:sz w:val="20"/>
          <w:szCs w:val="20"/>
        </w:rPr>
        <w:t>la</w:t>
      </w:r>
      <w:r w:rsidRPr="00BD09CB">
        <w:rPr>
          <w:rFonts w:ascii="Tahoma" w:hAnsi="Tahoma" w:cs="Tahoma"/>
          <w:spacing w:val="1"/>
          <w:sz w:val="20"/>
          <w:szCs w:val="20"/>
        </w:rPr>
        <w:t xml:space="preserve"> </w:t>
      </w:r>
      <w:r w:rsidRPr="00BD09CB">
        <w:rPr>
          <w:rFonts w:ascii="Tahoma" w:hAnsi="Tahoma" w:cs="Tahoma"/>
          <w:sz w:val="20"/>
          <w:szCs w:val="20"/>
        </w:rPr>
        <w:t>presente</w:t>
      </w:r>
      <w:r w:rsidRPr="00BD09CB">
        <w:rPr>
          <w:rFonts w:ascii="Tahoma" w:hAnsi="Tahoma" w:cs="Tahoma"/>
          <w:spacing w:val="1"/>
          <w:sz w:val="20"/>
          <w:szCs w:val="20"/>
        </w:rPr>
        <w:t xml:space="preserve"> </w:t>
      </w:r>
      <w:r w:rsidRPr="00BD09CB">
        <w:rPr>
          <w:rFonts w:ascii="Tahoma" w:hAnsi="Tahoma" w:cs="Tahoma"/>
          <w:sz w:val="20"/>
          <w:szCs w:val="20"/>
        </w:rPr>
        <w:t>investigación,</w:t>
      </w:r>
      <w:r w:rsidRPr="00BD09CB">
        <w:rPr>
          <w:rFonts w:ascii="Tahoma" w:hAnsi="Tahoma" w:cs="Tahoma"/>
          <w:spacing w:val="-45"/>
          <w:sz w:val="20"/>
          <w:szCs w:val="20"/>
        </w:rPr>
        <w:t xml:space="preserve"> </w:t>
      </w:r>
      <w:r w:rsidRPr="00BD09CB">
        <w:rPr>
          <w:rFonts w:ascii="Tahoma" w:hAnsi="Tahoma" w:cs="Tahoma"/>
          <w:sz w:val="20"/>
          <w:szCs w:val="20"/>
        </w:rPr>
        <w:t>conforme</w:t>
      </w:r>
      <w:r w:rsidRPr="00BD09CB">
        <w:rPr>
          <w:rFonts w:ascii="Tahoma" w:hAnsi="Tahoma" w:cs="Tahoma"/>
          <w:spacing w:val="-4"/>
          <w:sz w:val="20"/>
          <w:szCs w:val="20"/>
        </w:rPr>
        <w:t xml:space="preserve"> </w:t>
      </w:r>
      <w:r w:rsidRPr="00BD09CB">
        <w:rPr>
          <w:rFonts w:ascii="Tahoma" w:hAnsi="Tahoma" w:cs="Tahoma"/>
          <w:sz w:val="20"/>
          <w:szCs w:val="20"/>
        </w:rPr>
        <w:t>lo</w:t>
      </w:r>
      <w:r w:rsidRPr="00BD09CB">
        <w:rPr>
          <w:rFonts w:ascii="Tahoma" w:hAnsi="Tahoma" w:cs="Tahoma"/>
          <w:spacing w:val="-5"/>
          <w:sz w:val="20"/>
          <w:szCs w:val="20"/>
        </w:rPr>
        <w:t xml:space="preserve"> </w:t>
      </w:r>
      <w:r w:rsidRPr="00BD09CB">
        <w:rPr>
          <w:rFonts w:ascii="Tahoma" w:hAnsi="Tahoma" w:cs="Tahoma"/>
          <w:sz w:val="20"/>
          <w:szCs w:val="20"/>
        </w:rPr>
        <w:t>establecido</w:t>
      </w:r>
      <w:r w:rsidRPr="00BD09CB">
        <w:rPr>
          <w:rFonts w:ascii="Tahoma" w:hAnsi="Tahoma" w:cs="Tahoma"/>
          <w:spacing w:val="-4"/>
          <w:sz w:val="20"/>
          <w:szCs w:val="20"/>
        </w:rPr>
        <w:t xml:space="preserve"> </w:t>
      </w:r>
      <w:r w:rsidRPr="00BD09CB">
        <w:rPr>
          <w:rFonts w:ascii="Tahoma" w:hAnsi="Tahoma" w:cs="Tahoma"/>
          <w:sz w:val="20"/>
          <w:szCs w:val="20"/>
        </w:rPr>
        <w:t>en</w:t>
      </w:r>
      <w:r w:rsidRPr="00BD09CB">
        <w:rPr>
          <w:rFonts w:ascii="Tahoma" w:hAnsi="Tahoma" w:cs="Tahoma"/>
          <w:spacing w:val="-3"/>
          <w:sz w:val="20"/>
          <w:szCs w:val="20"/>
        </w:rPr>
        <w:t xml:space="preserve"> </w:t>
      </w:r>
      <w:r w:rsidRPr="00BD09CB">
        <w:rPr>
          <w:rFonts w:ascii="Tahoma" w:hAnsi="Tahoma" w:cs="Tahoma"/>
          <w:sz w:val="20"/>
          <w:szCs w:val="20"/>
        </w:rPr>
        <w:t>el</w:t>
      </w:r>
      <w:r w:rsidRPr="00BD09CB">
        <w:rPr>
          <w:rFonts w:ascii="Tahoma" w:hAnsi="Tahoma" w:cs="Tahoma"/>
          <w:spacing w:val="-4"/>
          <w:sz w:val="20"/>
          <w:szCs w:val="20"/>
        </w:rPr>
        <w:t xml:space="preserve"> </w:t>
      </w:r>
      <w:r w:rsidRPr="00BD09CB">
        <w:rPr>
          <w:rFonts w:ascii="Tahoma" w:hAnsi="Tahoma" w:cs="Tahoma"/>
          <w:sz w:val="20"/>
          <w:szCs w:val="20"/>
        </w:rPr>
        <w:t>numeral</w:t>
      </w:r>
      <w:r w:rsidRPr="00BD09CB">
        <w:rPr>
          <w:rFonts w:ascii="Tahoma" w:hAnsi="Tahoma" w:cs="Tahoma"/>
          <w:spacing w:val="-4"/>
          <w:sz w:val="20"/>
          <w:szCs w:val="20"/>
        </w:rPr>
        <w:t xml:space="preserve"> </w:t>
      </w:r>
      <w:r w:rsidRPr="00BD09CB">
        <w:rPr>
          <w:rFonts w:ascii="Tahoma" w:hAnsi="Tahoma" w:cs="Tahoma"/>
          <w:sz w:val="20"/>
          <w:szCs w:val="20"/>
        </w:rPr>
        <w:t>1,</w:t>
      </w:r>
      <w:r w:rsidRPr="00BD09CB">
        <w:rPr>
          <w:rFonts w:ascii="Tahoma" w:hAnsi="Tahoma" w:cs="Tahoma"/>
          <w:spacing w:val="-6"/>
          <w:sz w:val="20"/>
          <w:szCs w:val="20"/>
        </w:rPr>
        <w:t xml:space="preserve"> </w:t>
      </w:r>
      <w:r w:rsidRPr="00BD09CB">
        <w:rPr>
          <w:rFonts w:ascii="Tahoma" w:hAnsi="Tahoma" w:cs="Tahoma"/>
          <w:sz w:val="20"/>
          <w:szCs w:val="20"/>
        </w:rPr>
        <w:t>del</w:t>
      </w:r>
      <w:r w:rsidRPr="00BD09CB">
        <w:rPr>
          <w:rFonts w:ascii="Tahoma" w:hAnsi="Tahoma" w:cs="Tahoma"/>
          <w:spacing w:val="-4"/>
          <w:sz w:val="20"/>
          <w:szCs w:val="20"/>
        </w:rPr>
        <w:t xml:space="preserve"> </w:t>
      </w:r>
      <w:r w:rsidRPr="00BD09CB">
        <w:rPr>
          <w:rFonts w:ascii="Tahoma" w:hAnsi="Tahoma" w:cs="Tahoma"/>
          <w:sz w:val="20"/>
          <w:szCs w:val="20"/>
        </w:rPr>
        <w:t>artículo</w:t>
      </w:r>
      <w:r w:rsidRPr="00BD09CB">
        <w:rPr>
          <w:rFonts w:ascii="Tahoma" w:hAnsi="Tahoma" w:cs="Tahoma"/>
          <w:spacing w:val="-7"/>
          <w:sz w:val="20"/>
          <w:szCs w:val="20"/>
        </w:rPr>
        <w:t xml:space="preserve"> </w:t>
      </w:r>
      <w:r w:rsidRPr="00BD09CB">
        <w:rPr>
          <w:rFonts w:ascii="Tahoma" w:hAnsi="Tahoma" w:cs="Tahoma"/>
          <w:sz w:val="20"/>
          <w:szCs w:val="20"/>
        </w:rPr>
        <w:t>334</w:t>
      </w:r>
      <w:r w:rsidRPr="00BD09CB">
        <w:rPr>
          <w:rFonts w:ascii="Tahoma" w:hAnsi="Tahoma" w:cs="Tahoma"/>
          <w:spacing w:val="-6"/>
          <w:sz w:val="20"/>
          <w:szCs w:val="20"/>
        </w:rPr>
        <w:t xml:space="preserve"> </w:t>
      </w:r>
      <w:r w:rsidRPr="00BD09CB">
        <w:rPr>
          <w:rFonts w:ascii="Tahoma" w:hAnsi="Tahoma" w:cs="Tahoma"/>
          <w:sz w:val="20"/>
          <w:szCs w:val="20"/>
        </w:rPr>
        <w:t>del</w:t>
      </w:r>
      <w:r w:rsidRPr="00BD09CB">
        <w:rPr>
          <w:rFonts w:ascii="Tahoma" w:hAnsi="Tahoma" w:cs="Tahoma"/>
          <w:spacing w:val="-7"/>
          <w:sz w:val="20"/>
          <w:szCs w:val="20"/>
        </w:rPr>
        <w:t xml:space="preserve"> </w:t>
      </w:r>
      <w:r w:rsidRPr="00BD09CB">
        <w:rPr>
          <w:rFonts w:ascii="Tahoma" w:hAnsi="Tahoma" w:cs="Tahoma"/>
          <w:sz w:val="20"/>
          <w:szCs w:val="20"/>
        </w:rPr>
        <w:t>Código</w:t>
      </w:r>
      <w:r w:rsidRPr="00BD09CB">
        <w:rPr>
          <w:rFonts w:ascii="Tahoma" w:hAnsi="Tahoma" w:cs="Tahoma"/>
          <w:spacing w:val="-5"/>
          <w:sz w:val="20"/>
          <w:szCs w:val="20"/>
        </w:rPr>
        <w:t xml:space="preserve"> </w:t>
      </w:r>
      <w:r w:rsidRPr="00BD09CB">
        <w:rPr>
          <w:rFonts w:ascii="Tahoma" w:hAnsi="Tahoma" w:cs="Tahoma"/>
          <w:sz w:val="20"/>
          <w:szCs w:val="20"/>
        </w:rPr>
        <w:t>Procesal</w:t>
      </w:r>
      <w:r w:rsidRPr="00BD09CB">
        <w:rPr>
          <w:rFonts w:ascii="Tahoma" w:hAnsi="Tahoma" w:cs="Tahoma"/>
          <w:spacing w:val="-6"/>
          <w:sz w:val="20"/>
          <w:szCs w:val="20"/>
        </w:rPr>
        <w:t xml:space="preserve"> </w:t>
      </w:r>
      <w:r w:rsidRPr="00BD09CB">
        <w:rPr>
          <w:rFonts w:ascii="Tahoma" w:hAnsi="Tahoma" w:cs="Tahoma"/>
          <w:sz w:val="20"/>
          <w:szCs w:val="20"/>
        </w:rPr>
        <w:t>Penal,</w:t>
      </w:r>
      <w:r w:rsidRPr="00BD09CB">
        <w:rPr>
          <w:rFonts w:ascii="Tahoma" w:hAnsi="Tahoma" w:cs="Tahoma"/>
          <w:spacing w:val="-4"/>
          <w:sz w:val="20"/>
          <w:szCs w:val="20"/>
        </w:rPr>
        <w:t xml:space="preserve"> </w:t>
      </w:r>
      <w:r w:rsidRPr="00BD09CB">
        <w:rPr>
          <w:rFonts w:ascii="Tahoma" w:hAnsi="Tahoma" w:cs="Tahoma"/>
          <w:sz w:val="20"/>
          <w:szCs w:val="20"/>
        </w:rPr>
        <w:t>a</w:t>
      </w:r>
      <w:r w:rsidRPr="00BD09CB">
        <w:rPr>
          <w:rFonts w:ascii="Tahoma" w:hAnsi="Tahoma" w:cs="Tahoma"/>
          <w:spacing w:val="-4"/>
          <w:sz w:val="20"/>
          <w:szCs w:val="20"/>
        </w:rPr>
        <w:t xml:space="preserve"> </w:t>
      </w:r>
      <w:r w:rsidRPr="00BD09CB">
        <w:rPr>
          <w:rFonts w:ascii="Tahoma" w:hAnsi="Tahoma" w:cs="Tahoma"/>
          <w:sz w:val="20"/>
          <w:szCs w:val="20"/>
        </w:rPr>
        <w:t>fin</w:t>
      </w:r>
      <w:r w:rsidRPr="00BD09CB">
        <w:rPr>
          <w:rFonts w:ascii="Tahoma" w:hAnsi="Tahoma" w:cs="Tahoma"/>
          <w:spacing w:val="-6"/>
          <w:sz w:val="20"/>
          <w:szCs w:val="20"/>
        </w:rPr>
        <w:t xml:space="preserve"> </w:t>
      </w:r>
      <w:r w:rsidRPr="00BD09CB">
        <w:rPr>
          <w:rFonts w:ascii="Tahoma" w:hAnsi="Tahoma" w:cs="Tahoma"/>
          <w:sz w:val="20"/>
          <w:szCs w:val="20"/>
        </w:rPr>
        <w:t>de</w:t>
      </w:r>
      <w:r w:rsidRPr="00BD09CB">
        <w:rPr>
          <w:rFonts w:ascii="Tahoma" w:hAnsi="Tahoma" w:cs="Tahoma"/>
          <w:spacing w:val="1"/>
          <w:sz w:val="20"/>
          <w:szCs w:val="20"/>
        </w:rPr>
        <w:t xml:space="preserve"> </w:t>
      </w:r>
      <w:r w:rsidRPr="00BD09CB">
        <w:rPr>
          <w:rFonts w:ascii="Tahoma" w:hAnsi="Tahoma" w:cs="Tahoma"/>
          <w:sz w:val="20"/>
          <w:szCs w:val="20"/>
        </w:rPr>
        <w:t xml:space="preserve">que, de considerarlo, pueda ejercer su derecho a impugnar dentro del plazo legal </w:t>
      </w:r>
      <w:r w:rsidRPr="00BD09CB">
        <w:rPr>
          <w:rFonts w:ascii="Tahoma" w:hAnsi="Tahoma" w:cs="Tahoma"/>
          <w:bCs/>
          <w:sz w:val="20"/>
          <w:szCs w:val="20"/>
        </w:rPr>
        <w:t>(cinco días)</w:t>
      </w:r>
      <w:r w:rsidRPr="00BD09CB">
        <w:rPr>
          <w:rFonts w:ascii="Tahoma" w:hAnsi="Tahoma" w:cs="Tahoma"/>
          <w:sz w:val="20"/>
          <w:szCs w:val="20"/>
        </w:rPr>
        <w:t xml:space="preserve"> al correo </w:t>
      </w:r>
      <w:r w:rsidR="008364EE" w:rsidRPr="008364EE">
        <w:rPr>
          <w:rFonts w:ascii="Tahoma" w:hAnsi="Tahoma" w:cs="Tahoma"/>
          <w:sz w:val="20"/>
          <w:szCs w:val="20"/>
        </w:rPr>
        <w:t>&lt;&lt;</w:t>
      </w:r>
      <w:proofErr w:type="spellStart"/>
      <w:r w:rsidR="008364EE" w:rsidRPr="008364EE">
        <w:rPr>
          <w:rFonts w:ascii="Tahoma" w:hAnsi="Tahoma" w:cs="Tahoma"/>
          <w:sz w:val="20"/>
          <w:szCs w:val="20"/>
        </w:rPr>
        <w:t>cor</w:t>
      </w:r>
      <w:r w:rsidR="008364EE">
        <w:rPr>
          <w:rFonts w:ascii="Tahoma" w:hAnsi="Tahoma" w:cs="Tahoma"/>
          <w:sz w:val="20"/>
          <w:szCs w:val="20"/>
        </w:rPr>
        <w:t>reo_despacho</w:t>
      </w:r>
      <w:proofErr w:type="spellEnd"/>
      <w:r w:rsidR="008364EE">
        <w:rPr>
          <w:rFonts w:ascii="Tahoma" w:hAnsi="Tahoma" w:cs="Tahoma"/>
          <w:sz w:val="20"/>
          <w:szCs w:val="20"/>
        </w:rPr>
        <w:t>&gt;&gt;</w:t>
      </w:r>
    </w:p>
    <w:p w14:paraId="6F2D5E53" w14:textId="77777777" w:rsidR="00222156" w:rsidRPr="00BD09CB" w:rsidRDefault="00222156" w:rsidP="00222156">
      <w:pPr>
        <w:pStyle w:val="Textoindependiente"/>
        <w:contextualSpacing/>
        <w:jc w:val="both"/>
        <w:rPr>
          <w:rFonts w:ascii="Tahoma" w:hAnsi="Tahoma" w:cs="Tahoma"/>
          <w:sz w:val="20"/>
          <w:szCs w:val="20"/>
        </w:rPr>
      </w:pPr>
    </w:p>
    <w:p w14:paraId="3A889335" w14:textId="77777777" w:rsidR="00222156" w:rsidRPr="00BD09CB" w:rsidRDefault="00222156" w:rsidP="00222156">
      <w:pPr>
        <w:pStyle w:val="Textoindependiente"/>
        <w:contextualSpacing/>
        <w:jc w:val="both"/>
        <w:rPr>
          <w:rFonts w:ascii="Tahoma" w:hAnsi="Tahoma" w:cs="Tahoma"/>
          <w:b/>
          <w:sz w:val="20"/>
          <w:szCs w:val="20"/>
        </w:rPr>
      </w:pPr>
      <w:r w:rsidRPr="00BD09CB">
        <w:rPr>
          <w:rFonts w:ascii="Tahoma" w:hAnsi="Tahoma" w:cs="Tahoma"/>
          <w:b/>
          <w:sz w:val="20"/>
          <w:szCs w:val="20"/>
        </w:rPr>
        <w:t>Regístrese,</w:t>
      </w:r>
      <w:r w:rsidRPr="00BD09CB">
        <w:rPr>
          <w:rFonts w:ascii="Tahoma" w:hAnsi="Tahoma" w:cs="Tahoma"/>
          <w:b/>
          <w:spacing w:val="-2"/>
          <w:sz w:val="20"/>
          <w:szCs w:val="20"/>
        </w:rPr>
        <w:t xml:space="preserve"> </w:t>
      </w:r>
      <w:r w:rsidRPr="00BD09CB">
        <w:rPr>
          <w:rFonts w:ascii="Tahoma" w:hAnsi="Tahoma" w:cs="Tahoma"/>
          <w:b/>
          <w:sz w:val="20"/>
          <w:szCs w:val="20"/>
        </w:rPr>
        <w:t>notifíquese</w:t>
      </w:r>
      <w:r w:rsidRPr="00BD09CB">
        <w:rPr>
          <w:rFonts w:ascii="Tahoma" w:hAnsi="Tahoma" w:cs="Tahoma"/>
          <w:b/>
          <w:spacing w:val="-3"/>
          <w:sz w:val="20"/>
          <w:szCs w:val="20"/>
        </w:rPr>
        <w:t xml:space="preserve"> </w:t>
      </w:r>
      <w:r w:rsidRPr="00BD09CB">
        <w:rPr>
          <w:rFonts w:ascii="Tahoma" w:hAnsi="Tahoma" w:cs="Tahoma"/>
          <w:b/>
          <w:sz w:val="20"/>
          <w:szCs w:val="20"/>
        </w:rPr>
        <w:t>y</w:t>
      </w:r>
      <w:r w:rsidRPr="00BD09CB">
        <w:rPr>
          <w:rFonts w:ascii="Tahoma" w:hAnsi="Tahoma" w:cs="Tahoma"/>
          <w:b/>
          <w:spacing w:val="-5"/>
          <w:sz w:val="20"/>
          <w:szCs w:val="20"/>
        </w:rPr>
        <w:t xml:space="preserve"> </w:t>
      </w:r>
      <w:r w:rsidRPr="00BD09CB">
        <w:rPr>
          <w:rFonts w:ascii="Tahoma" w:hAnsi="Tahoma" w:cs="Tahoma"/>
          <w:b/>
          <w:sz w:val="20"/>
          <w:szCs w:val="20"/>
        </w:rPr>
        <w:t>archívese.</w:t>
      </w:r>
    </w:p>
    <w:p w14:paraId="7F6E49C8" w14:textId="77777777" w:rsidR="00222156" w:rsidRPr="00BD09CB" w:rsidRDefault="00222156" w:rsidP="00222156">
      <w:pPr>
        <w:spacing w:line="240" w:lineRule="auto"/>
        <w:contextualSpacing/>
        <w:jc w:val="both"/>
        <w:rPr>
          <w:rFonts w:ascii="Tahoma" w:hAnsi="Tahoma" w:cs="Tahoma"/>
          <w:color w:val="000000" w:themeColor="text1"/>
          <w:sz w:val="20"/>
          <w:szCs w:val="20"/>
        </w:rPr>
      </w:pPr>
    </w:p>
    <w:p w14:paraId="451184C1" w14:textId="77777777" w:rsidR="00222156" w:rsidRDefault="00222156" w:rsidP="00222156">
      <w:pPr>
        <w:spacing w:line="240" w:lineRule="auto"/>
        <w:contextualSpacing/>
      </w:pPr>
    </w:p>
    <w:p w14:paraId="034B6FC3" w14:textId="77777777" w:rsidR="002A04AB" w:rsidRDefault="002A04AB"/>
    <w:sectPr w:rsidR="002A04AB" w:rsidSect="00222156">
      <w:headerReference w:type="default" r:id="rId7"/>
      <w:footerReference w:type="default" r:id="rId8"/>
      <w:pgSz w:w="11909" w:h="16834" w:code="9"/>
      <w:pgMar w:top="1701" w:right="1418" w:bottom="1701" w:left="1985"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7B0E86" w14:textId="77777777" w:rsidR="000A077E" w:rsidRDefault="000A077E" w:rsidP="00222156">
      <w:pPr>
        <w:spacing w:line="240" w:lineRule="auto"/>
      </w:pPr>
      <w:r>
        <w:separator/>
      </w:r>
    </w:p>
  </w:endnote>
  <w:endnote w:type="continuationSeparator" w:id="0">
    <w:p w14:paraId="6ACBC108" w14:textId="77777777" w:rsidR="000A077E" w:rsidRDefault="000A077E" w:rsidP="002221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ndale Sans UI">
    <w:altName w:val="Calibri"/>
    <w:charset w:val="00"/>
    <w:family w:val="auto"/>
    <w:pitch w:val="variable"/>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ndara">
    <w:panose1 w:val="020E0502030303020204"/>
    <w:charset w:val="00"/>
    <w:family w:val="swiss"/>
    <w:pitch w:val="variable"/>
    <w:sig w:usb0="A00002EF" w:usb1="4000A44B"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5382278"/>
      <w:docPartObj>
        <w:docPartGallery w:val="Page Numbers (Bottom of Page)"/>
        <w:docPartUnique/>
      </w:docPartObj>
    </w:sdtPr>
    <w:sdtContent>
      <w:sdt>
        <w:sdtPr>
          <w:id w:val="-1769616900"/>
          <w:docPartObj>
            <w:docPartGallery w:val="Page Numbers (Top of Page)"/>
            <w:docPartUnique/>
          </w:docPartObj>
        </w:sdtPr>
        <w:sdtContent>
          <w:p w14:paraId="029E5CF2" w14:textId="77777777" w:rsidR="00222156" w:rsidRDefault="00222156">
            <w:pPr>
              <w:pStyle w:val="Piedepgina"/>
              <w:jc w:val="right"/>
            </w:pPr>
            <w:r w:rsidRPr="00AE451B">
              <w:rPr>
                <w:sz w:val="16"/>
                <w:szCs w:val="16"/>
                <w:lang w:val="es-ES"/>
              </w:rPr>
              <w:t xml:space="preserve">Página </w:t>
            </w:r>
            <w:r w:rsidRPr="00AE451B">
              <w:rPr>
                <w:b/>
                <w:bCs/>
                <w:sz w:val="16"/>
                <w:szCs w:val="16"/>
              </w:rPr>
              <w:fldChar w:fldCharType="begin"/>
            </w:r>
            <w:r w:rsidRPr="00AE451B">
              <w:rPr>
                <w:b/>
                <w:bCs/>
                <w:sz w:val="16"/>
                <w:szCs w:val="16"/>
              </w:rPr>
              <w:instrText>PAGE</w:instrText>
            </w:r>
            <w:r w:rsidRPr="00AE451B">
              <w:rPr>
                <w:b/>
                <w:bCs/>
                <w:sz w:val="16"/>
                <w:szCs w:val="16"/>
              </w:rPr>
              <w:fldChar w:fldCharType="separate"/>
            </w:r>
            <w:r>
              <w:rPr>
                <w:b/>
                <w:bCs/>
                <w:noProof/>
                <w:sz w:val="16"/>
                <w:szCs w:val="16"/>
              </w:rPr>
              <w:t>7</w:t>
            </w:r>
            <w:r w:rsidRPr="00AE451B">
              <w:rPr>
                <w:b/>
                <w:bCs/>
                <w:sz w:val="16"/>
                <w:szCs w:val="16"/>
              </w:rPr>
              <w:fldChar w:fldCharType="end"/>
            </w:r>
            <w:r w:rsidRPr="00AE451B">
              <w:rPr>
                <w:sz w:val="16"/>
                <w:szCs w:val="16"/>
                <w:lang w:val="es-ES"/>
              </w:rPr>
              <w:t xml:space="preserve"> de </w:t>
            </w:r>
            <w:r w:rsidRPr="00AE451B">
              <w:rPr>
                <w:b/>
                <w:bCs/>
                <w:sz w:val="16"/>
                <w:szCs w:val="16"/>
              </w:rPr>
              <w:fldChar w:fldCharType="begin"/>
            </w:r>
            <w:r w:rsidRPr="00AE451B">
              <w:rPr>
                <w:b/>
                <w:bCs/>
                <w:sz w:val="16"/>
                <w:szCs w:val="16"/>
              </w:rPr>
              <w:instrText>NUMPAGES</w:instrText>
            </w:r>
            <w:r w:rsidRPr="00AE451B">
              <w:rPr>
                <w:b/>
                <w:bCs/>
                <w:sz w:val="16"/>
                <w:szCs w:val="16"/>
              </w:rPr>
              <w:fldChar w:fldCharType="separate"/>
            </w:r>
            <w:r>
              <w:rPr>
                <w:b/>
                <w:bCs/>
                <w:noProof/>
                <w:sz w:val="16"/>
                <w:szCs w:val="16"/>
              </w:rPr>
              <w:t>7</w:t>
            </w:r>
            <w:r w:rsidRPr="00AE451B">
              <w:rPr>
                <w:b/>
                <w:bCs/>
                <w:sz w:val="16"/>
                <w:szCs w:val="16"/>
              </w:rPr>
              <w:fldChar w:fldCharType="end"/>
            </w:r>
          </w:p>
        </w:sdtContent>
      </w:sdt>
    </w:sdtContent>
  </w:sdt>
  <w:p w14:paraId="10605BE6" w14:textId="77777777" w:rsidR="00222156" w:rsidRDefault="0022215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31CB25" w14:textId="77777777" w:rsidR="000A077E" w:rsidRDefault="000A077E" w:rsidP="00222156">
      <w:pPr>
        <w:spacing w:line="240" w:lineRule="auto"/>
      </w:pPr>
      <w:r>
        <w:separator/>
      </w:r>
    </w:p>
  </w:footnote>
  <w:footnote w:type="continuationSeparator" w:id="0">
    <w:p w14:paraId="4D27A67D" w14:textId="77777777" w:rsidR="000A077E" w:rsidRDefault="000A077E" w:rsidP="00222156">
      <w:pPr>
        <w:spacing w:line="240" w:lineRule="auto"/>
      </w:pPr>
      <w:r>
        <w:continuationSeparator/>
      </w:r>
    </w:p>
  </w:footnote>
  <w:footnote w:id="1">
    <w:p w14:paraId="4C1EA6C5" w14:textId="77777777" w:rsidR="00222156" w:rsidRPr="00F628F4" w:rsidRDefault="00222156" w:rsidP="00222156">
      <w:pPr>
        <w:pStyle w:val="Textonotapie"/>
        <w:rPr>
          <w:rFonts w:ascii="Tahoma" w:hAnsi="Tahoma" w:cs="Tahoma"/>
          <w:sz w:val="12"/>
          <w:szCs w:val="12"/>
        </w:rPr>
      </w:pPr>
      <w:r w:rsidRPr="00F628F4">
        <w:rPr>
          <w:rStyle w:val="Refdenotaalpie"/>
          <w:rFonts w:ascii="Tahoma" w:hAnsi="Tahoma" w:cs="Tahoma"/>
          <w:sz w:val="12"/>
          <w:szCs w:val="12"/>
        </w:rPr>
        <w:footnoteRef/>
      </w:r>
      <w:r w:rsidRPr="00F628F4">
        <w:rPr>
          <w:rFonts w:ascii="Tahoma" w:hAnsi="Tahoma" w:cs="Tahoma"/>
          <w:sz w:val="12"/>
          <w:szCs w:val="12"/>
        </w:rPr>
        <w:t xml:space="preserve"> </w:t>
      </w:r>
      <w:hyperlink r:id="rId1" w:history="1">
        <w:r w:rsidRPr="00F628F4">
          <w:rPr>
            <w:rStyle w:val="Hipervnculo"/>
            <w:rFonts w:ascii="Tahoma" w:hAnsi="Tahoma" w:cs="Tahoma"/>
            <w:sz w:val="12"/>
            <w:szCs w:val="12"/>
          </w:rPr>
          <w:t>https://www.gob.pe/institucion/mpfn/normas-legales/2818013-304-2022-mp-fn</w:t>
        </w:r>
      </w:hyperlink>
      <w:r w:rsidRPr="00F628F4">
        <w:rPr>
          <w:rFonts w:ascii="Tahoma" w:hAnsi="Tahoma" w:cs="Tahoma"/>
          <w:sz w:val="12"/>
          <w:szCs w:val="12"/>
        </w:rPr>
        <w:t xml:space="preserve"> </w:t>
      </w:r>
    </w:p>
  </w:footnote>
  <w:footnote w:id="2">
    <w:p w14:paraId="4EF0B86B" w14:textId="77777777" w:rsidR="00222156" w:rsidRPr="00D3281B" w:rsidRDefault="00222156" w:rsidP="00222156">
      <w:pPr>
        <w:pStyle w:val="Standard"/>
        <w:tabs>
          <w:tab w:val="left" w:pos="142"/>
        </w:tabs>
        <w:ind w:firstLine="17"/>
        <w:contextualSpacing/>
        <w:jc w:val="both"/>
        <w:rPr>
          <w:rFonts w:ascii="Arial" w:eastAsia="Arial Unicode MS" w:hAnsi="Arial"/>
          <w:sz w:val="14"/>
          <w:szCs w:val="14"/>
          <w:lang w:eastAsia="hi-IN"/>
        </w:rPr>
      </w:pPr>
      <w:r w:rsidRPr="00F628F4">
        <w:rPr>
          <w:rFonts w:ascii="Tahoma" w:hAnsi="Tahoma" w:cs="Tahoma"/>
          <w:bCs/>
          <w:kern w:val="22"/>
          <w:sz w:val="12"/>
          <w:szCs w:val="12"/>
        </w:rPr>
        <w:footnoteRef/>
      </w:r>
      <w:r w:rsidRPr="00F628F4">
        <w:rPr>
          <w:rFonts w:ascii="Tahoma" w:hAnsi="Tahoma" w:cs="Tahoma"/>
          <w:bCs/>
          <w:kern w:val="22"/>
          <w:sz w:val="12"/>
          <w:szCs w:val="12"/>
        </w:rPr>
        <w:tab/>
        <w:t xml:space="preserve"> Sentencia del Tribunal Constitucional Peruano, de fecha 18 de junio de 2009, en el Expediente N.º 00031-2009-PHC/TC AYACUCHO, caso Jorge Luis Arellano Alania, décimo primer fundamento jurídico; donde se estableció que: “el juicio de tipicidad no es otra cosa más que la valoración que se hace con miras a determinar si la conducta objeto de examen coincide o no con la descripción típica contenida en la ley. Es una operación mental (proceso de adecuación valorativa conducta – tipo) llevada a cabo por el intérprete mediante la cual se constata o verifica la concordancia entre el comportamiento estudiado y la descripción típica consignada en el texto legal. La norma típica debe ser vigente, valida formal y materialmente”.</w:t>
      </w:r>
    </w:p>
  </w:footnote>
  <w:footnote w:id="3">
    <w:p w14:paraId="03DFCD72" w14:textId="77777777" w:rsidR="00222156" w:rsidRPr="002F297A" w:rsidRDefault="00222156" w:rsidP="00222156">
      <w:pPr>
        <w:pStyle w:val="Textonotapie1"/>
        <w:jc w:val="both"/>
        <w:rPr>
          <w:rFonts w:ascii="Arial" w:hAnsi="Arial" w:cs="Arial"/>
          <w:sz w:val="12"/>
          <w:szCs w:val="12"/>
        </w:rPr>
      </w:pPr>
      <w:r w:rsidRPr="002F297A">
        <w:rPr>
          <w:rStyle w:val="Refdenotaalpie"/>
          <w:rFonts w:ascii="Arial" w:hAnsi="Arial" w:cs="Arial"/>
          <w:sz w:val="12"/>
          <w:szCs w:val="12"/>
        </w:rPr>
        <w:footnoteRef/>
      </w:r>
      <w:r w:rsidRPr="002F297A">
        <w:rPr>
          <w:rFonts w:ascii="Arial" w:hAnsi="Arial" w:cs="Arial"/>
          <w:sz w:val="12"/>
          <w:szCs w:val="12"/>
        </w:rPr>
        <w:t xml:space="preserve"> Artículo 334° numeral 1 del Código Procesal Penal, que prescribe: “1. Si el fiscal al calificar la denuncia o después de haber realizado o dispuesto realizar diligencias preliminares, considera que el hecho denunciado no constituye delito, no es justiciable penalmente o se presentan causas de extinción previstas en la ley, declarará que no procede formalizar u continuar con la investigación preparatoria, así como ordenará el archivo de lo actuado…”. Y el Articulo 12 de la Ley Orgánica del Ministerio Público, prescribe “la denuncia a que se refiere el artículo precedente puede presentarse ante la fiscal provincial o ante el Fiscal Superior (…) Si el Fiscal ante el que ha sido presentado no lo estimase procedente, se lo hará saber por escrito al denunciante, quien podrá recurrir en queja ante el Fiscal inmediato Superior (…). Consentida la Resolución del fiscal provincial o con la decisión del Superior, en su caso, termina el procedimiento”.</w:t>
      </w:r>
    </w:p>
  </w:footnote>
  <w:footnote w:id="4">
    <w:p w14:paraId="3BD94975" w14:textId="77777777" w:rsidR="00222156" w:rsidRPr="00012FC7" w:rsidRDefault="00222156" w:rsidP="00222156">
      <w:pPr>
        <w:spacing w:line="240" w:lineRule="auto"/>
        <w:jc w:val="both"/>
        <w:rPr>
          <w:rFonts w:ascii="Tahoma" w:hAnsi="Tahoma" w:cs="Tahoma"/>
          <w:sz w:val="12"/>
          <w:szCs w:val="12"/>
        </w:rPr>
      </w:pPr>
      <w:r w:rsidRPr="00012FC7">
        <w:rPr>
          <w:rStyle w:val="Refdenotaalpie"/>
          <w:rFonts w:ascii="Tahoma" w:hAnsi="Tahoma" w:cs="Tahoma"/>
          <w:sz w:val="12"/>
          <w:szCs w:val="12"/>
        </w:rPr>
        <w:footnoteRef/>
      </w:r>
      <w:r w:rsidRPr="00012FC7">
        <w:rPr>
          <w:rFonts w:ascii="Tahoma" w:hAnsi="Tahoma" w:cs="Tahoma"/>
          <w:sz w:val="12"/>
          <w:szCs w:val="12"/>
        </w:rPr>
        <w:t xml:space="preserve"> Recurso de Nulidad </w:t>
      </w:r>
      <w:proofErr w:type="spellStart"/>
      <w:r w:rsidRPr="00012FC7">
        <w:rPr>
          <w:rFonts w:ascii="Tahoma" w:hAnsi="Tahoma" w:cs="Tahoma"/>
          <w:sz w:val="12"/>
          <w:szCs w:val="12"/>
        </w:rPr>
        <w:t>N°</w:t>
      </w:r>
      <w:proofErr w:type="spellEnd"/>
      <w:r w:rsidRPr="00012FC7">
        <w:rPr>
          <w:rFonts w:ascii="Tahoma" w:hAnsi="Tahoma" w:cs="Tahoma"/>
          <w:sz w:val="12"/>
          <w:szCs w:val="12"/>
        </w:rPr>
        <w:t xml:space="preserve"> 3763-2011, Huancavelica, Sala Penal Permanente de la Corte Suprema.</w:t>
      </w:r>
    </w:p>
  </w:footnote>
  <w:footnote w:id="5">
    <w:p w14:paraId="19E3EC71" w14:textId="77777777" w:rsidR="00222156" w:rsidRDefault="00222156" w:rsidP="00222156">
      <w:pPr>
        <w:pStyle w:val="Textonotapie"/>
      </w:pPr>
      <w:r w:rsidRPr="00012FC7">
        <w:rPr>
          <w:rStyle w:val="Refdenotaalpie"/>
          <w:rFonts w:ascii="Tahoma" w:hAnsi="Tahoma" w:cs="Tahoma"/>
          <w:sz w:val="12"/>
          <w:szCs w:val="12"/>
        </w:rPr>
        <w:footnoteRef/>
      </w:r>
      <w:r w:rsidRPr="00012FC7">
        <w:rPr>
          <w:rFonts w:ascii="Tahoma" w:hAnsi="Tahoma" w:cs="Tahoma"/>
          <w:sz w:val="12"/>
          <w:szCs w:val="12"/>
        </w:rPr>
        <w:t xml:space="preserve"> Conforme al artículo 444° del Código Penal.</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8F67F" w14:textId="77777777" w:rsidR="00222156" w:rsidRPr="00DD7ECC" w:rsidRDefault="00222156" w:rsidP="00222156">
    <w:pPr>
      <w:pStyle w:val="Encabezado"/>
    </w:pPr>
    <w:r w:rsidRPr="00DD7ECC">
      <w:rPr>
        <w:noProof/>
      </w:rPr>
      <w:drawing>
        <wp:anchor distT="0" distB="0" distL="114300" distR="114300" simplePos="0" relativeHeight="251660288" behindDoc="1" locked="0" layoutInCell="1" allowOverlap="1" wp14:anchorId="73C7ED87" wp14:editId="3FED8B02">
          <wp:simplePos x="0" y="0"/>
          <wp:positionH relativeFrom="margin">
            <wp:posOffset>121534</wp:posOffset>
          </wp:positionH>
          <wp:positionV relativeFrom="page">
            <wp:posOffset>514712</wp:posOffset>
          </wp:positionV>
          <wp:extent cx="1924050" cy="687070"/>
          <wp:effectExtent l="0" t="0" r="0" b="0"/>
          <wp:wrapTight wrapText="bothSides">
            <wp:wrapPolygon edited="0">
              <wp:start x="0" y="0"/>
              <wp:lineTo x="0" y="20961"/>
              <wp:lineTo x="21386" y="20961"/>
              <wp:lineTo x="21386" y="0"/>
              <wp:lineTo x="0" y="0"/>
            </wp:wrapPolygon>
          </wp:wrapTight>
          <wp:docPr id="10" name="Imagen 10"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Imagen que contiene Texto&#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1924050" cy="687070"/>
                  </a:xfrm>
                  <a:prstGeom prst="rect">
                    <a:avLst/>
                  </a:prstGeom>
                </pic:spPr>
              </pic:pic>
            </a:graphicData>
          </a:graphic>
          <wp14:sizeRelH relativeFrom="margin">
            <wp14:pctWidth>0</wp14:pctWidth>
          </wp14:sizeRelH>
          <wp14:sizeRelV relativeFrom="margin">
            <wp14:pctHeight>0</wp14:pctHeight>
          </wp14:sizeRelV>
        </wp:anchor>
      </w:drawing>
    </w:r>
    <w:r w:rsidRPr="00DD7ECC">
      <w:rPr>
        <w:rFonts w:cstheme="minorHAnsi"/>
        <w:noProof/>
      </w:rPr>
      <mc:AlternateContent>
        <mc:Choice Requires="wps">
          <w:drawing>
            <wp:anchor distT="0" distB="0" distL="114935" distR="114935" simplePos="0" relativeHeight="251659264" behindDoc="0" locked="0" layoutInCell="1" allowOverlap="1" wp14:anchorId="36870D1E" wp14:editId="760F1B8D">
              <wp:simplePos x="0" y="0"/>
              <wp:positionH relativeFrom="margin">
                <wp:posOffset>2651125</wp:posOffset>
              </wp:positionH>
              <wp:positionV relativeFrom="page">
                <wp:posOffset>524510</wp:posOffset>
              </wp:positionV>
              <wp:extent cx="2703195" cy="457200"/>
              <wp:effectExtent l="0" t="0" r="1905" b="0"/>
              <wp:wrapNone/>
              <wp:docPr id="3" name="Cuadro de texto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2703195" cy="457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478264B" w14:textId="77777777" w:rsidR="00222156" w:rsidRPr="00DD7ECC" w:rsidRDefault="00222156" w:rsidP="00222156">
                          <w:pPr>
                            <w:pStyle w:val="Encabezado"/>
                            <w:tabs>
                              <w:tab w:val="center" w:pos="3686"/>
                            </w:tabs>
                            <w:jc w:val="center"/>
                            <w:rPr>
                              <w:rFonts w:ascii="Bookman Old Style" w:hAnsi="Bookman Old Style" w:cs="Tahoma"/>
                              <w:b/>
                              <w:i/>
                              <w:iCs/>
                              <w:color w:val="002060"/>
                              <w:sz w:val="18"/>
                              <w:szCs w:val="20"/>
                            </w:rPr>
                          </w:pPr>
                          <w:r w:rsidRPr="00DD7ECC">
                            <w:rPr>
                              <w:rFonts w:ascii="Bookman Old Style" w:hAnsi="Bookman Old Style" w:cs="Tahoma"/>
                              <w:b/>
                              <w:i/>
                              <w:iCs/>
                              <w:color w:val="002060"/>
                              <w:sz w:val="18"/>
                              <w:szCs w:val="20"/>
                            </w:rPr>
                            <w:t>“Año de la recuperación y consolidación de la economía”</w:t>
                          </w:r>
                        </w:p>
                        <w:p w14:paraId="3061CE02" w14:textId="77777777" w:rsidR="00222156" w:rsidRPr="00DD7ECC" w:rsidRDefault="00222156" w:rsidP="00222156">
                          <w:pPr>
                            <w:tabs>
                              <w:tab w:val="center" w:pos="3686"/>
                            </w:tabs>
                            <w:jc w:val="right"/>
                            <w:rPr>
                              <w:rFonts w:ascii="Palatino Linotype" w:hAnsi="Palatino Linotype"/>
                              <w:i/>
                              <w:iCs/>
                              <w:color w:val="00206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6870D1E" id="_x0000_t202" coordsize="21600,21600" o:spt="202" path="m,l,21600r21600,l21600,xe">
              <v:stroke joinstyle="miter"/>
              <v:path gradientshapeok="t" o:connecttype="rect"/>
            </v:shapetype>
            <v:shape id="Cuadro de texto 3" o:spid="_x0000_s1026" type="#_x0000_t202" style="position:absolute;margin-left:208.75pt;margin-top:41.3pt;width:212.85pt;height:36pt;flip:y;z-index:251659264;visibility:visible;mso-wrap-style:square;mso-width-percent:0;mso-height-percent:0;mso-wrap-distance-left:9.05pt;mso-wrap-distance-top:0;mso-wrap-distance-right:9.05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" stroked="f">
              <v:textbox inset="0,0,0,0">
                <w:txbxContent>
                  <w:p w14:paraId="2478264B" w14:textId="77777777" w:rsidR="00222156" w:rsidRPr="00DD7ECC" w:rsidRDefault="00222156" w:rsidP="00222156">
                    <w:pPr>
                      <w:pStyle w:val="Encabezado"/>
                      <w:tabs>
                        <w:tab w:val="center" w:pos="3686"/>
                      </w:tabs>
                      <w:jc w:val="center"/>
                      <w:rPr>
                        <w:rFonts w:ascii="Bookman Old Style" w:hAnsi="Bookman Old Style" w:cs="Tahoma"/>
                        <w:b/>
                        <w:i/>
                        <w:iCs/>
                        <w:color w:val="002060"/>
                        <w:sz w:val="18"/>
                        <w:szCs w:val="20"/>
                      </w:rPr>
                    </w:pPr>
                    <w:r w:rsidRPr="00DD7ECC">
                      <w:rPr>
                        <w:rFonts w:ascii="Bookman Old Style" w:hAnsi="Bookman Old Style" w:cs="Tahoma"/>
                        <w:b/>
                        <w:i/>
                        <w:iCs/>
                        <w:color w:val="002060"/>
                        <w:sz w:val="18"/>
                        <w:szCs w:val="20"/>
                      </w:rPr>
                      <w:t>“Año de la recuperación y consolidación de la economía”</w:t>
                    </w:r>
                  </w:p>
                  <w:p w14:paraId="3061CE02" w14:textId="77777777" w:rsidR="00222156" w:rsidRPr="00DD7ECC" w:rsidRDefault="00222156" w:rsidP="00222156">
                    <w:pPr>
                      <w:tabs>
                        <w:tab w:val="center" w:pos="3686"/>
                      </w:tabs>
                      <w:jc w:val="right"/>
                      <w:rPr>
                        <w:rFonts w:ascii="Palatino Linotype" w:hAnsi="Palatino Linotype"/>
                        <w:i/>
                        <w:iCs/>
                        <w:color w:val="002060"/>
                      </w:rPr>
                    </w:pPr>
                  </w:p>
                </w:txbxContent>
              </v:textbox>
              <w10:wrap anchorx="margin" anchory="page"/>
            </v:shape>
          </w:pict>
        </mc:Fallback>
      </mc:AlternateContent>
    </w:r>
    <w:r w:rsidRPr="00DD7ECC">
      <w:tab/>
    </w:r>
    <w:r w:rsidRPr="00DD7ECC">
      <w:tab/>
    </w:r>
    <w:r w:rsidRPr="00DD7ECC">
      <w:tab/>
    </w:r>
  </w:p>
  <w:p w14:paraId="458542D3" w14:textId="77777777" w:rsidR="00222156" w:rsidRPr="00DD7ECC" w:rsidRDefault="00222156" w:rsidP="00222156">
    <w:pPr>
      <w:pStyle w:val="Encabezado"/>
    </w:pPr>
  </w:p>
  <w:p w14:paraId="24616694" w14:textId="77777777" w:rsidR="00222156" w:rsidRPr="00DD7ECC" w:rsidRDefault="00222156" w:rsidP="00222156">
    <w:pPr>
      <w:pStyle w:val="Encabezado"/>
    </w:pPr>
  </w:p>
  <w:p w14:paraId="47A91202" w14:textId="77777777" w:rsidR="00222156" w:rsidRPr="00DD7ECC" w:rsidRDefault="00222156" w:rsidP="00222156">
    <w:pPr>
      <w:pStyle w:val="Encabezado"/>
    </w:pPr>
  </w:p>
  <w:p w14:paraId="3C24B330" w14:textId="77777777" w:rsidR="00222156" w:rsidRPr="00DD7ECC" w:rsidRDefault="00222156" w:rsidP="00222156">
    <w:pPr>
      <w:ind w:right="7"/>
      <w:rPr>
        <w:rFonts w:ascii="Bookman Old Style" w:eastAsia="Palatino Linotype" w:hAnsi="Bookman Old Style"/>
        <w:b/>
        <w:color w:val="002060"/>
        <w:sz w:val="18"/>
        <w:szCs w:val="18"/>
      </w:rPr>
    </w:pPr>
    <w:r w:rsidRPr="00DD7ECC">
      <w:rPr>
        <w:rFonts w:ascii="Bookman Old Style" w:eastAsia="Palatino Linotype" w:hAnsi="Bookman Old Style"/>
        <w:b/>
        <w:color w:val="002060"/>
        <w:sz w:val="18"/>
        <w:szCs w:val="18"/>
      </w:rPr>
      <w:t>DISTRITO FISCAL DE LIMA CENTRO</w:t>
    </w:r>
  </w:p>
  <w:p w14:paraId="66FB17D2" w14:textId="77777777" w:rsidR="00222156" w:rsidRPr="00DD7ECC" w:rsidRDefault="00222156" w:rsidP="00222156">
    <w:pPr>
      <w:ind w:right="4943"/>
      <w:jc w:val="center"/>
      <w:rPr>
        <w:rFonts w:ascii="Bookman Old Style" w:eastAsia="Palatino Linotype" w:hAnsi="Bookman Old Style"/>
        <w:color w:val="002060"/>
        <w:sz w:val="16"/>
        <w:szCs w:val="18"/>
      </w:rPr>
    </w:pPr>
    <w:r>
      <w:rPr>
        <w:rFonts w:ascii="Bookman Old Style" w:eastAsia="Palatino Linotype" w:hAnsi="Bookman Old Style"/>
        <w:color w:val="002060"/>
        <w:sz w:val="16"/>
        <w:szCs w:val="18"/>
      </w:rPr>
      <w:t>&lt;&lt;despacho&gt;&gt;</w:t>
    </w:r>
  </w:p>
  <w:p w14:paraId="49CDB5E5" w14:textId="77777777" w:rsidR="00222156" w:rsidRPr="00DF6AC2" w:rsidRDefault="00222156" w:rsidP="00222156">
    <w:pPr>
      <w:jc w:val="both"/>
      <w:rPr>
        <w:rFonts w:ascii="Bookman Old Style" w:hAnsi="Bookman Old Style"/>
        <w:color w:val="000000"/>
        <w:sz w:val="20"/>
        <w:szCs w:val="20"/>
      </w:rPr>
    </w:pPr>
    <w:r w:rsidRPr="00DD7ECC">
      <w:rPr>
        <w:rFonts w:ascii="Bookman Old Style" w:hAnsi="Bookman Old Style" w:cstheme="minorHAnsi"/>
        <w:color w:val="002060"/>
        <w:sz w:val="20"/>
        <w:szCs w:val="20"/>
      </w:rPr>
      <w:t>_____________________________________________________________________________________</w:t>
    </w:r>
    <w:r w:rsidRPr="00DD7ECC">
      <w:rPr>
        <w:rFonts w:ascii="Bookman Old Style" w:hAnsi="Bookman Old Style" w:cstheme="minorHAnsi"/>
        <w:sz w:val="20"/>
        <w:szCs w:val="20"/>
      </w:rPr>
      <w:t xml:space="preserve">             </w:t>
    </w:r>
    <w:r w:rsidRPr="00DD7ECC">
      <w:rPr>
        <w:rFonts w:ascii="Bookman Old Style" w:hAnsi="Bookman Old Style"/>
        <w:sz w:val="20"/>
        <w:szCs w:val="3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777EDA"/>
    <w:multiLevelType w:val="hybridMultilevel"/>
    <w:tmpl w:val="47C00A80"/>
    <w:lvl w:ilvl="0" w:tplc="520E6796">
      <w:start w:val="1"/>
      <w:numFmt w:val="upperRoman"/>
      <w:lvlText w:val="%1."/>
      <w:lvlJc w:val="left"/>
      <w:pPr>
        <w:ind w:left="1080" w:hanging="720"/>
      </w:pPr>
      <w:rPr>
        <w:rFonts w:eastAsia="Andale Sans UI" w:hint="default"/>
        <w:b/>
        <w:color w:val="000000"/>
        <w:u w:val="none"/>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29A55B7D"/>
    <w:multiLevelType w:val="hybridMultilevel"/>
    <w:tmpl w:val="1A1E334E"/>
    <w:lvl w:ilvl="0" w:tplc="8AF695D2">
      <w:start w:val="1"/>
      <w:numFmt w:val="decimal"/>
      <w:lvlText w:val="%1."/>
      <w:lvlJc w:val="left"/>
      <w:pPr>
        <w:ind w:left="720" w:hanging="360"/>
      </w:pPr>
      <w:rPr>
        <w:rFonts w:hint="default"/>
        <w:b/>
        <w:bCs/>
        <w:i w:val="0"/>
        <w:iCs w:val="0"/>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5F1E4E89"/>
    <w:multiLevelType w:val="hybridMultilevel"/>
    <w:tmpl w:val="4462C74E"/>
    <w:lvl w:ilvl="0" w:tplc="9D4C1A3E">
      <w:start w:val="1"/>
      <w:numFmt w:val="decimal"/>
      <w:lvlText w:val="%1."/>
      <w:lvlJc w:val="left"/>
      <w:pPr>
        <w:ind w:left="720" w:hanging="360"/>
      </w:pPr>
      <w:rPr>
        <w:b/>
        <w:i w:val="0"/>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732584514">
    <w:abstractNumId w:val="0"/>
  </w:num>
  <w:num w:numId="2" w16cid:durableId="1511139007">
    <w:abstractNumId w:val="2"/>
  </w:num>
  <w:num w:numId="3" w16cid:durableId="1762413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156"/>
    <w:rsid w:val="000A077E"/>
    <w:rsid w:val="0010156D"/>
    <w:rsid w:val="00222156"/>
    <w:rsid w:val="002A04AB"/>
    <w:rsid w:val="0035519C"/>
    <w:rsid w:val="00754FAD"/>
    <w:rsid w:val="007A0597"/>
    <w:rsid w:val="008364EE"/>
    <w:rsid w:val="00A0011E"/>
    <w:rsid w:val="00AC1E99"/>
    <w:rsid w:val="00B61503"/>
    <w:rsid w:val="00C33524"/>
    <w:rsid w:val="00C40D33"/>
    <w:rsid w:val="00D32679"/>
    <w:rsid w:val="00EC4716"/>
    <w:rsid w:val="00F7640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2BB8B"/>
  <w15:chartTrackingRefBased/>
  <w15:docId w15:val="{D852FF95-FCDC-45D3-B307-7FD540CC5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2156"/>
    <w:pPr>
      <w:spacing w:after="0" w:line="276" w:lineRule="auto"/>
    </w:pPr>
    <w:rPr>
      <w:rFonts w:ascii="Arial" w:eastAsia="Arial" w:hAnsi="Arial" w:cs="Arial"/>
      <w:kern w:val="0"/>
      <w:sz w:val="22"/>
      <w:szCs w:val="22"/>
      <w:lang w:val="es-419" w:eastAsia="es-PE"/>
      <w14:ligatures w14:val="none"/>
    </w:rPr>
  </w:style>
  <w:style w:type="paragraph" w:styleId="Ttulo1">
    <w:name w:val="heading 1"/>
    <w:basedOn w:val="Normal"/>
    <w:next w:val="Normal"/>
    <w:link w:val="Ttulo1Car"/>
    <w:uiPriority w:val="9"/>
    <w:qFormat/>
    <w:rsid w:val="002221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221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2215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2215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2215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22156"/>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22156"/>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22156"/>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22156"/>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2215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2215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2215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2215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2215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2215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2215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2215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22156"/>
    <w:rPr>
      <w:rFonts w:eastAsiaTheme="majorEastAsia" w:cstheme="majorBidi"/>
      <w:color w:val="272727" w:themeColor="text1" w:themeTint="D8"/>
    </w:rPr>
  </w:style>
  <w:style w:type="paragraph" w:styleId="Ttulo">
    <w:name w:val="Title"/>
    <w:basedOn w:val="Normal"/>
    <w:next w:val="Normal"/>
    <w:link w:val="TtuloCar"/>
    <w:uiPriority w:val="10"/>
    <w:qFormat/>
    <w:rsid w:val="002221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2215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2215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2215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22156"/>
    <w:pPr>
      <w:spacing w:before="160"/>
      <w:jc w:val="center"/>
    </w:pPr>
    <w:rPr>
      <w:i/>
      <w:iCs/>
      <w:color w:val="404040" w:themeColor="text1" w:themeTint="BF"/>
    </w:rPr>
  </w:style>
  <w:style w:type="character" w:customStyle="1" w:styleId="CitaCar">
    <w:name w:val="Cita Car"/>
    <w:basedOn w:val="Fuentedeprrafopredeter"/>
    <w:link w:val="Cita"/>
    <w:uiPriority w:val="29"/>
    <w:rsid w:val="00222156"/>
    <w:rPr>
      <w:i/>
      <w:iCs/>
      <w:color w:val="404040" w:themeColor="text1" w:themeTint="BF"/>
    </w:rPr>
  </w:style>
  <w:style w:type="paragraph" w:styleId="Prrafodelista">
    <w:name w:val="List Paragraph"/>
    <w:aliases w:val="Iz - Párrafo de lista,Sivsa Parrafo,Titulo parrafo,Titulo de Fígura,TITULO A,Punto,NIVEL ONE,Bulleted List,Fundamentacion,SubPárrafo de lista,Viñeta,Cuadro 2-1,Conclusiones,paul2,Lista vistosa - Énfasis 11,Lista media 2 - Énfasis 41,3,H"/>
    <w:basedOn w:val="Normal"/>
    <w:link w:val="PrrafodelistaCar"/>
    <w:uiPriority w:val="34"/>
    <w:qFormat/>
    <w:rsid w:val="00222156"/>
    <w:pPr>
      <w:ind w:left="720"/>
      <w:contextualSpacing/>
    </w:pPr>
  </w:style>
  <w:style w:type="character" w:styleId="nfasisintenso">
    <w:name w:val="Intense Emphasis"/>
    <w:basedOn w:val="Fuentedeprrafopredeter"/>
    <w:uiPriority w:val="21"/>
    <w:qFormat/>
    <w:rsid w:val="00222156"/>
    <w:rPr>
      <w:i/>
      <w:iCs/>
      <w:color w:val="0F4761" w:themeColor="accent1" w:themeShade="BF"/>
    </w:rPr>
  </w:style>
  <w:style w:type="paragraph" w:styleId="Citadestacada">
    <w:name w:val="Intense Quote"/>
    <w:basedOn w:val="Normal"/>
    <w:next w:val="Normal"/>
    <w:link w:val="CitadestacadaCar"/>
    <w:uiPriority w:val="30"/>
    <w:qFormat/>
    <w:rsid w:val="002221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22156"/>
    <w:rPr>
      <w:i/>
      <w:iCs/>
      <w:color w:val="0F4761" w:themeColor="accent1" w:themeShade="BF"/>
    </w:rPr>
  </w:style>
  <w:style w:type="character" w:styleId="Referenciaintensa">
    <w:name w:val="Intense Reference"/>
    <w:basedOn w:val="Fuentedeprrafopredeter"/>
    <w:uiPriority w:val="32"/>
    <w:qFormat/>
    <w:rsid w:val="00222156"/>
    <w:rPr>
      <w:b/>
      <w:bCs/>
      <w:smallCaps/>
      <w:color w:val="0F4761" w:themeColor="accent1" w:themeShade="BF"/>
      <w:spacing w:val="5"/>
    </w:rPr>
  </w:style>
  <w:style w:type="paragraph" w:styleId="Piedepgina">
    <w:name w:val="footer"/>
    <w:basedOn w:val="Normal"/>
    <w:link w:val="PiedepginaCar"/>
    <w:uiPriority w:val="99"/>
    <w:unhideWhenUsed/>
    <w:rsid w:val="00222156"/>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222156"/>
    <w:rPr>
      <w:rFonts w:ascii="Arial" w:eastAsia="Arial" w:hAnsi="Arial" w:cs="Arial"/>
      <w:kern w:val="0"/>
      <w:sz w:val="22"/>
      <w:szCs w:val="22"/>
      <w:lang w:val="es-419" w:eastAsia="es-PE"/>
      <w14:ligatures w14:val="none"/>
    </w:rPr>
  </w:style>
  <w:style w:type="paragraph" w:customStyle="1" w:styleId="Textbody">
    <w:name w:val="Text body"/>
    <w:basedOn w:val="Normal"/>
    <w:rsid w:val="00222156"/>
    <w:pPr>
      <w:widowControl w:val="0"/>
      <w:suppressAutoHyphens/>
      <w:autoSpaceDN w:val="0"/>
      <w:spacing w:after="120" w:line="240" w:lineRule="auto"/>
      <w:textAlignment w:val="baseline"/>
    </w:pPr>
    <w:rPr>
      <w:rFonts w:ascii="Times New Roman" w:eastAsia="SimSun" w:hAnsi="Times New Roman"/>
      <w:kern w:val="3"/>
      <w:sz w:val="24"/>
      <w:szCs w:val="24"/>
      <w:lang w:val="es-PE" w:eastAsia="zh-CN" w:bidi="hi-IN"/>
    </w:rPr>
  </w:style>
  <w:style w:type="paragraph" w:customStyle="1" w:styleId="Standard">
    <w:name w:val="Standard"/>
    <w:qFormat/>
    <w:rsid w:val="00222156"/>
    <w:pPr>
      <w:widowControl w:val="0"/>
      <w:suppressAutoHyphens/>
      <w:autoSpaceDN w:val="0"/>
      <w:spacing w:after="0" w:line="240" w:lineRule="auto"/>
      <w:textAlignment w:val="baseline"/>
    </w:pPr>
    <w:rPr>
      <w:rFonts w:ascii="Times New Roman" w:eastAsia="SimSun" w:hAnsi="Times New Roman" w:cs="Arial"/>
      <w:kern w:val="3"/>
      <w:lang w:eastAsia="zh-CN" w:bidi="hi-IN"/>
      <w14:ligatures w14:val="none"/>
    </w:rPr>
  </w:style>
  <w:style w:type="character" w:customStyle="1" w:styleId="PrrafodelistaCar">
    <w:name w:val="Párrafo de lista Car"/>
    <w:aliases w:val="Iz - Párrafo de lista Car,Sivsa Parrafo Car,Titulo parrafo Car,Titulo de Fígura Car,TITULO A Car,Punto Car,NIVEL ONE Car,Bulleted List Car,Fundamentacion Car,SubPárrafo de lista Car,Viñeta Car,Cuadro 2-1 Car,Conclusiones Car,3 Car"/>
    <w:link w:val="Prrafodelista"/>
    <w:uiPriority w:val="34"/>
    <w:qFormat/>
    <w:locked/>
    <w:rsid w:val="00222156"/>
  </w:style>
  <w:style w:type="paragraph" w:styleId="NormalWeb">
    <w:name w:val="Normal (Web)"/>
    <w:basedOn w:val="Normal"/>
    <w:uiPriority w:val="99"/>
    <w:unhideWhenUsed/>
    <w:rsid w:val="00222156"/>
    <w:pPr>
      <w:spacing w:before="100" w:beforeAutospacing="1" w:after="119" w:line="240" w:lineRule="auto"/>
    </w:pPr>
    <w:rPr>
      <w:rFonts w:ascii="Times New Roman" w:eastAsia="Times New Roman" w:hAnsi="Times New Roman" w:cs="Times New Roman"/>
      <w:sz w:val="24"/>
      <w:szCs w:val="24"/>
      <w:lang w:val="es-PE"/>
    </w:rPr>
  </w:style>
  <w:style w:type="paragraph" w:customStyle="1" w:styleId="Textonotapie1">
    <w:name w:val="Texto nota pie1"/>
    <w:aliases w:val="Car,Car Car,Car Car Car Car Car Car Car,Car Car Car Car,Car Car Car Car Car,Car Car Car,Car Car Car Car Car Car,Car Car Car Car Car Car Car1,Car Car Car Car Car Car1"/>
    <w:basedOn w:val="Normal"/>
    <w:rsid w:val="00222156"/>
    <w:pPr>
      <w:spacing w:line="240" w:lineRule="auto"/>
    </w:pPr>
    <w:rPr>
      <w:rFonts w:asciiTheme="minorHAnsi" w:eastAsiaTheme="minorHAnsi" w:hAnsiTheme="minorHAnsi" w:cstheme="minorBidi"/>
      <w:sz w:val="20"/>
      <w:szCs w:val="20"/>
      <w:lang w:val="es-PE" w:eastAsia="en-US"/>
    </w:rPr>
  </w:style>
  <w:style w:type="character" w:styleId="Refdenotaalpie">
    <w:name w:val="footnote reference"/>
    <w:aliases w:val="16 Point,Superscript 6 Point,sobrescrito,Ref,de nota al pie,Texto de nota al pie,Appel note de bas de page,Footnotes refss,Footnote number,referencia nota al pie,BVI fnr,f,4_G,Texto nota al pie,Footnote Reference Char3,FC"/>
    <w:uiPriority w:val="99"/>
    <w:unhideWhenUsed/>
    <w:qFormat/>
    <w:rsid w:val="00222156"/>
    <w:rPr>
      <w:vertAlign w:val="superscript"/>
    </w:rPr>
  </w:style>
  <w:style w:type="paragraph" w:styleId="Textonotapie">
    <w:name w:val="footnote text"/>
    <w:aliases w:val="Footnote Text Char Char Char Char Char,Footnote Text Char Char Char Char,Footnote reference,FA Fu,Footnote Text Char Char Char,Footnote Text Cha,FA Fußnotentext,FA Fuﬂnotentext,Footnote Text Char Char,FA Fu?notentext,NOTA AL PIE TESIS PUC"/>
    <w:basedOn w:val="Normal"/>
    <w:link w:val="TextonotapieCar"/>
    <w:uiPriority w:val="99"/>
    <w:unhideWhenUsed/>
    <w:qFormat/>
    <w:rsid w:val="00222156"/>
    <w:pPr>
      <w:spacing w:line="240" w:lineRule="auto"/>
    </w:pPr>
    <w:rPr>
      <w:rFonts w:ascii="Calibri" w:eastAsia="Calibri" w:hAnsi="Calibri" w:cs="Calibri"/>
      <w:sz w:val="20"/>
      <w:szCs w:val="20"/>
      <w:lang w:val="es-PE"/>
    </w:rPr>
  </w:style>
  <w:style w:type="character" w:customStyle="1" w:styleId="TextonotapieCar">
    <w:name w:val="Texto nota pie Car"/>
    <w:aliases w:val="Footnote Text Char Char Char Char Char Car,Footnote Text Char Char Char Char Car,Footnote reference Car,FA Fu Car,Footnote Text Char Char Char Car,Footnote Text Cha Car,FA Fußnotentext Car,FA Fuﬂnotentext Car,FA Fu?notentext Car"/>
    <w:basedOn w:val="Fuentedeprrafopredeter"/>
    <w:link w:val="Textonotapie"/>
    <w:uiPriority w:val="99"/>
    <w:qFormat/>
    <w:rsid w:val="00222156"/>
    <w:rPr>
      <w:rFonts w:ascii="Calibri" w:eastAsia="Calibri" w:hAnsi="Calibri" w:cs="Calibri"/>
      <w:kern w:val="0"/>
      <w:sz w:val="20"/>
      <w:szCs w:val="20"/>
      <w:lang w:eastAsia="es-PE"/>
      <w14:ligatures w14:val="none"/>
    </w:rPr>
  </w:style>
  <w:style w:type="paragraph" w:styleId="Textoindependiente">
    <w:name w:val="Body Text"/>
    <w:basedOn w:val="Normal"/>
    <w:link w:val="TextoindependienteCar"/>
    <w:uiPriority w:val="1"/>
    <w:qFormat/>
    <w:rsid w:val="00222156"/>
    <w:pPr>
      <w:widowControl w:val="0"/>
      <w:autoSpaceDE w:val="0"/>
      <w:autoSpaceDN w:val="0"/>
      <w:spacing w:line="240" w:lineRule="auto"/>
    </w:pPr>
    <w:rPr>
      <w:rFonts w:ascii="Candara" w:eastAsia="Candara" w:hAnsi="Candara" w:cs="Candara"/>
      <w:lang w:val="es-ES" w:eastAsia="en-US"/>
    </w:rPr>
  </w:style>
  <w:style w:type="character" w:customStyle="1" w:styleId="TextoindependienteCar">
    <w:name w:val="Texto independiente Car"/>
    <w:basedOn w:val="Fuentedeprrafopredeter"/>
    <w:link w:val="Textoindependiente"/>
    <w:uiPriority w:val="1"/>
    <w:rsid w:val="00222156"/>
    <w:rPr>
      <w:rFonts w:ascii="Candara" w:eastAsia="Candara" w:hAnsi="Candara" w:cs="Candara"/>
      <w:kern w:val="0"/>
      <w:sz w:val="22"/>
      <w:szCs w:val="22"/>
      <w:lang w:val="es-ES"/>
      <w14:ligatures w14:val="none"/>
    </w:rPr>
  </w:style>
  <w:style w:type="character" w:styleId="Hipervnculo">
    <w:name w:val="Hyperlink"/>
    <w:basedOn w:val="Fuentedeprrafopredeter"/>
    <w:uiPriority w:val="99"/>
    <w:unhideWhenUsed/>
    <w:rsid w:val="00222156"/>
    <w:rPr>
      <w:color w:val="467886" w:themeColor="hyperlink"/>
      <w:u w:val="single"/>
    </w:rPr>
  </w:style>
  <w:style w:type="table" w:customStyle="1" w:styleId="Tablaconcuadrcula1clara-nfasis11">
    <w:name w:val="Tabla con cuadrícula 1 clara - Énfasis 11"/>
    <w:basedOn w:val="Tablanormal"/>
    <w:uiPriority w:val="46"/>
    <w:rsid w:val="00222156"/>
    <w:pPr>
      <w:spacing w:after="0" w:line="240" w:lineRule="auto"/>
    </w:pPr>
    <w:rPr>
      <w:kern w:val="0"/>
      <w:sz w:val="22"/>
      <w:szCs w:val="22"/>
      <w14:ligatures w14:val="none"/>
    </w:r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character" w:customStyle="1" w:styleId="fadeinm1hgl8">
    <w:name w:val="_fadein_m1hgl_8"/>
    <w:basedOn w:val="Fuentedeprrafopredeter"/>
    <w:rsid w:val="00222156"/>
  </w:style>
  <w:style w:type="paragraph" w:styleId="Encabezado">
    <w:name w:val="header"/>
    <w:basedOn w:val="Normal"/>
    <w:link w:val="EncabezadoCar"/>
    <w:uiPriority w:val="99"/>
    <w:unhideWhenUsed/>
    <w:rsid w:val="00222156"/>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222156"/>
    <w:rPr>
      <w:rFonts w:ascii="Arial" w:eastAsia="Arial" w:hAnsi="Arial" w:cs="Arial"/>
      <w:kern w:val="0"/>
      <w:sz w:val="22"/>
      <w:szCs w:val="22"/>
      <w:lang w:val="es-419" w:eastAsia="es-P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s://www.gob.pe/institucion/mpfn/normas-legales/2818013-304-2022-mp-f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TotalTime>
  <Pages>6</Pages>
  <Words>2869</Words>
  <Characters>15550</Characters>
  <Application>Microsoft Office Word</Application>
  <DocSecurity>0</DocSecurity>
  <Lines>299</Lines>
  <Paragraphs>74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user01</dc:creator>
  <cp:keywords/>
  <dc:description/>
  <cp:lastModifiedBy>user01</cp:lastModifiedBy>
  <cp:revision>4</cp:revision>
  <dcterms:created xsi:type="dcterms:W3CDTF">2026-01-22T00:52:00Z</dcterms:created>
  <dcterms:modified xsi:type="dcterms:W3CDTF">2026-01-22T03:49:00Z</dcterms:modified>
</cp:coreProperties>
</file>