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1clara-nfasis11"/>
        <w:tblpPr w:leftFromText="141" w:rightFromText="141" w:vertAnchor="text" w:horzAnchor="margin" w:tblpXSpec="right" w:tblpY="73"/>
        <w:tblW w:w="0" w:type="auto"/>
        <w:tblLook w:val="04A0" w:firstRow="1" w:lastRow="0" w:firstColumn="1" w:lastColumn="0" w:noHBand="0" w:noVBand="1"/>
      </w:tblPr>
      <w:tblGrid>
        <w:gridCol w:w="1944"/>
        <w:gridCol w:w="289"/>
        <w:gridCol w:w="3518"/>
      </w:tblGrid>
      <w:tr w:rsidR="004B0D53" w:rsidRPr="004B0D53" w14:paraId="4111F421" w14:textId="77777777" w:rsidTr="005428D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37E5F112" w14:textId="77777777" w:rsidR="004B0D53" w:rsidRPr="004B0D53" w:rsidRDefault="004B0D53" w:rsidP="005428D8">
            <w:pPr>
              <w:tabs>
                <w:tab w:val="left" w:pos="1446"/>
              </w:tabs>
              <w:jc w:val="both"/>
              <w:rPr>
                <w:rFonts w:ascii="Tahoma" w:eastAsia="SimSun" w:hAnsi="Tahoma" w:cs="Tahoma"/>
                <w:sz w:val="20"/>
                <w:szCs w:val="20"/>
              </w:rPr>
            </w:pPr>
            <w:bookmarkStart w:id="0" w:name="_Hlk211273409"/>
            <w:bookmarkStart w:id="1" w:name="_Hlk160092283"/>
            <w:r w:rsidRPr="004B0D53">
              <w:rPr>
                <w:rFonts w:ascii="Tahoma" w:eastAsia="SimSun" w:hAnsi="Tahoma" w:cs="Tahoma"/>
                <w:sz w:val="20"/>
                <w:szCs w:val="20"/>
              </w:rPr>
              <w:t>Carpeta Fiscal N°</w:t>
            </w:r>
          </w:p>
        </w:tc>
        <w:tc>
          <w:tcPr>
            <w:tcW w:w="0" w:type="auto"/>
            <w:shd w:val="clear" w:color="auto" w:fill="D9E2F3" w:themeFill="accent1" w:themeFillTint="33"/>
          </w:tcPr>
          <w:p w14:paraId="0B5E18A2" w14:textId="77777777" w:rsidR="004B0D53" w:rsidRPr="004B0D53" w:rsidRDefault="004B0D53" w:rsidP="005428D8">
            <w:pPr>
              <w:tabs>
                <w:tab w:val="left" w:pos="1843"/>
              </w:tabs>
              <w:jc w:val="both"/>
              <w:cnfStyle w:val="100000000000" w:firstRow="1" w:lastRow="0" w:firstColumn="0" w:lastColumn="0" w:oddVBand="0" w:evenVBand="0" w:oddHBand="0" w:evenHBand="0" w:firstRowFirstColumn="0" w:firstRowLastColumn="0" w:lastRowFirstColumn="0" w:lastRowLastColumn="0"/>
              <w:rPr>
                <w:rFonts w:ascii="Tahoma" w:eastAsia="SimSun" w:hAnsi="Tahoma" w:cs="Tahoma"/>
                <w:sz w:val="20"/>
                <w:szCs w:val="20"/>
              </w:rPr>
            </w:pPr>
            <w:r w:rsidRPr="004B0D53">
              <w:rPr>
                <w:rFonts w:ascii="Tahoma" w:eastAsia="SimSun" w:hAnsi="Tahoma" w:cs="Tahoma"/>
                <w:sz w:val="20"/>
                <w:szCs w:val="20"/>
              </w:rPr>
              <w:t>:</w:t>
            </w:r>
          </w:p>
        </w:tc>
        <w:tc>
          <w:tcPr>
            <w:tcW w:w="3518" w:type="dxa"/>
            <w:shd w:val="clear" w:color="auto" w:fill="D9E2F3" w:themeFill="accent1" w:themeFillTint="33"/>
          </w:tcPr>
          <w:p w14:paraId="33E3B134" w14:textId="2FF1F020" w:rsidR="004B0D53" w:rsidRPr="004B0D53" w:rsidRDefault="004B0D53" w:rsidP="005428D8">
            <w:pPr>
              <w:tabs>
                <w:tab w:val="left" w:pos="1560"/>
                <w:tab w:val="left" w:pos="1843"/>
              </w:tabs>
              <w:jc w:val="both"/>
              <w:cnfStyle w:val="100000000000" w:firstRow="1" w:lastRow="0" w:firstColumn="0" w:lastColumn="0" w:oddVBand="0" w:evenVBand="0" w:oddHBand="0" w:evenHBand="0" w:firstRowFirstColumn="0" w:firstRowLastColumn="0" w:lastRowFirstColumn="0" w:lastRowLastColumn="0"/>
              <w:rPr>
                <w:rFonts w:ascii="Tahoma" w:eastAsia="SimSun" w:hAnsi="Tahoma" w:cs="Tahoma"/>
                <w:b w:val="0"/>
                <w:bCs w:val="0"/>
                <w:sz w:val="20"/>
                <w:szCs w:val="20"/>
              </w:rPr>
            </w:pPr>
            <w:r w:rsidRPr="004B0D53">
              <w:rPr>
                <w:rFonts w:ascii="Tahoma" w:eastAsia="Arial Narrow" w:hAnsi="Tahoma" w:cs="Tahoma"/>
                <w:b w:val="0"/>
                <w:bCs w:val="0"/>
                <w:sz w:val="20"/>
                <w:szCs w:val="20"/>
              </w:rPr>
              <w:t>&lt;&lt;caso&gt;&gt;</w:t>
            </w:r>
          </w:p>
        </w:tc>
      </w:tr>
      <w:tr w:rsidR="004B0D53" w:rsidRPr="004B0D53" w14:paraId="6937D12C" w14:textId="77777777" w:rsidTr="005428D8">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68CF6077" w14:textId="77777777" w:rsidR="004B0D53" w:rsidRPr="004B0D53" w:rsidRDefault="004B0D53" w:rsidP="005428D8">
            <w:pPr>
              <w:tabs>
                <w:tab w:val="left" w:pos="1843"/>
              </w:tabs>
              <w:jc w:val="both"/>
              <w:rPr>
                <w:rFonts w:ascii="Tahoma" w:eastAsia="SimSun" w:hAnsi="Tahoma" w:cs="Tahoma"/>
                <w:b w:val="0"/>
                <w:bCs w:val="0"/>
                <w:sz w:val="20"/>
                <w:szCs w:val="20"/>
              </w:rPr>
            </w:pPr>
            <w:r w:rsidRPr="004B0D53">
              <w:rPr>
                <w:rFonts w:ascii="Tahoma" w:eastAsia="SimSun" w:hAnsi="Tahoma" w:cs="Tahoma"/>
                <w:b w:val="0"/>
                <w:bCs w:val="0"/>
                <w:sz w:val="20"/>
                <w:szCs w:val="20"/>
              </w:rPr>
              <w:t>Investigado:</w:t>
            </w:r>
          </w:p>
        </w:tc>
        <w:tc>
          <w:tcPr>
            <w:tcW w:w="0" w:type="auto"/>
          </w:tcPr>
          <w:p w14:paraId="76B4A432" w14:textId="77777777" w:rsidR="004B0D53" w:rsidRPr="004B0D53" w:rsidRDefault="004B0D53" w:rsidP="005428D8">
            <w:pPr>
              <w:tabs>
                <w:tab w:val="left" w:pos="1843"/>
              </w:tabs>
              <w:jc w:val="both"/>
              <w:cnfStyle w:val="000000000000" w:firstRow="0" w:lastRow="0" w:firstColumn="0" w:lastColumn="0" w:oddVBand="0" w:evenVBand="0" w:oddHBand="0" w:evenHBand="0" w:firstRowFirstColumn="0" w:firstRowLastColumn="0" w:lastRowFirstColumn="0" w:lastRowLastColumn="0"/>
              <w:rPr>
                <w:rFonts w:ascii="Tahoma" w:eastAsia="SimSun" w:hAnsi="Tahoma" w:cs="Tahoma"/>
                <w:sz w:val="20"/>
                <w:szCs w:val="20"/>
              </w:rPr>
            </w:pPr>
            <w:r w:rsidRPr="004B0D53">
              <w:rPr>
                <w:rFonts w:ascii="Tahoma" w:eastAsia="SimSun" w:hAnsi="Tahoma" w:cs="Tahoma"/>
                <w:sz w:val="20"/>
                <w:szCs w:val="20"/>
              </w:rPr>
              <w:t>:</w:t>
            </w:r>
          </w:p>
        </w:tc>
        <w:tc>
          <w:tcPr>
            <w:tcW w:w="3518" w:type="dxa"/>
          </w:tcPr>
          <w:p w14:paraId="0B0C12BF" w14:textId="77777777" w:rsidR="004B0D53" w:rsidRPr="004B0D53" w:rsidRDefault="004B0D53" w:rsidP="005428D8">
            <w:pPr>
              <w:tabs>
                <w:tab w:val="left" w:pos="1843"/>
              </w:tabs>
              <w:jc w:val="both"/>
              <w:cnfStyle w:val="000000000000" w:firstRow="0" w:lastRow="0" w:firstColumn="0" w:lastColumn="0" w:oddVBand="0" w:evenVBand="0" w:oddHBand="0" w:evenHBand="0" w:firstRowFirstColumn="0" w:firstRowLastColumn="0" w:lastRowFirstColumn="0" w:lastRowLastColumn="0"/>
              <w:rPr>
                <w:rFonts w:ascii="Tahoma" w:eastAsia="SimSun" w:hAnsi="Tahoma" w:cs="Tahoma"/>
                <w:bCs/>
                <w:sz w:val="20"/>
                <w:szCs w:val="20"/>
              </w:rPr>
            </w:pPr>
            <w:r w:rsidRPr="004B0D53">
              <w:rPr>
                <w:rFonts w:ascii="Tahoma" w:eastAsia="SimSun" w:hAnsi="Tahoma" w:cs="Tahoma"/>
                <w:bCs/>
                <w:sz w:val="20"/>
                <w:szCs w:val="20"/>
              </w:rPr>
              <w:t>Los que resulten responsables</w:t>
            </w:r>
          </w:p>
        </w:tc>
      </w:tr>
      <w:tr w:rsidR="004B0D53" w:rsidRPr="004B0D53" w14:paraId="38E94C90" w14:textId="77777777" w:rsidTr="005428D8">
        <w:trPr>
          <w:trHeight w:val="70"/>
        </w:trPr>
        <w:tc>
          <w:tcPr>
            <w:cnfStyle w:val="001000000000" w:firstRow="0" w:lastRow="0" w:firstColumn="1" w:lastColumn="0" w:oddVBand="0" w:evenVBand="0" w:oddHBand="0" w:evenHBand="0" w:firstRowFirstColumn="0" w:firstRowLastColumn="0" w:lastRowFirstColumn="0" w:lastRowLastColumn="0"/>
            <w:tcW w:w="0" w:type="auto"/>
          </w:tcPr>
          <w:p w14:paraId="1D607022" w14:textId="77777777" w:rsidR="004B0D53" w:rsidRPr="004B0D53" w:rsidRDefault="004B0D53" w:rsidP="005428D8">
            <w:pPr>
              <w:tabs>
                <w:tab w:val="left" w:pos="1843"/>
              </w:tabs>
              <w:jc w:val="both"/>
              <w:rPr>
                <w:rFonts w:ascii="Tahoma" w:eastAsia="SimSun" w:hAnsi="Tahoma" w:cs="Tahoma"/>
                <w:b w:val="0"/>
                <w:bCs w:val="0"/>
                <w:sz w:val="20"/>
                <w:szCs w:val="20"/>
              </w:rPr>
            </w:pPr>
            <w:r w:rsidRPr="004B0D53">
              <w:rPr>
                <w:rFonts w:ascii="Tahoma" w:eastAsia="SimSun" w:hAnsi="Tahoma" w:cs="Tahoma"/>
                <w:b w:val="0"/>
                <w:bCs w:val="0"/>
                <w:sz w:val="20"/>
                <w:szCs w:val="20"/>
              </w:rPr>
              <w:t>Agraviados:</w:t>
            </w:r>
          </w:p>
        </w:tc>
        <w:tc>
          <w:tcPr>
            <w:tcW w:w="0" w:type="auto"/>
          </w:tcPr>
          <w:p w14:paraId="17BA9874" w14:textId="77777777" w:rsidR="004B0D53" w:rsidRPr="004B0D53" w:rsidRDefault="004B0D53" w:rsidP="005428D8">
            <w:pPr>
              <w:tabs>
                <w:tab w:val="left" w:pos="1843"/>
              </w:tabs>
              <w:jc w:val="both"/>
              <w:cnfStyle w:val="000000000000" w:firstRow="0" w:lastRow="0" w:firstColumn="0" w:lastColumn="0" w:oddVBand="0" w:evenVBand="0" w:oddHBand="0" w:evenHBand="0" w:firstRowFirstColumn="0" w:firstRowLastColumn="0" w:lastRowFirstColumn="0" w:lastRowLastColumn="0"/>
              <w:rPr>
                <w:rFonts w:ascii="Tahoma" w:eastAsia="SimSun" w:hAnsi="Tahoma" w:cs="Tahoma"/>
                <w:sz w:val="20"/>
                <w:szCs w:val="20"/>
              </w:rPr>
            </w:pPr>
            <w:r w:rsidRPr="004B0D53">
              <w:rPr>
                <w:rFonts w:ascii="Tahoma" w:eastAsia="SimSun" w:hAnsi="Tahoma" w:cs="Tahoma"/>
                <w:sz w:val="20"/>
                <w:szCs w:val="20"/>
              </w:rPr>
              <w:t>:</w:t>
            </w:r>
          </w:p>
        </w:tc>
        <w:tc>
          <w:tcPr>
            <w:tcW w:w="3518" w:type="dxa"/>
          </w:tcPr>
          <w:p w14:paraId="6C775448" w14:textId="66322C5D" w:rsidR="004B0D53" w:rsidRPr="004B0D53" w:rsidRDefault="004B0D53" w:rsidP="005428D8">
            <w:pPr>
              <w:tabs>
                <w:tab w:val="left" w:pos="1843"/>
              </w:tabs>
              <w:jc w:val="both"/>
              <w:cnfStyle w:val="000000000000" w:firstRow="0" w:lastRow="0" w:firstColumn="0" w:lastColumn="0" w:oddVBand="0" w:evenVBand="0" w:oddHBand="0" w:evenHBand="0" w:firstRowFirstColumn="0" w:firstRowLastColumn="0" w:lastRowFirstColumn="0" w:lastRowLastColumn="0"/>
              <w:rPr>
                <w:rFonts w:ascii="Tahoma" w:eastAsia="SimSun" w:hAnsi="Tahoma" w:cs="Tahoma"/>
                <w:bCs/>
                <w:sz w:val="20"/>
                <w:szCs w:val="20"/>
              </w:rPr>
            </w:pPr>
            <w:r w:rsidRPr="004B0D53">
              <w:rPr>
                <w:rFonts w:ascii="Tahoma" w:eastAsia="Arial Narrow" w:hAnsi="Tahoma" w:cs="Tahoma"/>
                <w:bCs/>
                <w:color w:val="000000"/>
                <w:sz w:val="20"/>
                <w:szCs w:val="20"/>
              </w:rPr>
              <w:t>&lt;&lt;agraviado&gt;&gt;</w:t>
            </w:r>
          </w:p>
        </w:tc>
      </w:tr>
      <w:tr w:rsidR="004B0D53" w:rsidRPr="004B0D53" w14:paraId="730C6B27" w14:textId="77777777" w:rsidTr="005428D8">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692AF445" w14:textId="77777777" w:rsidR="004B0D53" w:rsidRPr="004B0D53" w:rsidRDefault="004B0D53" w:rsidP="005428D8">
            <w:pPr>
              <w:tabs>
                <w:tab w:val="left" w:pos="1843"/>
              </w:tabs>
              <w:jc w:val="both"/>
              <w:rPr>
                <w:rFonts w:ascii="Tahoma" w:eastAsia="SimSun" w:hAnsi="Tahoma" w:cs="Tahoma"/>
                <w:b w:val="0"/>
                <w:bCs w:val="0"/>
                <w:sz w:val="20"/>
                <w:szCs w:val="20"/>
              </w:rPr>
            </w:pPr>
            <w:r w:rsidRPr="004B0D53">
              <w:rPr>
                <w:rFonts w:ascii="Tahoma" w:eastAsia="SimSun" w:hAnsi="Tahoma" w:cs="Tahoma"/>
                <w:b w:val="0"/>
                <w:bCs w:val="0"/>
                <w:sz w:val="20"/>
                <w:szCs w:val="20"/>
              </w:rPr>
              <w:t>Delito</w:t>
            </w:r>
          </w:p>
        </w:tc>
        <w:tc>
          <w:tcPr>
            <w:tcW w:w="0" w:type="auto"/>
          </w:tcPr>
          <w:p w14:paraId="2FE9F19B" w14:textId="77777777" w:rsidR="004B0D53" w:rsidRPr="004B0D53" w:rsidRDefault="004B0D53" w:rsidP="005428D8">
            <w:pPr>
              <w:tabs>
                <w:tab w:val="left" w:pos="1843"/>
              </w:tabs>
              <w:jc w:val="both"/>
              <w:cnfStyle w:val="000000000000" w:firstRow="0" w:lastRow="0" w:firstColumn="0" w:lastColumn="0" w:oddVBand="0" w:evenVBand="0" w:oddHBand="0" w:evenHBand="0" w:firstRowFirstColumn="0" w:firstRowLastColumn="0" w:lastRowFirstColumn="0" w:lastRowLastColumn="0"/>
              <w:rPr>
                <w:rFonts w:ascii="Tahoma" w:eastAsia="SimSun" w:hAnsi="Tahoma" w:cs="Tahoma"/>
                <w:sz w:val="20"/>
                <w:szCs w:val="20"/>
              </w:rPr>
            </w:pPr>
            <w:r w:rsidRPr="004B0D53">
              <w:rPr>
                <w:rFonts w:ascii="Tahoma" w:eastAsia="SimSun" w:hAnsi="Tahoma" w:cs="Tahoma"/>
                <w:sz w:val="20"/>
                <w:szCs w:val="20"/>
              </w:rPr>
              <w:t>:</w:t>
            </w:r>
          </w:p>
        </w:tc>
        <w:tc>
          <w:tcPr>
            <w:tcW w:w="3518" w:type="dxa"/>
          </w:tcPr>
          <w:p w14:paraId="3CE6886C" w14:textId="77777777" w:rsidR="004B0D53" w:rsidRPr="004B0D53" w:rsidRDefault="004B0D53" w:rsidP="005428D8">
            <w:pPr>
              <w:jc w:val="both"/>
              <w:cnfStyle w:val="000000000000" w:firstRow="0" w:lastRow="0" w:firstColumn="0" w:lastColumn="0" w:oddVBand="0" w:evenVBand="0" w:oddHBand="0" w:evenHBand="0" w:firstRowFirstColumn="0" w:firstRowLastColumn="0" w:lastRowFirstColumn="0" w:lastRowLastColumn="0"/>
              <w:rPr>
                <w:rFonts w:ascii="Tahoma" w:eastAsia="SimSun" w:hAnsi="Tahoma" w:cs="Tahoma"/>
                <w:bCs/>
                <w:sz w:val="20"/>
                <w:szCs w:val="20"/>
              </w:rPr>
            </w:pPr>
            <w:r w:rsidRPr="004B0D53">
              <w:rPr>
                <w:rFonts w:ascii="Tahoma" w:hAnsi="Tahoma" w:cs="Tahoma"/>
                <w:sz w:val="20"/>
                <w:szCs w:val="20"/>
              </w:rPr>
              <w:t>Fraude Informático</w:t>
            </w:r>
          </w:p>
        </w:tc>
      </w:tr>
      <w:tr w:rsidR="004B0D53" w:rsidRPr="004B0D53" w14:paraId="657F37F3" w14:textId="77777777" w:rsidTr="005428D8">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3E77A1CB" w14:textId="77777777" w:rsidR="004B0D53" w:rsidRPr="004B0D53" w:rsidRDefault="004B0D53" w:rsidP="005428D8">
            <w:pPr>
              <w:tabs>
                <w:tab w:val="left" w:pos="1843"/>
              </w:tabs>
              <w:jc w:val="both"/>
              <w:rPr>
                <w:rFonts w:ascii="Tahoma" w:eastAsia="SimSun" w:hAnsi="Tahoma" w:cs="Tahoma"/>
                <w:sz w:val="20"/>
                <w:szCs w:val="20"/>
              </w:rPr>
            </w:pPr>
            <w:r w:rsidRPr="004B0D53">
              <w:rPr>
                <w:rFonts w:ascii="Tahoma" w:eastAsia="SimSun" w:hAnsi="Tahoma" w:cs="Tahoma"/>
                <w:b w:val="0"/>
                <w:bCs w:val="0"/>
                <w:sz w:val="20"/>
                <w:szCs w:val="20"/>
              </w:rPr>
              <w:t>Fiscal responsable</w:t>
            </w:r>
          </w:p>
        </w:tc>
        <w:tc>
          <w:tcPr>
            <w:tcW w:w="0" w:type="auto"/>
          </w:tcPr>
          <w:p w14:paraId="0E86AE82" w14:textId="77777777" w:rsidR="004B0D53" w:rsidRPr="004B0D53" w:rsidRDefault="004B0D53" w:rsidP="005428D8">
            <w:pPr>
              <w:tabs>
                <w:tab w:val="left" w:pos="1843"/>
              </w:tabs>
              <w:jc w:val="both"/>
              <w:cnfStyle w:val="000000000000" w:firstRow="0" w:lastRow="0" w:firstColumn="0" w:lastColumn="0" w:oddVBand="0" w:evenVBand="0" w:oddHBand="0" w:evenHBand="0" w:firstRowFirstColumn="0" w:firstRowLastColumn="0" w:lastRowFirstColumn="0" w:lastRowLastColumn="0"/>
              <w:rPr>
                <w:rFonts w:ascii="Tahoma" w:eastAsia="SimSun" w:hAnsi="Tahoma" w:cs="Tahoma"/>
                <w:sz w:val="20"/>
                <w:szCs w:val="20"/>
              </w:rPr>
            </w:pPr>
            <w:r w:rsidRPr="004B0D53">
              <w:rPr>
                <w:rFonts w:ascii="Tahoma" w:eastAsia="SimSun" w:hAnsi="Tahoma" w:cs="Tahoma"/>
                <w:sz w:val="20"/>
                <w:szCs w:val="20"/>
              </w:rPr>
              <w:t>:</w:t>
            </w:r>
          </w:p>
        </w:tc>
        <w:tc>
          <w:tcPr>
            <w:tcW w:w="3518" w:type="dxa"/>
          </w:tcPr>
          <w:p w14:paraId="5FE168D2" w14:textId="03E0488C" w:rsidR="004B0D53" w:rsidRPr="004B0D53" w:rsidRDefault="0017140E" w:rsidP="005428D8">
            <w:pPr>
              <w:jc w:val="both"/>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Pr>
                <w:rFonts w:ascii="Tahoma" w:eastAsia="SimSun" w:hAnsi="Tahoma" w:cs="Tahoma"/>
                <w:bCs/>
                <w:sz w:val="20"/>
                <w:szCs w:val="20"/>
              </w:rPr>
              <w:t>&lt;&lt;fiscal_responsable&gt;&gt;</w:t>
            </w:r>
          </w:p>
        </w:tc>
      </w:tr>
      <w:bookmarkEnd w:id="0"/>
    </w:tbl>
    <w:p w14:paraId="5C924230" w14:textId="77777777" w:rsidR="004B0D53" w:rsidRPr="004B0D53" w:rsidRDefault="004B0D53" w:rsidP="004B0D53">
      <w:pPr>
        <w:pStyle w:val="Textbody"/>
        <w:spacing w:after="0"/>
        <w:rPr>
          <w:rFonts w:ascii="Tahoma" w:hAnsi="Tahoma" w:cs="Tahoma"/>
          <w:b/>
          <w:sz w:val="20"/>
          <w:szCs w:val="20"/>
          <w:lang w:val="es-ES"/>
        </w:rPr>
      </w:pPr>
    </w:p>
    <w:p w14:paraId="72020E44" w14:textId="77777777" w:rsidR="004B0D53" w:rsidRPr="004B0D53" w:rsidRDefault="004B0D53" w:rsidP="004B0D53">
      <w:pPr>
        <w:pStyle w:val="Textbody"/>
        <w:spacing w:after="0"/>
        <w:jc w:val="center"/>
        <w:rPr>
          <w:rFonts w:ascii="Tahoma" w:hAnsi="Tahoma" w:cs="Tahoma"/>
          <w:b/>
          <w:bCs/>
          <w:color w:val="000000"/>
          <w:sz w:val="20"/>
          <w:szCs w:val="20"/>
          <w:u w:val="single"/>
        </w:rPr>
      </w:pPr>
    </w:p>
    <w:p w14:paraId="53EA36F2" w14:textId="77777777" w:rsidR="004B0D53" w:rsidRPr="004B0D53" w:rsidRDefault="004B0D53" w:rsidP="004B0D53">
      <w:pPr>
        <w:pStyle w:val="Textbody"/>
        <w:spacing w:after="0"/>
        <w:jc w:val="center"/>
        <w:rPr>
          <w:rFonts w:ascii="Tahoma" w:hAnsi="Tahoma" w:cs="Tahoma"/>
          <w:b/>
          <w:bCs/>
          <w:color w:val="000000"/>
          <w:sz w:val="20"/>
          <w:szCs w:val="20"/>
          <w:u w:val="single"/>
        </w:rPr>
      </w:pPr>
    </w:p>
    <w:p w14:paraId="5B4ABFA6" w14:textId="77777777" w:rsidR="004B0D53" w:rsidRPr="004B0D53" w:rsidRDefault="004B0D53" w:rsidP="004B0D53">
      <w:pPr>
        <w:pStyle w:val="Textbody"/>
        <w:spacing w:after="0"/>
        <w:jc w:val="center"/>
        <w:rPr>
          <w:rFonts w:ascii="Tahoma" w:hAnsi="Tahoma" w:cs="Tahoma"/>
          <w:b/>
          <w:bCs/>
          <w:color w:val="000000"/>
          <w:sz w:val="20"/>
          <w:szCs w:val="20"/>
          <w:u w:val="single"/>
        </w:rPr>
      </w:pPr>
    </w:p>
    <w:p w14:paraId="5DA7260F" w14:textId="77777777" w:rsidR="004B0D53" w:rsidRPr="004B0D53" w:rsidRDefault="004B0D53" w:rsidP="004B0D53">
      <w:pPr>
        <w:pStyle w:val="Textbody"/>
        <w:spacing w:after="0"/>
        <w:jc w:val="center"/>
        <w:rPr>
          <w:rFonts w:ascii="Tahoma" w:hAnsi="Tahoma" w:cs="Tahoma"/>
          <w:b/>
          <w:bCs/>
          <w:color w:val="000000"/>
          <w:sz w:val="20"/>
          <w:szCs w:val="20"/>
          <w:u w:val="single"/>
        </w:rPr>
      </w:pPr>
    </w:p>
    <w:p w14:paraId="706BF6B9" w14:textId="77777777" w:rsidR="004B0D53" w:rsidRPr="004B0D53" w:rsidRDefault="004B0D53" w:rsidP="004B0D53">
      <w:pPr>
        <w:pStyle w:val="Textbody"/>
        <w:spacing w:after="0"/>
        <w:jc w:val="center"/>
        <w:rPr>
          <w:rFonts w:ascii="Tahoma" w:hAnsi="Tahoma" w:cs="Tahoma"/>
          <w:b/>
          <w:bCs/>
          <w:color w:val="000000"/>
          <w:sz w:val="20"/>
          <w:szCs w:val="20"/>
          <w:u w:val="single"/>
        </w:rPr>
      </w:pPr>
    </w:p>
    <w:p w14:paraId="78E4F8E9" w14:textId="77777777" w:rsidR="004B0D53" w:rsidRPr="004B0D53" w:rsidRDefault="004B0D53" w:rsidP="004B0D53">
      <w:pPr>
        <w:pStyle w:val="Textbody"/>
        <w:spacing w:after="0"/>
        <w:jc w:val="center"/>
        <w:rPr>
          <w:rFonts w:ascii="Tahoma" w:hAnsi="Tahoma" w:cs="Tahoma"/>
          <w:b/>
          <w:bCs/>
          <w:color w:val="000000"/>
          <w:sz w:val="20"/>
          <w:szCs w:val="20"/>
          <w:u w:val="single"/>
        </w:rPr>
      </w:pPr>
    </w:p>
    <w:p w14:paraId="032DFD75" w14:textId="77777777" w:rsidR="004B0D53" w:rsidRPr="004B0D53" w:rsidRDefault="004B0D53" w:rsidP="004B0D53">
      <w:pPr>
        <w:pStyle w:val="Textbody"/>
        <w:spacing w:after="0"/>
        <w:jc w:val="center"/>
        <w:rPr>
          <w:rFonts w:ascii="Tahoma" w:hAnsi="Tahoma" w:cs="Tahoma"/>
          <w:b/>
          <w:bCs/>
          <w:color w:val="000000"/>
          <w:sz w:val="20"/>
          <w:szCs w:val="20"/>
        </w:rPr>
      </w:pPr>
      <w:r w:rsidRPr="004B0D53">
        <w:rPr>
          <w:rFonts w:ascii="Tahoma" w:hAnsi="Tahoma" w:cs="Tahoma"/>
          <w:b/>
          <w:bCs/>
          <w:color w:val="000000"/>
          <w:sz w:val="20"/>
          <w:szCs w:val="20"/>
        </w:rPr>
        <w:t>DISPOSICIÓN DE ARCHIVO LIMINAR</w:t>
      </w:r>
    </w:p>
    <w:p w14:paraId="166119E5" w14:textId="77777777" w:rsidR="004B0D53" w:rsidRPr="004B0D53" w:rsidRDefault="004B0D53" w:rsidP="004B0D53">
      <w:pPr>
        <w:pStyle w:val="Textbody"/>
        <w:spacing w:after="0"/>
        <w:jc w:val="center"/>
        <w:rPr>
          <w:rFonts w:ascii="Tahoma" w:hAnsi="Tahoma" w:cs="Tahoma"/>
          <w:b/>
          <w:sz w:val="20"/>
          <w:szCs w:val="20"/>
          <w:lang w:val="es-ES"/>
        </w:rPr>
      </w:pPr>
    </w:p>
    <w:p w14:paraId="262B1600" w14:textId="77777777" w:rsidR="004B0D53" w:rsidRPr="004B0D53" w:rsidRDefault="004B0D53" w:rsidP="004B0D53">
      <w:pPr>
        <w:pStyle w:val="Standard"/>
        <w:tabs>
          <w:tab w:val="left" w:pos="709"/>
        </w:tabs>
        <w:rPr>
          <w:rFonts w:ascii="Tahoma" w:hAnsi="Tahoma" w:cs="Tahoma"/>
          <w:b/>
          <w:bCs/>
          <w:sz w:val="20"/>
          <w:szCs w:val="20"/>
        </w:rPr>
      </w:pPr>
      <w:r w:rsidRPr="004B0D53">
        <w:rPr>
          <w:rFonts w:ascii="Tahoma" w:hAnsi="Tahoma" w:cs="Tahoma"/>
          <w:b/>
          <w:bCs/>
          <w:sz w:val="20"/>
          <w:szCs w:val="20"/>
        </w:rPr>
        <w:t>DISPOSICIÓN N° 01</w:t>
      </w:r>
    </w:p>
    <w:p w14:paraId="09D8F671" w14:textId="01488845" w:rsidR="004B0D53" w:rsidRDefault="004B0D53" w:rsidP="004B0D53">
      <w:pPr>
        <w:pStyle w:val="Textbody"/>
        <w:spacing w:after="0"/>
        <w:jc w:val="both"/>
        <w:rPr>
          <w:rFonts w:ascii="Tahoma" w:eastAsia="Arial Unicode MS" w:hAnsi="Tahoma" w:cs="Tahoma"/>
          <w:kern w:val="1"/>
          <w:sz w:val="20"/>
          <w:szCs w:val="20"/>
          <w:lang w:eastAsia="hi-IN"/>
        </w:rPr>
      </w:pPr>
      <w:r w:rsidRPr="004B0D53">
        <w:rPr>
          <w:rFonts w:ascii="Tahoma" w:hAnsi="Tahoma" w:cs="Tahoma"/>
          <w:iCs/>
          <w:sz w:val="20"/>
          <w:szCs w:val="20"/>
        </w:rPr>
        <w:t>Santiago de Surco</w:t>
      </w:r>
      <w:r w:rsidRPr="004B0D53">
        <w:rPr>
          <w:rFonts w:ascii="Tahoma" w:hAnsi="Tahoma" w:cs="Tahoma"/>
          <w:i/>
          <w:sz w:val="20"/>
          <w:szCs w:val="20"/>
        </w:rPr>
        <w:t xml:space="preserve">, </w:t>
      </w:r>
      <w:r w:rsidRPr="004B0D53">
        <w:rPr>
          <w:rFonts w:ascii="Tahoma" w:eastAsia="Arial Unicode MS" w:hAnsi="Tahoma" w:cs="Tahoma"/>
          <w:kern w:val="1"/>
          <w:sz w:val="20"/>
          <w:szCs w:val="20"/>
          <w:lang w:eastAsia="hi-IN"/>
        </w:rPr>
        <w:t>&lt;&lt;fecha_actual&gt;&gt;</w:t>
      </w:r>
    </w:p>
    <w:p w14:paraId="47F0A182" w14:textId="77777777" w:rsidR="004B0D53" w:rsidRPr="004B0D53" w:rsidRDefault="004B0D53" w:rsidP="004B0D53">
      <w:pPr>
        <w:pStyle w:val="Textbody"/>
        <w:spacing w:after="0"/>
        <w:jc w:val="both"/>
        <w:rPr>
          <w:rFonts w:ascii="Tahoma" w:hAnsi="Tahoma" w:cs="Tahoma"/>
          <w:iCs/>
          <w:sz w:val="20"/>
          <w:szCs w:val="20"/>
        </w:rPr>
      </w:pPr>
    </w:p>
    <w:p w14:paraId="63730578" w14:textId="77777777" w:rsidR="004B0D53" w:rsidRPr="004B0D53" w:rsidRDefault="004B0D53" w:rsidP="004B0D53">
      <w:pPr>
        <w:tabs>
          <w:tab w:val="left" w:pos="284"/>
        </w:tabs>
        <w:spacing w:line="240" w:lineRule="auto"/>
        <w:ind w:right="-1"/>
        <w:jc w:val="both"/>
        <w:rPr>
          <w:rFonts w:ascii="Tahoma" w:eastAsia="Andale Sans UI" w:hAnsi="Tahoma" w:cs="Tahoma"/>
          <w:b/>
          <w:bCs/>
          <w:color w:val="000000"/>
          <w:kern w:val="2"/>
          <w:sz w:val="20"/>
          <w:szCs w:val="20"/>
        </w:rPr>
      </w:pPr>
      <w:r w:rsidRPr="004B0D53">
        <w:rPr>
          <w:rFonts w:ascii="Tahoma" w:eastAsia="Andale Sans UI" w:hAnsi="Tahoma" w:cs="Tahoma"/>
          <w:b/>
          <w:bCs/>
          <w:color w:val="000000"/>
          <w:kern w:val="2"/>
          <w:sz w:val="20"/>
          <w:szCs w:val="20"/>
        </w:rPr>
        <w:t>I. VISTO</w:t>
      </w:r>
    </w:p>
    <w:p w14:paraId="4EA5C42E" w14:textId="77777777" w:rsidR="004B0D53" w:rsidRPr="004B0D53" w:rsidRDefault="004B0D53" w:rsidP="004B0D53">
      <w:pPr>
        <w:spacing w:line="240" w:lineRule="auto"/>
        <w:ind w:right="-1"/>
        <w:jc w:val="both"/>
        <w:rPr>
          <w:rFonts w:ascii="Tahoma" w:hAnsi="Tahoma" w:cs="Tahoma"/>
          <w:sz w:val="20"/>
          <w:szCs w:val="20"/>
        </w:rPr>
      </w:pPr>
    </w:p>
    <w:p w14:paraId="4863EEA7" w14:textId="1DF377F5" w:rsidR="004B0D53" w:rsidRPr="004B0D53" w:rsidRDefault="004B0D53" w:rsidP="004B0D53">
      <w:pPr>
        <w:spacing w:line="240" w:lineRule="auto"/>
        <w:ind w:right="-1"/>
        <w:jc w:val="both"/>
        <w:rPr>
          <w:rFonts w:ascii="Tahoma" w:hAnsi="Tahoma" w:cs="Tahoma"/>
          <w:sz w:val="20"/>
          <w:szCs w:val="20"/>
        </w:rPr>
      </w:pPr>
      <w:r w:rsidRPr="004B0D53">
        <w:rPr>
          <w:rFonts w:ascii="Tahoma" w:hAnsi="Tahoma" w:cs="Tahoma"/>
          <w:sz w:val="20"/>
          <w:szCs w:val="20"/>
        </w:rPr>
        <w:t xml:space="preserve">El OFICIO N° </w:t>
      </w:r>
      <w:r w:rsidRPr="004C23A4">
        <w:rPr>
          <w:rFonts w:ascii="Tahoma" w:eastAsia="SimSun" w:hAnsi="Tahoma" w:cs="Tahoma"/>
          <w:kern w:val="3"/>
          <w:sz w:val="20"/>
          <w:szCs w:val="20"/>
          <w:lang w:eastAsia="zh-CN" w:bidi="hi-IN"/>
        </w:rPr>
        <w:t>&lt;&lt;oficio&gt;&gt;</w:t>
      </w:r>
      <w:r w:rsidRPr="004B0D53">
        <w:rPr>
          <w:rFonts w:ascii="Tahoma" w:hAnsi="Tahoma" w:cs="Tahoma"/>
          <w:sz w:val="20"/>
          <w:szCs w:val="20"/>
        </w:rPr>
        <w:t xml:space="preserve">, remitido por la </w:t>
      </w:r>
      <w:r w:rsidRPr="004C23A4">
        <w:rPr>
          <w:rFonts w:ascii="Tahoma" w:eastAsia="SimSun" w:hAnsi="Tahoma" w:cs="Tahoma"/>
          <w:kern w:val="3"/>
          <w:sz w:val="20"/>
          <w:szCs w:val="20"/>
          <w:lang w:eastAsia="zh-CN" w:bidi="hi-IN"/>
        </w:rPr>
        <w:t>&lt;&lt;remitente&gt;&gt;</w:t>
      </w:r>
      <w:r w:rsidRPr="004B0D53">
        <w:rPr>
          <w:rFonts w:ascii="Tahoma" w:hAnsi="Tahoma" w:cs="Tahoma"/>
          <w:sz w:val="20"/>
          <w:szCs w:val="20"/>
        </w:rPr>
        <w:t xml:space="preserve">, mediante el cual se remite </w:t>
      </w:r>
      <w:bookmarkStart w:id="2" w:name="_Hlk211273428"/>
      <w:r w:rsidRPr="004B0D53">
        <w:rPr>
          <w:rFonts w:ascii="Tahoma" w:hAnsi="Tahoma" w:cs="Tahoma"/>
          <w:sz w:val="20"/>
          <w:szCs w:val="20"/>
        </w:rPr>
        <w:t>la denuncia de parte interpuesta por</w:t>
      </w:r>
      <w:r w:rsidRPr="004B0D53">
        <w:rPr>
          <w:rFonts w:ascii="Tahoma" w:hAnsi="Tahoma" w:cs="Tahoma"/>
          <w:b/>
          <w:sz w:val="20"/>
          <w:szCs w:val="20"/>
        </w:rPr>
        <w:t xml:space="preserve"> </w:t>
      </w:r>
      <w:r w:rsidRPr="004C23A4">
        <w:rPr>
          <w:rFonts w:ascii="Tahoma" w:eastAsia="SimSun" w:hAnsi="Tahoma" w:cs="Tahoma"/>
          <w:bCs/>
          <w:kern w:val="3"/>
          <w:sz w:val="20"/>
          <w:szCs w:val="20"/>
          <w:lang w:eastAsia="zh-CN" w:bidi="hi-IN"/>
        </w:rPr>
        <w:t>&lt;&lt;agraviado&gt;&gt;</w:t>
      </w:r>
      <w:r w:rsidRPr="004B0D53">
        <w:rPr>
          <w:rFonts w:ascii="Tahoma" w:hAnsi="Tahoma" w:cs="Tahoma"/>
          <w:sz w:val="20"/>
          <w:szCs w:val="20"/>
        </w:rPr>
        <w:t xml:space="preserve"> contra </w:t>
      </w:r>
      <w:r w:rsidRPr="004B0D53">
        <w:rPr>
          <w:rFonts w:ascii="Tahoma" w:hAnsi="Tahoma" w:cs="Tahoma"/>
          <w:b/>
          <w:bCs/>
          <w:sz w:val="20"/>
          <w:szCs w:val="20"/>
        </w:rPr>
        <w:t>LOS QUE RESULTEN RESPONSABLES</w:t>
      </w:r>
      <w:r w:rsidRPr="004B0D53">
        <w:rPr>
          <w:rFonts w:ascii="Tahoma" w:hAnsi="Tahoma" w:cs="Tahoma"/>
          <w:sz w:val="20"/>
          <w:szCs w:val="20"/>
        </w:rPr>
        <w:t xml:space="preserve">, por la presunta comisión del delito informático contra el patrimonio en la modalidad de </w:t>
      </w:r>
      <w:r w:rsidRPr="004B0D53">
        <w:rPr>
          <w:rFonts w:ascii="Tahoma" w:hAnsi="Tahoma" w:cs="Tahoma"/>
          <w:b/>
          <w:bCs/>
          <w:sz w:val="20"/>
          <w:szCs w:val="20"/>
        </w:rPr>
        <w:t>FRAUDE INFORMÁTICO</w:t>
      </w:r>
      <w:r w:rsidRPr="004B0D53">
        <w:rPr>
          <w:rFonts w:ascii="Tahoma" w:hAnsi="Tahoma" w:cs="Tahoma"/>
          <w:sz w:val="20"/>
          <w:szCs w:val="20"/>
        </w:rPr>
        <w:t>, en su agravio; y,</w:t>
      </w:r>
    </w:p>
    <w:bookmarkEnd w:id="2"/>
    <w:p w14:paraId="3CC7639F" w14:textId="77777777" w:rsidR="004B0D53" w:rsidRPr="004B0D53" w:rsidRDefault="004B0D53" w:rsidP="004B0D53">
      <w:pPr>
        <w:spacing w:line="240" w:lineRule="auto"/>
        <w:ind w:right="-1"/>
        <w:jc w:val="both"/>
        <w:rPr>
          <w:rFonts w:ascii="Tahoma" w:eastAsia="Andale Sans UI" w:hAnsi="Tahoma" w:cs="Tahoma"/>
          <w:b/>
          <w:bCs/>
          <w:color w:val="000000"/>
          <w:kern w:val="2"/>
          <w:sz w:val="20"/>
          <w:szCs w:val="20"/>
        </w:rPr>
      </w:pPr>
    </w:p>
    <w:bookmarkEnd w:id="1"/>
    <w:p w14:paraId="48459444" w14:textId="77777777" w:rsidR="004B0D53" w:rsidRPr="004B0D53" w:rsidRDefault="004B0D53" w:rsidP="004B0D53">
      <w:pPr>
        <w:spacing w:line="240" w:lineRule="auto"/>
        <w:ind w:right="-1"/>
        <w:jc w:val="both"/>
        <w:rPr>
          <w:rFonts w:ascii="Tahoma" w:eastAsia="Andale Sans UI" w:hAnsi="Tahoma" w:cs="Tahoma"/>
          <w:bCs/>
          <w:color w:val="000000"/>
          <w:kern w:val="2"/>
          <w:sz w:val="20"/>
          <w:szCs w:val="20"/>
        </w:rPr>
      </w:pPr>
      <w:r w:rsidRPr="004B0D53">
        <w:rPr>
          <w:rFonts w:ascii="Tahoma" w:eastAsia="Andale Sans UI" w:hAnsi="Tahoma" w:cs="Tahoma"/>
          <w:b/>
          <w:color w:val="000000"/>
          <w:kern w:val="2"/>
          <w:sz w:val="20"/>
          <w:szCs w:val="20"/>
        </w:rPr>
        <w:t>II. CONSIDERANDO</w:t>
      </w:r>
    </w:p>
    <w:p w14:paraId="3055D5D0" w14:textId="77777777" w:rsidR="004B0D53" w:rsidRPr="004B0D53" w:rsidRDefault="004B0D53" w:rsidP="004B0D53">
      <w:pPr>
        <w:tabs>
          <w:tab w:val="left" w:pos="-142"/>
        </w:tabs>
        <w:spacing w:line="240" w:lineRule="auto"/>
        <w:ind w:right="-1"/>
        <w:jc w:val="both"/>
        <w:rPr>
          <w:rFonts w:ascii="Tahoma" w:eastAsia="Andale Sans UI" w:hAnsi="Tahoma" w:cs="Tahoma"/>
          <w:b/>
          <w:color w:val="000000"/>
          <w:kern w:val="2"/>
          <w:sz w:val="20"/>
          <w:szCs w:val="20"/>
          <w:u w:val="single"/>
        </w:rPr>
      </w:pPr>
    </w:p>
    <w:p w14:paraId="67F84F9F" w14:textId="77777777" w:rsidR="004B0D53" w:rsidRPr="004B0D53" w:rsidRDefault="004B0D53" w:rsidP="004B0D53">
      <w:pPr>
        <w:tabs>
          <w:tab w:val="left" w:pos="-142"/>
        </w:tabs>
        <w:spacing w:line="240" w:lineRule="auto"/>
        <w:ind w:right="-1"/>
        <w:jc w:val="both"/>
        <w:rPr>
          <w:rFonts w:ascii="Tahoma" w:eastAsia="Andale Sans UI" w:hAnsi="Tahoma" w:cs="Tahoma"/>
          <w:b/>
          <w:color w:val="000000"/>
          <w:kern w:val="2"/>
          <w:sz w:val="20"/>
          <w:szCs w:val="20"/>
        </w:rPr>
      </w:pPr>
      <w:r w:rsidRPr="004B0D53">
        <w:rPr>
          <w:rFonts w:ascii="Tahoma" w:eastAsia="Andale Sans UI" w:hAnsi="Tahoma" w:cs="Tahoma"/>
          <w:b/>
          <w:color w:val="000000"/>
          <w:kern w:val="2"/>
          <w:sz w:val="20"/>
          <w:szCs w:val="20"/>
        </w:rPr>
        <w:t>PRIMERO. HECHOS DENUNCIADOS</w:t>
      </w:r>
    </w:p>
    <w:p w14:paraId="09A7B41B" w14:textId="33DAFFB6" w:rsidR="00B916AB" w:rsidRPr="00B916AB" w:rsidRDefault="00B916AB" w:rsidP="00B916AB">
      <w:pPr>
        <w:pStyle w:val="NormalWeb"/>
        <w:numPr>
          <w:ilvl w:val="0"/>
          <w:numId w:val="1"/>
        </w:numPr>
        <w:ind w:left="426"/>
        <w:jc w:val="both"/>
        <w:rPr>
          <w:rStyle w:val="fadeinm1hgl8"/>
          <w:rFonts w:ascii="Tahoma" w:eastAsia="Andale Sans UI" w:hAnsi="Tahoma" w:cs="Tahoma"/>
          <w:b/>
          <w:bCs/>
          <w:smallCaps/>
          <w:color w:val="000000"/>
          <w:kern w:val="22"/>
          <w:sz w:val="20"/>
          <w:szCs w:val="20"/>
        </w:rPr>
      </w:pPr>
      <w:r w:rsidRPr="004C23A4">
        <w:rPr>
          <w:rFonts w:ascii="Tahoma" w:eastAsia="Arial MT" w:hAnsi="Tahoma" w:cs="Tahoma"/>
          <w:sz w:val="20"/>
          <w:szCs w:val="20"/>
        </w:rPr>
        <w:t>&lt;&lt;hechos&gt;&gt;</w:t>
      </w:r>
    </w:p>
    <w:p w14:paraId="3E4D75F9" w14:textId="6EE95D28" w:rsidR="004B0D53" w:rsidRPr="004B0D53" w:rsidRDefault="004B0D53" w:rsidP="00B916AB">
      <w:pPr>
        <w:pStyle w:val="NormalWeb"/>
        <w:ind w:left="66"/>
        <w:jc w:val="both"/>
        <w:rPr>
          <w:rFonts w:ascii="Tahoma" w:eastAsia="Andale Sans UI" w:hAnsi="Tahoma" w:cs="Tahoma"/>
          <w:b/>
          <w:bCs/>
          <w:smallCaps/>
          <w:color w:val="000000"/>
          <w:kern w:val="22"/>
          <w:sz w:val="20"/>
          <w:szCs w:val="20"/>
        </w:rPr>
      </w:pPr>
      <w:r w:rsidRPr="004B0D53">
        <w:rPr>
          <w:rFonts w:ascii="Tahoma" w:eastAsia="Andale Sans UI" w:hAnsi="Tahoma" w:cs="Tahoma"/>
          <w:b/>
          <w:color w:val="000000"/>
          <w:kern w:val="2"/>
          <w:sz w:val="20"/>
          <w:szCs w:val="20"/>
        </w:rPr>
        <w:t>SEGUNDO</w:t>
      </w:r>
      <w:r w:rsidRPr="004B0D53">
        <w:rPr>
          <w:rFonts w:ascii="Tahoma" w:eastAsia="Andale Sans UI" w:hAnsi="Tahoma" w:cs="Tahoma"/>
          <w:b/>
          <w:smallCaps/>
          <w:kern w:val="22"/>
          <w:sz w:val="20"/>
          <w:szCs w:val="20"/>
        </w:rPr>
        <w:t xml:space="preserve">. </w:t>
      </w:r>
      <w:r w:rsidRPr="004B0D53">
        <w:rPr>
          <w:rFonts w:ascii="Tahoma" w:eastAsia="Andale Sans UI" w:hAnsi="Tahoma" w:cs="Tahoma"/>
          <w:b/>
          <w:color w:val="000000"/>
          <w:kern w:val="2"/>
          <w:sz w:val="20"/>
          <w:szCs w:val="20"/>
        </w:rPr>
        <w:t>COMPETENCIA DE LAS FISCALÍAS ESPECIALIZADAS EN CIBERDELINCUENCIA DE LIMA CENTRO</w:t>
      </w:r>
    </w:p>
    <w:p w14:paraId="3CB3999D" w14:textId="77777777" w:rsidR="004B0D53" w:rsidRPr="004B0D53" w:rsidRDefault="004B0D53" w:rsidP="004B0D53">
      <w:pPr>
        <w:tabs>
          <w:tab w:val="left" w:pos="-142"/>
        </w:tabs>
        <w:spacing w:line="240" w:lineRule="auto"/>
        <w:ind w:right="-1"/>
        <w:jc w:val="both"/>
        <w:rPr>
          <w:rFonts w:ascii="Tahoma" w:eastAsia="Andale Sans UI" w:hAnsi="Tahoma" w:cs="Tahoma"/>
          <w:b/>
          <w:smallCaps/>
          <w:kern w:val="22"/>
          <w:sz w:val="20"/>
          <w:szCs w:val="20"/>
        </w:rPr>
      </w:pPr>
    </w:p>
    <w:p w14:paraId="5118F2CD" w14:textId="77777777" w:rsidR="004B0D53" w:rsidRPr="004B0D53" w:rsidRDefault="004B0D53" w:rsidP="004B0D53">
      <w:pPr>
        <w:pStyle w:val="Prrafodelista"/>
        <w:widowControl w:val="0"/>
        <w:numPr>
          <w:ilvl w:val="0"/>
          <w:numId w:val="1"/>
        </w:numPr>
        <w:tabs>
          <w:tab w:val="left" w:pos="426"/>
        </w:tabs>
        <w:suppressAutoHyphens/>
        <w:autoSpaceDN w:val="0"/>
        <w:spacing w:after="200" w:line="240" w:lineRule="auto"/>
        <w:ind w:left="426" w:right="-1"/>
        <w:contextualSpacing w:val="0"/>
        <w:jc w:val="both"/>
        <w:textAlignment w:val="baseline"/>
        <w:rPr>
          <w:rFonts w:ascii="Tahoma" w:eastAsia="Arial Unicode MS" w:hAnsi="Tahoma" w:cs="Tahoma"/>
          <w:kern w:val="2"/>
          <w:sz w:val="20"/>
          <w:szCs w:val="20"/>
          <w:lang w:eastAsia="hi-IN"/>
        </w:rPr>
      </w:pPr>
      <w:r w:rsidRPr="004B0D53">
        <w:rPr>
          <w:rFonts w:ascii="Tahoma" w:eastAsia="Arial Unicode MS" w:hAnsi="Tahoma" w:cs="Tahoma"/>
          <w:kern w:val="2"/>
          <w:sz w:val="20"/>
          <w:szCs w:val="20"/>
          <w:lang w:eastAsia="hi-IN"/>
        </w:rPr>
        <w:t xml:space="preserve">Mediante Resolución de la Fiscalía de la Nación N.° 843-2021-MP-FN, del 08 de junio de 2021 y modificatoria (denominación) Resolución N.° 848-2021-MP-FN, de 11 de junio de 2021, con el propósito de ofrecer a la sociedad un servicio eficiente y eficaz que permita acceder a una pronta administración de justicia a favor de la ciudadanía y ante la alta incidencia delictiva respecto a la vulneración y/o utilización ilegal de las tecnologías de la información o de la comunicación, se creó la Fiscalía Especializada en Ciberdelincuencia de Lima Centro, cuya competencia se rige por la Ley N.° 30096 – Ley de Delitos Informáticos, del 22 de octubre de 2013 y modificatoria establecida en la Ley N.° 30171; así como, </w:t>
      </w:r>
      <w:r w:rsidRPr="004B0D53">
        <w:rPr>
          <w:rFonts w:ascii="Tahoma" w:eastAsia="Arial Unicode MS" w:hAnsi="Tahoma" w:cs="Tahoma"/>
          <w:color w:val="000000"/>
          <w:kern w:val="2"/>
          <w:sz w:val="20"/>
          <w:szCs w:val="20"/>
          <w:lang w:eastAsia="hi-IN"/>
        </w:rPr>
        <w:t xml:space="preserve">el artículo 196-A, numeral 5) del Código Penal, debiendo dichas </w:t>
      </w:r>
      <w:r w:rsidRPr="004B0D53">
        <w:rPr>
          <w:rFonts w:ascii="Tahoma" w:eastAsia="Arial Unicode MS" w:hAnsi="Tahoma" w:cs="Tahoma"/>
          <w:kern w:val="2"/>
          <w:sz w:val="20"/>
          <w:szCs w:val="20"/>
          <w:lang w:eastAsia="hi-IN"/>
        </w:rPr>
        <w:t>modalidades ser conocidas por este Subsistema Especializado en Ciberdelincuencia de Lima Centro (Competencia territorial y especial).</w:t>
      </w:r>
    </w:p>
    <w:p w14:paraId="18CD043C" w14:textId="77777777" w:rsidR="004B0D53" w:rsidRPr="004B0D53" w:rsidRDefault="004B0D53" w:rsidP="004B0D53">
      <w:pPr>
        <w:tabs>
          <w:tab w:val="left" w:pos="-142"/>
        </w:tabs>
        <w:spacing w:line="240" w:lineRule="auto"/>
        <w:ind w:right="-1"/>
        <w:jc w:val="both"/>
        <w:rPr>
          <w:rFonts w:ascii="Tahoma" w:eastAsia="Andale Sans UI" w:hAnsi="Tahoma" w:cs="Tahoma"/>
          <w:b/>
          <w:color w:val="000000"/>
          <w:kern w:val="2"/>
          <w:sz w:val="20"/>
          <w:szCs w:val="20"/>
        </w:rPr>
      </w:pPr>
      <w:r w:rsidRPr="004B0D53">
        <w:rPr>
          <w:rFonts w:ascii="Tahoma" w:eastAsia="Andale Sans UI" w:hAnsi="Tahoma" w:cs="Tahoma"/>
          <w:b/>
          <w:color w:val="000000"/>
          <w:kern w:val="2"/>
          <w:sz w:val="20"/>
          <w:szCs w:val="20"/>
        </w:rPr>
        <w:t>TERCERO. DEL TIPO PENAL</w:t>
      </w:r>
    </w:p>
    <w:p w14:paraId="0C2830AA" w14:textId="77777777" w:rsidR="004B0D53" w:rsidRPr="004B0D53" w:rsidRDefault="004B0D53" w:rsidP="004B0D53">
      <w:pPr>
        <w:tabs>
          <w:tab w:val="left" w:pos="-142"/>
        </w:tabs>
        <w:spacing w:line="240" w:lineRule="auto"/>
        <w:ind w:right="-1"/>
        <w:jc w:val="both"/>
        <w:rPr>
          <w:rFonts w:ascii="Tahoma" w:eastAsia="Andale Sans UI" w:hAnsi="Tahoma" w:cs="Tahoma"/>
          <w:b/>
          <w:bCs/>
          <w:iCs/>
          <w:smallCaps/>
          <w:kern w:val="22"/>
          <w:sz w:val="20"/>
          <w:szCs w:val="20"/>
        </w:rPr>
      </w:pPr>
    </w:p>
    <w:p w14:paraId="7CDFAC71" w14:textId="77777777" w:rsidR="004B0D53" w:rsidRPr="004B0D53" w:rsidRDefault="004B0D53" w:rsidP="004B0D53">
      <w:pPr>
        <w:pStyle w:val="Prrafodelista"/>
        <w:widowControl w:val="0"/>
        <w:numPr>
          <w:ilvl w:val="0"/>
          <w:numId w:val="1"/>
        </w:numPr>
        <w:tabs>
          <w:tab w:val="left" w:pos="0"/>
        </w:tabs>
        <w:suppressAutoHyphens/>
        <w:autoSpaceDN w:val="0"/>
        <w:spacing w:after="200" w:line="240" w:lineRule="auto"/>
        <w:ind w:left="426"/>
        <w:contextualSpacing w:val="0"/>
        <w:jc w:val="both"/>
        <w:textAlignment w:val="baseline"/>
        <w:rPr>
          <w:rFonts w:ascii="Tahoma" w:eastAsia="Arial Unicode MS" w:hAnsi="Tahoma" w:cs="Tahoma"/>
          <w:i/>
          <w:iCs/>
          <w:kern w:val="2"/>
          <w:sz w:val="20"/>
          <w:szCs w:val="20"/>
          <w:lang w:eastAsia="hi-IN"/>
        </w:rPr>
      </w:pPr>
      <w:r w:rsidRPr="004B0D53">
        <w:rPr>
          <w:rFonts w:ascii="Tahoma" w:eastAsia="Times New Roman" w:hAnsi="Tahoma" w:cs="Tahoma"/>
          <w:sz w:val="20"/>
          <w:szCs w:val="20"/>
        </w:rPr>
        <w:t xml:space="preserve">Previo a calificar los hechos denunciados, cabe señalar que el Ministerio Público es un organismo constitucional autónomo encargado de conducir la investigación del delito desde su inicio; por lo que, ante el conocimiento de la </w:t>
      </w:r>
      <w:r w:rsidRPr="004B0D53">
        <w:rPr>
          <w:rFonts w:ascii="Tahoma" w:eastAsia="Times New Roman" w:hAnsi="Tahoma" w:cs="Tahoma"/>
          <w:i/>
          <w:sz w:val="20"/>
          <w:szCs w:val="20"/>
        </w:rPr>
        <w:t>notitia criminis</w:t>
      </w:r>
      <w:r w:rsidRPr="004B0D53">
        <w:rPr>
          <w:rFonts w:ascii="Tahoma" w:eastAsia="Times New Roman" w:hAnsi="Tahoma" w:cs="Tahoma"/>
          <w:sz w:val="20"/>
          <w:szCs w:val="20"/>
        </w:rPr>
        <w:t xml:space="preserve"> (noticia criminal), le corresponde identificar en ella, el supuesto factico de hecho penalmente relevante que justifique su intervención en el marco de dicha función. </w:t>
      </w:r>
    </w:p>
    <w:p w14:paraId="2BE75E38" w14:textId="77777777" w:rsidR="004B0D53" w:rsidRPr="004B0D53" w:rsidRDefault="004B0D53" w:rsidP="004B0D53">
      <w:pPr>
        <w:pStyle w:val="Prrafodelista"/>
        <w:widowControl w:val="0"/>
        <w:numPr>
          <w:ilvl w:val="0"/>
          <w:numId w:val="1"/>
        </w:numPr>
        <w:tabs>
          <w:tab w:val="left" w:pos="0"/>
        </w:tabs>
        <w:suppressAutoHyphens/>
        <w:autoSpaceDN w:val="0"/>
        <w:spacing w:after="200" w:line="240" w:lineRule="auto"/>
        <w:ind w:left="426"/>
        <w:contextualSpacing w:val="0"/>
        <w:jc w:val="both"/>
        <w:textAlignment w:val="baseline"/>
        <w:rPr>
          <w:rFonts w:ascii="Tahoma" w:eastAsia="Arial Unicode MS" w:hAnsi="Tahoma" w:cs="Tahoma"/>
          <w:i/>
          <w:iCs/>
          <w:kern w:val="2"/>
          <w:sz w:val="20"/>
          <w:szCs w:val="20"/>
          <w:lang w:eastAsia="hi-IN"/>
        </w:rPr>
      </w:pPr>
      <w:r w:rsidRPr="004B0D53">
        <w:rPr>
          <w:rFonts w:ascii="Tahoma" w:eastAsia="Times New Roman" w:hAnsi="Tahoma" w:cs="Tahoma"/>
          <w:sz w:val="20"/>
          <w:szCs w:val="20"/>
        </w:rPr>
        <w:t xml:space="preserve">Para tal efecto, desde luego, no está vinculado a la forma en que la parte accionante expone o relata los hechos, ni mucho menos a la calificación jurídica que propone cuya persecución </w:t>
      </w:r>
      <w:r w:rsidRPr="004B0D53">
        <w:rPr>
          <w:rFonts w:ascii="Tahoma" w:eastAsia="Times New Roman" w:hAnsi="Tahoma" w:cs="Tahoma"/>
          <w:sz w:val="20"/>
          <w:szCs w:val="20"/>
        </w:rPr>
        <w:lastRenderedPageBreak/>
        <w:t xml:space="preserve">pretende. Por el contrario, es su deber de distinguir los aspectos facticos de connotación penal, a efectos de hacer un adecuado juicio de subsunción y los elementos objetivos que la sustentan, de acuerdo a la competencia de cada despacho fiscal. </w:t>
      </w:r>
    </w:p>
    <w:p w14:paraId="661644DC" w14:textId="77777777" w:rsidR="004B0D53" w:rsidRPr="004B0D53" w:rsidRDefault="004B0D53" w:rsidP="004B0D53">
      <w:pPr>
        <w:pStyle w:val="Prrafodelista"/>
        <w:widowControl w:val="0"/>
        <w:numPr>
          <w:ilvl w:val="0"/>
          <w:numId w:val="1"/>
        </w:numPr>
        <w:tabs>
          <w:tab w:val="left" w:pos="0"/>
        </w:tabs>
        <w:suppressAutoHyphens/>
        <w:autoSpaceDN w:val="0"/>
        <w:spacing w:after="200" w:line="240" w:lineRule="auto"/>
        <w:ind w:left="426"/>
        <w:contextualSpacing w:val="0"/>
        <w:jc w:val="both"/>
        <w:textAlignment w:val="baseline"/>
        <w:rPr>
          <w:rFonts w:ascii="Tahoma" w:eastAsia="Arial Unicode MS" w:hAnsi="Tahoma" w:cs="Tahoma"/>
          <w:i/>
          <w:iCs/>
          <w:kern w:val="2"/>
          <w:sz w:val="20"/>
          <w:szCs w:val="20"/>
          <w:lang w:eastAsia="hi-IN"/>
        </w:rPr>
      </w:pPr>
      <w:r w:rsidRPr="004B0D53">
        <w:rPr>
          <w:rFonts w:ascii="Tahoma" w:eastAsia="Times New Roman" w:hAnsi="Tahoma" w:cs="Tahoma"/>
          <w:sz w:val="20"/>
          <w:szCs w:val="20"/>
        </w:rPr>
        <w:t>Siendo competencia de esta</w:t>
      </w:r>
      <w:r w:rsidRPr="004B0D53">
        <w:rPr>
          <w:rFonts w:ascii="Tahoma" w:eastAsia="Arial Unicode MS" w:hAnsi="Tahoma" w:cs="Tahoma"/>
          <w:color w:val="000000"/>
          <w:kern w:val="1"/>
          <w:sz w:val="20"/>
          <w:szCs w:val="20"/>
          <w:lang w:eastAsia="hi-IN"/>
        </w:rPr>
        <w:t xml:space="preserve"> Fiscalía Especializada en Ciberdelincuencia de Lima Centro</w:t>
      </w:r>
      <w:r w:rsidRPr="004B0D53">
        <w:rPr>
          <w:rFonts w:ascii="Tahoma" w:eastAsia="Times New Roman" w:hAnsi="Tahoma" w:cs="Tahoma"/>
          <w:sz w:val="20"/>
          <w:szCs w:val="20"/>
        </w:rPr>
        <w:t>, la investigación preliminar de los delitos de</w:t>
      </w:r>
      <w:r w:rsidRPr="004B0D53">
        <w:rPr>
          <w:rFonts w:ascii="Tahoma" w:eastAsia="Arial Unicode MS" w:hAnsi="Tahoma" w:cs="Tahoma"/>
          <w:color w:val="000000"/>
          <w:kern w:val="1"/>
          <w:sz w:val="20"/>
          <w:szCs w:val="20"/>
          <w:lang w:eastAsia="hi-IN"/>
        </w:rPr>
        <w:t xml:space="preserve"> la Ley N.º 30096 - Ley de Delitos Informáticos, del 22 de octubre de 2013 y modificatoria establecida en la Ley N.º 30171; así como, </w:t>
      </w:r>
      <w:r w:rsidRPr="004B0D53">
        <w:rPr>
          <w:rFonts w:ascii="Tahoma" w:eastAsia="Arial Unicode MS" w:hAnsi="Tahoma" w:cs="Tahoma"/>
          <w:kern w:val="1"/>
          <w:sz w:val="20"/>
          <w:szCs w:val="20"/>
          <w:lang w:eastAsia="hi-IN"/>
        </w:rPr>
        <w:t xml:space="preserve">el artículo 196°-A, numeral 5, del Código Penal, debiendo dichas </w:t>
      </w:r>
      <w:r w:rsidRPr="004B0D53">
        <w:rPr>
          <w:rFonts w:ascii="Tahoma" w:eastAsia="Arial Unicode MS" w:hAnsi="Tahoma" w:cs="Tahoma"/>
          <w:color w:val="000000"/>
          <w:kern w:val="1"/>
          <w:sz w:val="20"/>
          <w:szCs w:val="20"/>
          <w:lang w:eastAsia="hi-IN"/>
        </w:rPr>
        <w:t>modalidades ser conocidas por este Subsistema Especializado en Ciberdelincuencia de Lima Centro (competencia territorial y especial)</w:t>
      </w:r>
      <w:r w:rsidRPr="004B0D53">
        <w:rPr>
          <w:rFonts w:ascii="Tahoma" w:eastAsia="Times New Roman" w:hAnsi="Tahoma" w:cs="Tahoma"/>
          <w:sz w:val="20"/>
          <w:szCs w:val="20"/>
        </w:rPr>
        <w:t xml:space="preserve">. </w:t>
      </w:r>
    </w:p>
    <w:p w14:paraId="7F5CA6CD" w14:textId="77777777" w:rsidR="004B0D53" w:rsidRPr="004B0D53" w:rsidRDefault="004B0D53" w:rsidP="004B0D53">
      <w:pPr>
        <w:pStyle w:val="Prrafodelista"/>
        <w:widowControl w:val="0"/>
        <w:numPr>
          <w:ilvl w:val="0"/>
          <w:numId w:val="1"/>
        </w:numPr>
        <w:tabs>
          <w:tab w:val="left" w:pos="0"/>
        </w:tabs>
        <w:suppressAutoHyphens/>
        <w:autoSpaceDN w:val="0"/>
        <w:spacing w:after="200" w:line="240" w:lineRule="auto"/>
        <w:ind w:left="426"/>
        <w:contextualSpacing w:val="0"/>
        <w:jc w:val="both"/>
        <w:textAlignment w:val="baseline"/>
        <w:rPr>
          <w:rFonts w:ascii="Tahoma" w:eastAsia="Arial Unicode MS" w:hAnsi="Tahoma" w:cs="Tahoma"/>
          <w:i/>
          <w:iCs/>
          <w:kern w:val="2"/>
          <w:sz w:val="20"/>
          <w:szCs w:val="20"/>
          <w:lang w:eastAsia="hi-IN"/>
        </w:rPr>
      </w:pPr>
      <w:r w:rsidRPr="004B0D53">
        <w:rPr>
          <w:rFonts w:ascii="Tahoma" w:eastAsia="Times New Roman" w:hAnsi="Tahoma" w:cs="Tahoma"/>
          <w:kern w:val="2"/>
          <w:sz w:val="20"/>
          <w:szCs w:val="20"/>
          <w:lang w:val="es-ES" w:eastAsia="ar-SA"/>
        </w:rPr>
        <w:t>En ese orden, corresponde al Ministerio Público calificar si la conducta antes detallada se subsumiría dentro de los tipos penales descritos en nuestro Código Penal o Ley especial materia de pronunciamiento de esta fiscalía, lo que se conoce también como el juicio de tipicidad</w:t>
      </w:r>
      <w:r w:rsidRPr="004B0D53">
        <w:rPr>
          <w:rFonts w:ascii="Tahoma" w:hAnsi="Tahoma" w:cs="Tahoma"/>
          <w:sz w:val="20"/>
          <w:szCs w:val="20"/>
          <w:vertAlign w:val="superscript"/>
        </w:rPr>
        <w:footnoteReference w:id="1"/>
      </w:r>
      <w:r w:rsidRPr="004B0D53">
        <w:rPr>
          <w:rFonts w:ascii="Tahoma" w:eastAsia="Times New Roman" w:hAnsi="Tahoma" w:cs="Tahoma"/>
          <w:kern w:val="2"/>
          <w:sz w:val="20"/>
          <w:szCs w:val="20"/>
          <w:lang w:val="es-ES" w:eastAsia="ar-SA"/>
        </w:rPr>
        <w:t xml:space="preserve">, siendo así, luego del análisis de los hechos denunciados y descritos a detalle en el primer considerando, tendríamos que los hechos puestos a conocimiento presentan contenido con relevancia penal, por cuanto se ajusta a la conducta típica del delito informático contra el Patrimonio, en la modalidad de FRAUDE INFORMATICO, </w:t>
      </w:r>
      <w:r w:rsidRPr="004B0D53">
        <w:rPr>
          <w:rFonts w:ascii="Tahoma" w:eastAsia="Times New Roman" w:hAnsi="Tahoma" w:cs="Tahoma"/>
          <w:color w:val="000000"/>
          <w:kern w:val="2"/>
          <w:sz w:val="20"/>
          <w:szCs w:val="20"/>
          <w:lang w:val="es-ES" w:eastAsia="ar-SA"/>
        </w:rPr>
        <w:t>previsto en el artículo 8 de la Ley 30096</w:t>
      </w:r>
      <w:r w:rsidRPr="004B0D53">
        <w:rPr>
          <w:rFonts w:ascii="Tahoma" w:eastAsia="Times New Roman" w:hAnsi="Tahoma" w:cs="Tahoma"/>
          <w:kern w:val="2"/>
          <w:sz w:val="20"/>
          <w:szCs w:val="20"/>
          <w:lang w:val="es-ES" w:eastAsia="ar-SA"/>
        </w:rPr>
        <w:t xml:space="preserve"> (y su modificatoria La Ley N.° 30171); que indica:</w:t>
      </w:r>
    </w:p>
    <w:p w14:paraId="2078027B" w14:textId="77777777" w:rsidR="004B0D53" w:rsidRPr="004B0D53" w:rsidRDefault="004B0D53" w:rsidP="004B0D53">
      <w:pPr>
        <w:widowControl w:val="0"/>
        <w:tabs>
          <w:tab w:val="left" w:pos="0"/>
        </w:tabs>
        <w:suppressAutoHyphens/>
        <w:spacing w:line="240" w:lineRule="auto"/>
        <w:ind w:left="709"/>
        <w:jc w:val="both"/>
        <w:textAlignment w:val="baseline"/>
        <w:rPr>
          <w:rFonts w:ascii="Tahoma" w:hAnsi="Tahoma" w:cs="Tahoma"/>
          <w:b/>
          <w:bCs/>
          <w:sz w:val="20"/>
          <w:szCs w:val="20"/>
        </w:rPr>
      </w:pPr>
      <w:r w:rsidRPr="004B0D53">
        <w:rPr>
          <w:rFonts w:ascii="Tahoma" w:hAnsi="Tahoma" w:cs="Tahoma"/>
          <w:b/>
          <w:bCs/>
          <w:sz w:val="20"/>
          <w:szCs w:val="20"/>
        </w:rPr>
        <w:t xml:space="preserve">Artículo 8 </w:t>
      </w:r>
      <w:r w:rsidRPr="004B0D53">
        <w:rPr>
          <w:rFonts w:ascii="Tahoma" w:eastAsia="Times New Roman" w:hAnsi="Tahoma" w:cs="Tahoma"/>
          <w:b/>
          <w:bCs/>
          <w:color w:val="000000"/>
          <w:kern w:val="2"/>
          <w:sz w:val="20"/>
          <w:szCs w:val="20"/>
          <w:lang w:val="es-ES" w:eastAsia="ar-SA"/>
        </w:rPr>
        <w:t>de la Ley 30096</w:t>
      </w:r>
      <w:r w:rsidRPr="004B0D53">
        <w:rPr>
          <w:rFonts w:ascii="Tahoma" w:hAnsi="Tahoma" w:cs="Tahoma"/>
          <w:b/>
          <w:bCs/>
          <w:sz w:val="20"/>
          <w:szCs w:val="20"/>
        </w:rPr>
        <w:t>.- Fraude informático:</w:t>
      </w:r>
    </w:p>
    <w:p w14:paraId="3703F3D6" w14:textId="77777777" w:rsidR="004B0D53" w:rsidRPr="004B0D53" w:rsidRDefault="004B0D53" w:rsidP="004B0D53">
      <w:pPr>
        <w:widowControl w:val="0"/>
        <w:tabs>
          <w:tab w:val="left" w:pos="0"/>
        </w:tabs>
        <w:suppressAutoHyphens/>
        <w:spacing w:line="240" w:lineRule="auto"/>
        <w:ind w:left="709"/>
        <w:jc w:val="both"/>
        <w:textAlignment w:val="baseline"/>
        <w:rPr>
          <w:rStyle w:val="no-style-override"/>
          <w:rFonts w:ascii="Tahoma" w:hAnsi="Tahoma" w:cs="Tahoma"/>
          <w:i/>
          <w:color w:val="000000"/>
          <w:sz w:val="20"/>
          <w:szCs w:val="20"/>
        </w:rPr>
      </w:pPr>
      <w:r w:rsidRPr="004B0D53">
        <w:rPr>
          <w:rStyle w:val="no-style-override"/>
          <w:rFonts w:ascii="Tahoma" w:hAnsi="Tahoma" w:cs="Tahoma"/>
          <w:i/>
          <w:color w:val="000000"/>
          <w:sz w:val="20"/>
          <w:szCs w:val="20"/>
        </w:rPr>
        <w:t xml:space="preserve"> “El que deliberada e ilegítimamente procura para sí o para otro un provecho ilícito en perjuicio de tercero mediante el diseño, introducción, alteración, borrado, supresión, clonación de datos informáticos, </w:t>
      </w:r>
      <w:r w:rsidRPr="004B0D53">
        <w:rPr>
          <w:rStyle w:val="no-style-override-1"/>
          <w:rFonts w:ascii="Tahoma" w:hAnsi="Tahoma" w:cs="Tahoma"/>
          <w:bCs/>
          <w:i/>
          <w:color w:val="000000"/>
          <w:sz w:val="20"/>
          <w:szCs w:val="20"/>
        </w:rPr>
        <w:t>suplantación de interfaces o páginas web</w:t>
      </w:r>
      <w:r w:rsidRPr="004B0D53">
        <w:rPr>
          <w:rStyle w:val="no-style-override"/>
          <w:rFonts w:ascii="Tahoma" w:hAnsi="Tahoma" w:cs="Tahoma"/>
          <w:i/>
          <w:color w:val="000000"/>
          <w:sz w:val="20"/>
          <w:szCs w:val="20"/>
        </w:rPr>
        <w:t> o cualquier interferencia o manipulación en el funcionamiento de un sistema informático, será reprimido con una pena privativa de libertad no menor de </w:t>
      </w:r>
      <w:r w:rsidRPr="004B0D53">
        <w:rPr>
          <w:rStyle w:val="no-style-override-1"/>
          <w:rFonts w:ascii="Tahoma" w:hAnsi="Tahoma" w:cs="Tahoma"/>
          <w:bCs/>
          <w:i/>
          <w:color w:val="000000"/>
          <w:sz w:val="20"/>
          <w:szCs w:val="20"/>
        </w:rPr>
        <w:t>cuatro</w:t>
      </w:r>
      <w:r w:rsidRPr="004B0D53">
        <w:rPr>
          <w:rStyle w:val="no-style-override"/>
          <w:rFonts w:ascii="Tahoma" w:hAnsi="Tahoma" w:cs="Tahoma"/>
          <w:i/>
          <w:color w:val="000000"/>
          <w:sz w:val="20"/>
          <w:szCs w:val="20"/>
        </w:rPr>
        <w:t> ni mayor de </w:t>
      </w:r>
      <w:r w:rsidRPr="004B0D53">
        <w:rPr>
          <w:rStyle w:val="no-style-override-1"/>
          <w:rFonts w:ascii="Tahoma" w:hAnsi="Tahoma" w:cs="Tahoma"/>
          <w:bCs/>
          <w:i/>
          <w:color w:val="000000"/>
          <w:sz w:val="20"/>
          <w:szCs w:val="20"/>
        </w:rPr>
        <w:t>ocho</w:t>
      </w:r>
      <w:r w:rsidRPr="004B0D53">
        <w:rPr>
          <w:rStyle w:val="no-style-override"/>
          <w:rFonts w:ascii="Tahoma" w:hAnsi="Tahoma" w:cs="Tahoma"/>
          <w:i/>
          <w:color w:val="000000"/>
          <w:sz w:val="20"/>
          <w:szCs w:val="20"/>
        </w:rPr>
        <w:t> años y con sesenta a ciento veinte días-multa”</w:t>
      </w:r>
    </w:p>
    <w:p w14:paraId="2DAE39B3" w14:textId="77777777" w:rsidR="004B0D53" w:rsidRPr="004B0D53" w:rsidRDefault="004B0D53" w:rsidP="004B0D53">
      <w:pPr>
        <w:widowControl w:val="0"/>
        <w:tabs>
          <w:tab w:val="left" w:pos="0"/>
        </w:tabs>
        <w:suppressAutoHyphens/>
        <w:spacing w:line="240" w:lineRule="auto"/>
        <w:ind w:left="709"/>
        <w:jc w:val="both"/>
        <w:textAlignment w:val="baseline"/>
        <w:rPr>
          <w:rFonts w:ascii="Tahoma" w:hAnsi="Tahoma" w:cs="Tahoma"/>
          <w:i/>
          <w:color w:val="000000"/>
          <w:sz w:val="20"/>
          <w:szCs w:val="20"/>
        </w:rPr>
      </w:pPr>
      <w:r w:rsidRPr="004B0D53">
        <w:rPr>
          <w:rFonts w:ascii="Tahoma" w:hAnsi="Tahoma" w:cs="Tahoma"/>
          <w:i/>
          <w:color w:val="000000"/>
          <w:sz w:val="20"/>
          <w:szCs w:val="20"/>
        </w:rPr>
        <w:t>La pena será privativa de libertad no menor de cinco ni mayor de diez años y de ochenta a ciento cuarenta días multa cuando se afecte el patrimonio del Estado destinado a fines asistenciales o a programas de apoyo social.</w:t>
      </w:r>
    </w:p>
    <w:p w14:paraId="0FE86385" w14:textId="77777777" w:rsidR="004B0D53" w:rsidRPr="004B0D53" w:rsidRDefault="004B0D53" w:rsidP="004B0D53">
      <w:pPr>
        <w:widowControl w:val="0"/>
        <w:tabs>
          <w:tab w:val="left" w:pos="0"/>
        </w:tabs>
        <w:suppressAutoHyphens/>
        <w:spacing w:line="240" w:lineRule="auto"/>
        <w:ind w:left="709"/>
        <w:jc w:val="both"/>
        <w:textAlignment w:val="baseline"/>
        <w:rPr>
          <w:rStyle w:val="no-style-override-1"/>
          <w:rFonts w:ascii="Tahoma" w:hAnsi="Tahoma" w:cs="Tahoma"/>
          <w:bCs/>
          <w:i/>
          <w:color w:val="000000"/>
          <w:sz w:val="20"/>
          <w:szCs w:val="20"/>
        </w:rPr>
      </w:pPr>
      <w:r w:rsidRPr="004B0D53">
        <w:rPr>
          <w:rStyle w:val="no-style-override-1"/>
          <w:rFonts w:ascii="Tahoma" w:hAnsi="Tahoma" w:cs="Tahoma"/>
          <w:bCs/>
          <w:i/>
          <w:color w:val="000000"/>
          <w:sz w:val="20"/>
          <w:szCs w:val="20"/>
        </w:rPr>
        <w:t>La misma pena se aplica al que intencionalmente colabora con la comisión de alguno de los supuestos de los párrafos precedentes, facilitando la transferencia de activos.</w:t>
      </w:r>
    </w:p>
    <w:p w14:paraId="613E9079" w14:textId="77777777" w:rsidR="004B0D53" w:rsidRPr="004B0D53" w:rsidRDefault="004B0D53" w:rsidP="004B0D53">
      <w:pPr>
        <w:widowControl w:val="0"/>
        <w:tabs>
          <w:tab w:val="left" w:pos="0"/>
        </w:tabs>
        <w:suppressAutoHyphens/>
        <w:spacing w:line="240" w:lineRule="auto"/>
        <w:ind w:left="709"/>
        <w:jc w:val="both"/>
        <w:textAlignment w:val="baseline"/>
        <w:rPr>
          <w:rStyle w:val="no-style-override-1"/>
          <w:rFonts w:ascii="Tahoma" w:hAnsi="Tahoma" w:cs="Tahoma"/>
          <w:i/>
          <w:color w:val="000000"/>
          <w:sz w:val="20"/>
          <w:szCs w:val="20"/>
        </w:rPr>
      </w:pPr>
    </w:p>
    <w:p w14:paraId="28FF090F" w14:textId="77777777" w:rsidR="004B0D53" w:rsidRPr="004B0D53" w:rsidRDefault="004B0D53" w:rsidP="004B0D53">
      <w:pPr>
        <w:pStyle w:val="Prrafodelista"/>
        <w:widowControl w:val="0"/>
        <w:numPr>
          <w:ilvl w:val="0"/>
          <w:numId w:val="1"/>
        </w:numPr>
        <w:tabs>
          <w:tab w:val="left" w:pos="0"/>
        </w:tabs>
        <w:suppressAutoHyphens/>
        <w:autoSpaceDN w:val="0"/>
        <w:spacing w:after="200" w:line="240" w:lineRule="auto"/>
        <w:ind w:left="426"/>
        <w:contextualSpacing w:val="0"/>
        <w:jc w:val="both"/>
        <w:textAlignment w:val="baseline"/>
        <w:rPr>
          <w:rFonts w:ascii="Tahoma" w:eastAsia="Times New Roman" w:hAnsi="Tahoma" w:cs="Tahoma"/>
          <w:b/>
          <w:bCs/>
          <w:sz w:val="20"/>
          <w:szCs w:val="20"/>
          <w:lang w:val="es-MX"/>
        </w:rPr>
      </w:pPr>
      <w:r w:rsidRPr="004B0D53">
        <w:rPr>
          <w:rFonts w:ascii="Tahoma" w:hAnsi="Tahoma" w:cs="Tahoma"/>
          <w:sz w:val="20"/>
          <w:szCs w:val="20"/>
          <w:lang w:val="es-MX"/>
        </w:rPr>
        <w:t xml:space="preserve">Respecto del delito de fraude informático, la doctrina nacional, destaca que sanciona diversas conductas; entre ellas </w:t>
      </w:r>
      <w:r w:rsidRPr="004B0D53">
        <w:rPr>
          <w:rFonts w:ascii="Tahoma" w:eastAsia="Times New Roman" w:hAnsi="Tahoma" w:cs="Tahoma"/>
          <w:sz w:val="20"/>
          <w:szCs w:val="20"/>
          <w:lang w:val="es-MX"/>
        </w:rPr>
        <w:t>diseñar</w:t>
      </w:r>
      <w:r w:rsidRPr="004B0D53">
        <w:rPr>
          <w:rFonts w:ascii="Tahoma" w:hAnsi="Tahoma" w:cs="Tahoma"/>
          <w:sz w:val="20"/>
          <w:szCs w:val="20"/>
          <w:lang w:val="es-MX"/>
        </w:rPr>
        <w:t xml:space="preserve"> (proyecto o plan), introducir (entrar en un lugar), alterar (estropear, dañar, </w:t>
      </w:r>
      <w:r w:rsidRPr="004B0D53">
        <w:rPr>
          <w:rFonts w:ascii="Tahoma" w:eastAsia="Times New Roman" w:hAnsi="Tahoma" w:cs="Tahoma"/>
          <w:kern w:val="2"/>
          <w:sz w:val="20"/>
          <w:szCs w:val="20"/>
          <w:lang w:val="es-ES" w:eastAsia="ar-SA"/>
        </w:rPr>
        <w:t>descomponer</w:t>
      </w:r>
      <w:r w:rsidRPr="004B0D53">
        <w:rPr>
          <w:rFonts w:ascii="Tahoma" w:hAnsi="Tahoma" w:cs="Tahoma"/>
          <w:sz w:val="20"/>
          <w:szCs w:val="20"/>
          <w:lang w:val="es-MX"/>
        </w:rPr>
        <w:t>), borrar (</w:t>
      </w:r>
      <w:r w:rsidRPr="004B0D53">
        <w:rPr>
          <w:rFonts w:ascii="Tahoma" w:eastAsia="Times New Roman" w:hAnsi="Tahoma" w:cs="Tahoma"/>
          <w:kern w:val="2"/>
          <w:sz w:val="20"/>
          <w:szCs w:val="20"/>
          <w:lang w:val="es-ES" w:eastAsia="ar-SA"/>
        </w:rPr>
        <w:t>desvanecer</w:t>
      </w:r>
      <w:r w:rsidRPr="004B0D53">
        <w:rPr>
          <w:rFonts w:ascii="Tahoma" w:hAnsi="Tahoma" w:cs="Tahoma"/>
          <w:sz w:val="20"/>
          <w:szCs w:val="20"/>
          <w:lang w:val="es-MX"/>
        </w:rPr>
        <w:t>, quitar, hacer que desaparezca algo), suprimir (hacer cesar, hacer desaparecer), clonar (producir clones) datos informáticos, suplantación de interfaces, páginas web o cualquier interferencia, o manipular (operar con las manos o con cualquier instrumento) el funcionamiento de un sistema informático procurando(conseguir o adquirir algo) un beneficio para sí o para otro en perjuicio de tercero, siendo dicho artículo compatible con el artículo 8 del Convenio de Budapest, porque ambos artículos sancionan el empleo indebido de datos informáticos y la manipulación del funcionamiento del sistema mismo</w:t>
      </w:r>
      <w:r w:rsidRPr="004B0D53">
        <w:rPr>
          <w:rFonts w:ascii="Tahoma" w:hAnsi="Tahoma" w:cs="Tahoma"/>
          <w:sz w:val="20"/>
          <w:szCs w:val="20"/>
          <w:vertAlign w:val="superscript"/>
        </w:rPr>
        <w:footnoteReference w:id="2"/>
      </w:r>
      <w:r w:rsidRPr="004B0D53">
        <w:rPr>
          <w:rFonts w:ascii="Tahoma" w:hAnsi="Tahoma" w:cs="Tahoma"/>
          <w:sz w:val="20"/>
          <w:szCs w:val="20"/>
          <w:lang w:val="es-MX"/>
        </w:rPr>
        <w:t xml:space="preserve">. </w:t>
      </w:r>
    </w:p>
    <w:p w14:paraId="5B0B5778" w14:textId="77777777" w:rsidR="004B0D53" w:rsidRPr="004B0D53" w:rsidRDefault="004B0D53" w:rsidP="004B0D53">
      <w:pPr>
        <w:spacing w:line="240" w:lineRule="auto"/>
        <w:ind w:right="-1"/>
        <w:rPr>
          <w:rFonts w:ascii="Tahoma" w:eastAsia="Andale Sans UI" w:hAnsi="Tahoma" w:cs="Tahoma"/>
          <w:b/>
          <w:bCs/>
          <w:iCs/>
          <w:sz w:val="20"/>
          <w:szCs w:val="20"/>
          <w:lang w:val="es-ES" w:eastAsia="fa-IR" w:bidi="fa-IR"/>
        </w:rPr>
      </w:pPr>
      <w:r w:rsidRPr="004B0D53">
        <w:rPr>
          <w:rFonts w:ascii="Tahoma" w:eastAsia="Andale Sans UI" w:hAnsi="Tahoma" w:cs="Tahoma"/>
          <w:b/>
          <w:color w:val="000000"/>
          <w:kern w:val="2"/>
          <w:sz w:val="20"/>
          <w:szCs w:val="20"/>
        </w:rPr>
        <w:lastRenderedPageBreak/>
        <w:t>CUARTO:</w:t>
      </w:r>
      <w:r w:rsidRPr="004B0D53">
        <w:rPr>
          <w:rFonts w:ascii="Tahoma" w:eastAsia="Times New Roman" w:hAnsi="Tahoma" w:cs="Tahoma"/>
          <w:b/>
          <w:bCs/>
          <w:sz w:val="20"/>
          <w:szCs w:val="20"/>
          <w:lang w:val="es-MX"/>
        </w:rPr>
        <w:t xml:space="preserve"> CONDICIONES</w:t>
      </w:r>
      <w:r w:rsidRPr="004B0D53">
        <w:rPr>
          <w:rFonts w:ascii="Tahoma" w:eastAsia="Andale Sans UI" w:hAnsi="Tahoma" w:cs="Tahoma"/>
          <w:b/>
          <w:bCs/>
          <w:iCs/>
          <w:sz w:val="20"/>
          <w:szCs w:val="20"/>
          <w:lang w:val="es-ES" w:eastAsia="fa-IR" w:bidi="fa-IR"/>
        </w:rPr>
        <w:t xml:space="preserve"> PARA EL EJERCICIO DE LA ACCIÓN PENAL</w:t>
      </w:r>
    </w:p>
    <w:p w14:paraId="5D277A52" w14:textId="77777777" w:rsidR="004B0D53" w:rsidRPr="004B0D53" w:rsidRDefault="004B0D53" w:rsidP="004B0D53">
      <w:pPr>
        <w:spacing w:line="240" w:lineRule="auto"/>
        <w:ind w:right="-1"/>
        <w:rPr>
          <w:rFonts w:ascii="Tahoma" w:eastAsia="Andale Sans UI" w:hAnsi="Tahoma" w:cs="Tahoma"/>
          <w:sz w:val="20"/>
          <w:szCs w:val="20"/>
          <w:lang w:val="es-PE" w:eastAsia="fa-IR" w:bidi="fa-IR"/>
        </w:rPr>
      </w:pPr>
    </w:p>
    <w:p w14:paraId="4E8C92ED" w14:textId="77777777"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iCs/>
          <w:sz w:val="20"/>
          <w:szCs w:val="20"/>
          <w:lang w:val="es-PE" w:eastAsia="fa-IR" w:bidi="fa-IR"/>
        </w:rPr>
      </w:pPr>
      <w:r w:rsidRPr="004B0D53">
        <w:rPr>
          <w:rFonts w:ascii="Tahoma" w:eastAsia="Andale Sans UI" w:hAnsi="Tahoma" w:cs="Tahoma"/>
          <w:sz w:val="20"/>
          <w:szCs w:val="20"/>
          <w:lang w:val="es-ES" w:eastAsia="fa-IR" w:bidi="fa-IR"/>
        </w:rPr>
        <w:t>L</w:t>
      </w:r>
      <w:r w:rsidRPr="004B0D53">
        <w:rPr>
          <w:rFonts w:ascii="Tahoma" w:eastAsia="Andale Sans UI" w:hAnsi="Tahoma" w:cs="Tahoma"/>
          <w:iCs/>
          <w:sz w:val="20"/>
          <w:szCs w:val="20"/>
          <w:lang w:val="es-ES" w:eastAsia="fa-IR" w:bidi="fa-IR"/>
        </w:rPr>
        <w:t xml:space="preserve">a persecución del delito le corresponde al Ministerio Público, por ser el titular de la acción penal, conforme lo prescribe el artículo 159º de la Constitución Política del Estado, concordado con el Artículo IV inciso 1 del Título Preliminar y los Arts. 1.1° y 60° del Código Procesal Penal. Sin embargo, </w:t>
      </w:r>
      <w:r w:rsidRPr="004B0D53">
        <w:rPr>
          <w:rFonts w:ascii="Tahoma" w:eastAsia="Andale Sans UI" w:hAnsi="Tahoma" w:cs="Tahoma"/>
          <w:i/>
          <w:iCs/>
          <w:sz w:val="20"/>
          <w:szCs w:val="20"/>
          <w:lang w:val="es-ES" w:eastAsia="fa-IR" w:bidi="fa-IR"/>
        </w:rPr>
        <w:t>para ejercitar esta acción el Fiscal debe verificar que se presenten de manera concurrente los requisitos previstos en el Artículo 336º inciso 1 del Código Procesal Penal</w:t>
      </w:r>
      <w:r w:rsidRPr="004B0D53">
        <w:rPr>
          <w:rFonts w:ascii="Tahoma" w:eastAsia="Andale Sans UI" w:hAnsi="Tahoma" w:cs="Tahoma"/>
          <w:iCs/>
          <w:sz w:val="20"/>
          <w:szCs w:val="20"/>
          <w:lang w:val="es-ES" w:eastAsia="fa-IR" w:bidi="fa-IR"/>
        </w:rPr>
        <w:t xml:space="preserve">, según el cual, </w:t>
      </w:r>
      <w:r w:rsidRPr="004B0D53">
        <w:rPr>
          <w:rFonts w:ascii="Tahoma" w:eastAsia="Andale Sans UI" w:hAnsi="Tahoma" w:cs="Tahoma"/>
          <w:iCs/>
          <w:sz w:val="20"/>
          <w:szCs w:val="20"/>
          <w:lang w:val="es-PE" w:eastAsia="fa-IR" w:bidi="fa-IR"/>
        </w:rPr>
        <w:t xml:space="preserve">para formalizar y continuar con la investigación preparatoria, deben aparecer indicios reveladores de: </w:t>
      </w:r>
      <w:r w:rsidRPr="004B0D53">
        <w:rPr>
          <w:rFonts w:ascii="Tahoma" w:eastAsia="Andale Sans UI" w:hAnsi="Tahoma" w:cs="Tahoma"/>
          <w:b/>
          <w:iCs/>
          <w:sz w:val="20"/>
          <w:szCs w:val="20"/>
          <w:lang w:val="es-PE" w:eastAsia="fa-IR" w:bidi="fa-IR"/>
        </w:rPr>
        <w:t>a)</w:t>
      </w:r>
      <w:r w:rsidRPr="004B0D53">
        <w:rPr>
          <w:rFonts w:ascii="Tahoma" w:eastAsia="Andale Sans UI" w:hAnsi="Tahoma" w:cs="Tahoma"/>
          <w:iCs/>
          <w:sz w:val="20"/>
          <w:szCs w:val="20"/>
          <w:lang w:val="es-PE" w:eastAsia="fa-IR" w:bidi="fa-IR"/>
        </w:rPr>
        <w:t xml:space="preserve"> la existencia de un delito, </w:t>
      </w:r>
      <w:r w:rsidRPr="004B0D53">
        <w:rPr>
          <w:rFonts w:ascii="Tahoma" w:eastAsia="Andale Sans UI" w:hAnsi="Tahoma" w:cs="Tahoma"/>
          <w:b/>
          <w:iCs/>
          <w:sz w:val="20"/>
          <w:szCs w:val="20"/>
          <w:lang w:val="es-PE" w:eastAsia="fa-IR" w:bidi="fa-IR"/>
        </w:rPr>
        <w:t>b)</w:t>
      </w:r>
      <w:r w:rsidRPr="004B0D53">
        <w:rPr>
          <w:rFonts w:ascii="Tahoma" w:eastAsia="Andale Sans UI" w:hAnsi="Tahoma" w:cs="Tahoma"/>
          <w:iCs/>
          <w:sz w:val="20"/>
          <w:szCs w:val="20"/>
          <w:lang w:val="es-PE" w:eastAsia="fa-IR" w:bidi="fa-IR"/>
        </w:rPr>
        <w:t xml:space="preserve"> que la acción penal no ha prescrito, </w:t>
      </w:r>
      <w:r w:rsidRPr="004B0D53">
        <w:rPr>
          <w:rFonts w:ascii="Tahoma" w:eastAsia="Andale Sans UI" w:hAnsi="Tahoma" w:cs="Tahoma"/>
          <w:b/>
          <w:iCs/>
          <w:sz w:val="20"/>
          <w:szCs w:val="20"/>
          <w:lang w:val="es-PE" w:eastAsia="fa-IR" w:bidi="fa-IR"/>
        </w:rPr>
        <w:t xml:space="preserve">c) </w:t>
      </w:r>
      <w:r w:rsidRPr="004B0D53">
        <w:rPr>
          <w:rFonts w:ascii="Tahoma" w:eastAsia="Andale Sans UI" w:hAnsi="Tahoma" w:cs="Tahoma"/>
          <w:iCs/>
          <w:sz w:val="20"/>
          <w:szCs w:val="20"/>
          <w:lang w:val="es-PE" w:eastAsia="fa-IR" w:bidi="fa-IR"/>
        </w:rPr>
        <w:t xml:space="preserve">que se ha individualizado al imputado y </w:t>
      </w:r>
      <w:r w:rsidRPr="004B0D53">
        <w:rPr>
          <w:rFonts w:ascii="Tahoma" w:eastAsia="Andale Sans UI" w:hAnsi="Tahoma" w:cs="Tahoma"/>
          <w:b/>
          <w:iCs/>
          <w:sz w:val="20"/>
          <w:szCs w:val="20"/>
          <w:lang w:val="es-PE" w:eastAsia="fa-IR" w:bidi="fa-IR"/>
        </w:rPr>
        <w:t>d)</w:t>
      </w:r>
      <w:r w:rsidRPr="004B0D53">
        <w:rPr>
          <w:rFonts w:ascii="Tahoma" w:eastAsia="Andale Sans UI" w:hAnsi="Tahoma" w:cs="Tahoma"/>
          <w:iCs/>
          <w:sz w:val="20"/>
          <w:szCs w:val="20"/>
          <w:lang w:val="es-PE" w:eastAsia="fa-IR" w:bidi="fa-IR"/>
        </w:rPr>
        <w:t xml:space="preserve"> que, si fuera el caso, se han satisfecho los requisitos de procedibilidad.</w:t>
      </w:r>
    </w:p>
    <w:p w14:paraId="01ED6099" w14:textId="77777777"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iCs/>
          <w:sz w:val="20"/>
          <w:szCs w:val="20"/>
          <w:lang w:val="de-DE" w:eastAsia="fa-IR" w:bidi="fa-IR"/>
        </w:rPr>
      </w:pPr>
      <w:r w:rsidRPr="004B0D53">
        <w:rPr>
          <w:rFonts w:ascii="Tahoma" w:eastAsia="Times New Roman" w:hAnsi="Tahoma" w:cs="Tahoma"/>
          <w:sz w:val="20"/>
          <w:szCs w:val="20"/>
          <w:lang w:val="es-PE" w:bidi="fa-IR"/>
        </w:rPr>
        <w:t xml:space="preserve">Por regla general la persecución del delito le corresponde al Ministerio Público, por ser el titular de la acción penal, conforme lo prescribe el numeral 5 del artículo 159° de la Constitución Política del Estado; asimismo, el Tribunal Constitucional ha establecido cono doctrina jurisprudencial, que la actividad del Ministerio Público, al igual que de cualquier ente estatal, se encuentra limitada por el </w:t>
      </w:r>
      <w:r w:rsidRPr="004B0D53">
        <w:rPr>
          <w:rFonts w:ascii="Tahoma" w:eastAsia="Andale Sans UI" w:hAnsi="Tahoma" w:cs="Tahoma"/>
          <w:i/>
          <w:iCs/>
          <w:sz w:val="20"/>
          <w:szCs w:val="20"/>
          <w:lang w:val="es-ES" w:eastAsia="fa-IR" w:bidi="fa-IR"/>
        </w:rPr>
        <w:t>principio</w:t>
      </w:r>
      <w:r w:rsidRPr="004B0D53">
        <w:rPr>
          <w:rFonts w:ascii="Tahoma" w:eastAsia="Times New Roman" w:hAnsi="Tahoma" w:cs="Tahoma"/>
          <w:sz w:val="20"/>
          <w:szCs w:val="20"/>
          <w:lang w:val="es-PE" w:bidi="fa-IR"/>
        </w:rPr>
        <w:t xml:space="preserve"> de la interdicción de la arbitrariedad (STC 6167-2005-HC), y que la investigación se encuentra limitada a la concurrencia de dos elementos esenciales 1) que exista una causa probable y, 2) una búsqueda razonable de la comisión de un ilícito penal (Exp. </w:t>
      </w:r>
      <w:r w:rsidRPr="004B0D53">
        <w:rPr>
          <w:rFonts w:ascii="Tahoma" w:eastAsia="Times New Roman" w:hAnsi="Tahoma" w:cs="Tahoma"/>
          <w:sz w:val="20"/>
          <w:szCs w:val="20"/>
          <w:lang w:val="de-DE" w:bidi="fa-IR"/>
        </w:rPr>
        <w:t>N° 5228-2006-PHC).</w:t>
      </w:r>
    </w:p>
    <w:p w14:paraId="0A9F8089" w14:textId="77777777"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iCs/>
          <w:sz w:val="20"/>
          <w:szCs w:val="20"/>
          <w:lang w:val="es-PE" w:eastAsia="fa-IR" w:bidi="fa-IR"/>
        </w:rPr>
      </w:pPr>
      <w:r w:rsidRPr="004B0D53">
        <w:rPr>
          <w:rFonts w:ascii="Tahoma" w:eastAsia="Times New Roman" w:hAnsi="Tahoma" w:cs="Tahoma"/>
          <w:sz w:val="20"/>
          <w:szCs w:val="20"/>
          <w:lang w:val="es-PE" w:bidi="fa-IR"/>
        </w:rPr>
        <w:t>Este implica que si no se cuenta con elementos de convicción que nos permitan acreditar la concurrencia de alguno de estos requisitos se deberá disponer que no procede formalizar y continuar con la investigación preparatoria y se ordenara el archivo de la investigación preliminar, de acuerdo a lo previsto en el inciso 1 del artículo 334° del Código Procesal Penal, concordado con el artículo 12° de la Ley Orgánica del Ministerio Público</w:t>
      </w:r>
      <w:r w:rsidRPr="004B0D53">
        <w:rPr>
          <w:rFonts w:ascii="Tahoma" w:eastAsia="Andale Sans UI" w:hAnsi="Tahoma" w:cs="Tahoma"/>
          <w:sz w:val="20"/>
          <w:szCs w:val="20"/>
          <w:vertAlign w:val="superscript"/>
          <w:lang w:eastAsia="fa-IR"/>
        </w:rPr>
        <w:footnoteReference w:id="3"/>
      </w:r>
      <w:r w:rsidRPr="004B0D53">
        <w:rPr>
          <w:rFonts w:ascii="Tahoma" w:eastAsia="Times New Roman" w:hAnsi="Tahoma" w:cs="Tahoma"/>
          <w:sz w:val="20"/>
          <w:szCs w:val="20"/>
          <w:lang w:val="es-PE" w:bidi="fa-IR"/>
        </w:rPr>
        <w:t>.</w:t>
      </w:r>
    </w:p>
    <w:p w14:paraId="2412CF08" w14:textId="77777777"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iCs/>
          <w:sz w:val="20"/>
          <w:szCs w:val="20"/>
          <w:lang w:val="es-PE" w:eastAsia="fa-IR" w:bidi="fa-IR"/>
        </w:rPr>
      </w:pPr>
      <w:r w:rsidRPr="004B0D53">
        <w:rPr>
          <w:rFonts w:ascii="Tahoma" w:eastAsia="Times New Roman" w:hAnsi="Tahoma" w:cs="Tahoma"/>
          <w:sz w:val="20"/>
          <w:szCs w:val="20"/>
          <w:lang w:val="es-PE" w:bidi="fa-IR"/>
        </w:rPr>
        <w:t>Asimismo, se tiene que el correcto funcionamiento del sistema procesal penal adversarial asumido con el Código Procesal Penal, vigente en esta ciudad, requiere de una adecuada gestión de la carga procesal por parte del Ministerio Público, por lo que para decidir el inicio de la persecución penal además de hacer un análisis sobre la presencia de los requisitos que de manera formal exige la legislación vigente se debe realizar un pronóstico respecto de las circunstancias y posibilidades que presenta el costo para lograr una persecución penal exitosa, de manera que no se sobrecargue inútilmente el sistema de persecución, perjudicándose innecesariamente su funcionamiento con el seguimiento de casos condenados desde un inicio al fracaso.</w:t>
      </w:r>
    </w:p>
    <w:p w14:paraId="009D266A" w14:textId="77777777"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iCs/>
          <w:sz w:val="20"/>
          <w:szCs w:val="20"/>
          <w:lang w:val="es-PE" w:eastAsia="fa-IR" w:bidi="fa-IR"/>
        </w:rPr>
      </w:pPr>
      <w:r w:rsidRPr="004B0D53">
        <w:rPr>
          <w:rFonts w:ascii="Tahoma" w:eastAsia="Andale Sans UI" w:hAnsi="Tahoma" w:cs="Tahoma"/>
          <w:color w:val="000000"/>
          <w:kern w:val="2"/>
          <w:sz w:val="20"/>
          <w:szCs w:val="20"/>
          <w:lang w:val="es-PE" w:eastAsia="fa-IR" w:bidi="fa-IR"/>
          <w14:ligatures w14:val="standardContextual"/>
        </w:rPr>
        <w:t xml:space="preserve">Aunado a ello, </w:t>
      </w:r>
      <w:r w:rsidRPr="004B0D53">
        <w:rPr>
          <w:rFonts w:ascii="Tahoma" w:eastAsia="Andale Sans UI" w:hAnsi="Tahoma" w:cs="Tahoma"/>
          <w:kern w:val="2"/>
          <w:sz w:val="20"/>
          <w:szCs w:val="20"/>
          <w:lang w:val="es-PE" w:eastAsia="fa-IR" w:bidi="fa-IR"/>
          <w14:ligatures w14:val="standardContextual"/>
        </w:rPr>
        <w:t xml:space="preserve">el Código Procesal Penal es garantista, partiendo del respeto a la persona humana, tanto para la parte investigada como para quien reclama la condición de agraviado en un hecho ilícito. En este contexto, impulsar una persecución penal formal cuando el análisis realizado dice que finalmente no se podrá destruir la presunción de inocencia y obtener una sentencia condenatoria representa una injerencia ilegítima, por innecesaria e inútil, en el plexo de los derechos fundamentales de las personas a las que se les atribuye la comisión de un delito: resultando, por tanto, constitucionalmente inadmisible. Pero no sólo ello, sino que el inicio de una persecución penal formal en las condiciones apuntadas </w:t>
      </w:r>
      <w:r w:rsidRPr="004B0D53">
        <w:rPr>
          <w:rFonts w:ascii="Tahoma" w:eastAsia="Andale Sans UI" w:hAnsi="Tahoma" w:cs="Tahoma"/>
          <w:kern w:val="2"/>
          <w:sz w:val="20"/>
          <w:szCs w:val="20"/>
          <w:lang w:val="es-PE" w:eastAsia="fa-IR" w:bidi="fa-IR"/>
          <w14:ligatures w14:val="standardContextual"/>
        </w:rPr>
        <w:lastRenderedPageBreak/>
        <w:t>también resulta inadmisible desde la perspectiva del respeto que se debe a la dignidad y derechos fundamentales de los agraviados; pues, persiguiendo formalmente casos que no tienen de inicio un pronóstico positivo de éxito, se crean expectativas irreales en los agraviados y se les hace invertir inútilmente tiempo y recursos en el seguimiento de las causas, se les vuelve a hacer víctimas, pero esta vez del sistema de justicia penal, lo que también resulta constitucionalmente inadmisible.</w:t>
      </w:r>
    </w:p>
    <w:p w14:paraId="27D763CC" w14:textId="77777777" w:rsidR="004B0D53" w:rsidRPr="004B0D53" w:rsidRDefault="004B0D53" w:rsidP="004B0D53">
      <w:pPr>
        <w:widowControl w:val="0"/>
        <w:suppressAutoHyphens/>
        <w:autoSpaceDN w:val="0"/>
        <w:spacing w:line="240" w:lineRule="auto"/>
        <w:jc w:val="both"/>
        <w:textAlignment w:val="baseline"/>
        <w:rPr>
          <w:rFonts w:ascii="Tahoma" w:eastAsia="Andale Sans UI" w:hAnsi="Tahoma" w:cs="Tahoma"/>
          <w:b/>
          <w:bCs/>
          <w:iCs/>
          <w:sz w:val="20"/>
          <w:szCs w:val="20"/>
          <w:lang w:val="de-DE" w:eastAsia="fa-IR" w:bidi="fa-IR"/>
        </w:rPr>
      </w:pPr>
      <w:r w:rsidRPr="004B0D53">
        <w:rPr>
          <w:rFonts w:ascii="Tahoma" w:eastAsia="Andale Sans UI" w:hAnsi="Tahoma" w:cs="Tahoma"/>
          <w:b/>
          <w:bCs/>
          <w:kern w:val="2"/>
          <w:sz w:val="20"/>
          <w:szCs w:val="20"/>
          <w:lang w:val="de-DE" w:eastAsia="fa-IR" w:bidi="fa-IR"/>
          <w14:ligatures w14:val="standardContextual"/>
        </w:rPr>
        <w:t>QUINTO. ANÁLISIS DEL CASO</w:t>
      </w:r>
    </w:p>
    <w:p w14:paraId="0D1C5C8C" w14:textId="77777777" w:rsidR="004B0D53" w:rsidRPr="004B0D53" w:rsidRDefault="004B0D53" w:rsidP="004B0D53">
      <w:pPr>
        <w:spacing w:line="240" w:lineRule="auto"/>
        <w:ind w:left="1560" w:right="-1"/>
        <w:jc w:val="both"/>
        <w:rPr>
          <w:rFonts w:ascii="Tahoma" w:eastAsia="Arial Unicode MS" w:hAnsi="Tahoma" w:cs="Tahoma"/>
          <w:b/>
          <w:bCs/>
          <w:i/>
          <w:iCs/>
          <w:kern w:val="2"/>
          <w:sz w:val="20"/>
          <w:szCs w:val="20"/>
          <w:u w:val="single"/>
          <w:lang w:eastAsia="hi-IN"/>
        </w:rPr>
      </w:pPr>
    </w:p>
    <w:p w14:paraId="14171C83" w14:textId="77777777"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sz w:val="20"/>
          <w:szCs w:val="20"/>
          <w:lang w:val="es-PE" w:eastAsia="fa-IR" w:bidi="fa-IR"/>
        </w:rPr>
      </w:pPr>
      <w:r w:rsidRPr="004B0D53">
        <w:rPr>
          <w:rFonts w:ascii="Tahoma" w:eastAsia="Andale Sans UI" w:hAnsi="Tahoma" w:cs="Tahoma"/>
          <w:bCs/>
          <w:iCs/>
          <w:sz w:val="20"/>
          <w:szCs w:val="20"/>
          <w:lang w:eastAsia="fa-IR" w:bidi="fa-IR"/>
        </w:rPr>
        <w:t xml:space="preserve">Para estimar la comisión del delito de fraude informático se debe advertir la concurrencia de alguna de las </w:t>
      </w:r>
      <w:r w:rsidRPr="004B0D53">
        <w:rPr>
          <w:rFonts w:ascii="Tahoma" w:eastAsia="Andale Sans UI" w:hAnsi="Tahoma" w:cs="Tahoma"/>
          <w:sz w:val="20"/>
          <w:szCs w:val="20"/>
          <w:lang w:val="es-PE" w:eastAsia="fa-IR" w:bidi="fa-IR"/>
        </w:rPr>
        <w:t xml:space="preserve">conductas del tipo penal, esto es diseñar (proyecto o plan), introducir (entrar en un lugar), alterar (estropear, dañar, descomponer), borrar (desvanecer, quitar, hacer que </w:t>
      </w:r>
      <w:r w:rsidRPr="004B0D53">
        <w:rPr>
          <w:rFonts w:ascii="Tahoma" w:eastAsia="Andale Sans UI" w:hAnsi="Tahoma" w:cs="Tahoma"/>
          <w:kern w:val="2"/>
          <w:sz w:val="20"/>
          <w:szCs w:val="20"/>
          <w:lang w:val="es-PE" w:eastAsia="fa-IR" w:bidi="fa-IR"/>
          <w14:ligatures w14:val="standardContextual"/>
        </w:rPr>
        <w:t>desaparezca</w:t>
      </w:r>
      <w:r w:rsidRPr="004B0D53">
        <w:rPr>
          <w:rFonts w:ascii="Tahoma" w:eastAsia="Andale Sans UI" w:hAnsi="Tahoma" w:cs="Tahoma"/>
          <w:sz w:val="20"/>
          <w:szCs w:val="20"/>
          <w:lang w:val="es-PE" w:eastAsia="fa-IR" w:bidi="fa-IR"/>
        </w:rPr>
        <w:t xml:space="preserve"> algo), suprimir (hacer cesar, hacer desaparecer), clonar (producir clones) datos informáticos, </w:t>
      </w:r>
      <w:r w:rsidRPr="004B0D53">
        <w:rPr>
          <w:rFonts w:ascii="Tahoma" w:hAnsi="Tahoma" w:cs="Tahoma"/>
          <w:sz w:val="20"/>
          <w:szCs w:val="20"/>
          <w:lang w:val="es-MX"/>
        </w:rPr>
        <w:t xml:space="preserve">suplantación de interfaces, páginas web </w:t>
      </w:r>
      <w:r w:rsidRPr="004B0D53">
        <w:rPr>
          <w:rFonts w:ascii="Tahoma" w:eastAsia="Andale Sans UI" w:hAnsi="Tahoma" w:cs="Tahoma"/>
          <w:sz w:val="20"/>
          <w:szCs w:val="20"/>
          <w:lang w:val="es-PE" w:eastAsia="fa-IR" w:bidi="fa-IR"/>
        </w:rPr>
        <w:t xml:space="preserve">o cualquier interferencia, o manipular (operar con las manos o con cualquier instrumento) el funcionamiento de un sistema informático procurando (conseguir o adquirir algo), esto es un beneficio para el autor, responsable u un tercer, ocasionando con ello un perjuicio económico al agraviado.  </w:t>
      </w:r>
      <w:r w:rsidRPr="004B0D53">
        <w:rPr>
          <w:rFonts w:ascii="Tahoma" w:eastAsia="Andale Sans UI" w:hAnsi="Tahoma" w:cs="Tahoma"/>
          <w:bCs/>
          <w:iCs/>
          <w:sz w:val="20"/>
          <w:szCs w:val="20"/>
          <w:lang w:eastAsia="fa-IR" w:bidi="fa-IR"/>
        </w:rPr>
        <w:t xml:space="preserve">  </w:t>
      </w:r>
    </w:p>
    <w:p w14:paraId="55AD832A" w14:textId="77777777"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sz w:val="20"/>
          <w:szCs w:val="20"/>
          <w:lang w:val="es-PE" w:eastAsia="fa-IR" w:bidi="fa-IR"/>
        </w:rPr>
      </w:pPr>
      <w:r w:rsidRPr="004B0D53">
        <w:rPr>
          <w:rFonts w:ascii="Tahoma" w:eastAsia="Times New Roman" w:hAnsi="Tahoma" w:cs="Tahoma"/>
          <w:sz w:val="20"/>
          <w:szCs w:val="20"/>
          <w:lang w:val="es-PE" w:bidi="fa-IR"/>
        </w:rPr>
        <w:t>Asimismo, por la propia naturaleza de los delitos investigados por esta Fiscalía Especializada, se requiere, en la mayoría de los casos el recojo de la evidencia digital, que plantea una serie de desafíos de autenticación único debido al volumen de datos disponibles, su velocidad (es decir, la velocidad con la que se crea y transfiere), su volatilidad (es decir, puede desaparecer rápidamente si se sobrescribe o borra) y su fragilidad (es decir, se puede manipular, alterar o dañar fácilmente).</w:t>
      </w:r>
    </w:p>
    <w:p w14:paraId="7C8DB739" w14:textId="4727BBBD"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sz w:val="20"/>
          <w:szCs w:val="20"/>
          <w:lang w:val="es-PE" w:eastAsia="fa-IR" w:bidi="fa-IR"/>
        </w:rPr>
      </w:pPr>
      <w:r w:rsidRPr="004B0D53">
        <w:rPr>
          <w:rFonts w:ascii="Tahoma" w:eastAsia="Times New Roman" w:hAnsi="Tahoma" w:cs="Tahoma"/>
          <w:sz w:val="20"/>
          <w:szCs w:val="20"/>
        </w:rPr>
        <w:t xml:space="preserve">De la revisión y análisis de los hechos denunciados por </w:t>
      </w:r>
      <w:r w:rsidR="00237F37" w:rsidRPr="004C23A4">
        <w:rPr>
          <w:rFonts w:ascii="Tahoma" w:eastAsia="SimSun" w:hAnsi="Tahoma" w:cs="Tahoma"/>
          <w:bCs/>
          <w:kern w:val="3"/>
          <w:sz w:val="20"/>
          <w:szCs w:val="20"/>
          <w:lang w:eastAsia="zh-CN" w:bidi="hi-IN"/>
        </w:rPr>
        <w:t>&lt;&lt;agraviado&gt;&gt;</w:t>
      </w:r>
      <w:r w:rsidRPr="004B0D53">
        <w:rPr>
          <w:rFonts w:ascii="Tahoma" w:eastAsia="Times New Roman" w:hAnsi="Tahoma" w:cs="Tahoma"/>
          <w:sz w:val="20"/>
          <w:szCs w:val="20"/>
        </w:rPr>
        <w:t>, a través de su denuncia</w:t>
      </w:r>
      <w:r w:rsidRPr="004B0D53">
        <w:rPr>
          <w:rFonts w:ascii="Tahoma" w:hAnsi="Tahoma" w:cs="Tahoma"/>
          <w:i/>
          <w:iCs/>
          <w:sz w:val="20"/>
          <w:szCs w:val="20"/>
        </w:rPr>
        <w:t>,</w:t>
      </w:r>
      <w:r w:rsidRPr="004B0D53">
        <w:rPr>
          <w:rFonts w:ascii="Tahoma" w:hAnsi="Tahoma" w:cs="Tahoma"/>
          <w:iCs/>
          <w:sz w:val="20"/>
          <w:szCs w:val="20"/>
        </w:rPr>
        <w:t xml:space="preserve"> señala lo siguiente: </w:t>
      </w:r>
      <w:r w:rsidR="00237F37" w:rsidRPr="004C23A4">
        <w:rPr>
          <w:rFonts w:ascii="Tahoma" w:eastAsia="Arial MT" w:hAnsi="Tahoma" w:cs="Tahoma"/>
          <w:sz w:val="20"/>
          <w:szCs w:val="20"/>
        </w:rPr>
        <w:t>&lt;&lt;hechos&gt;&gt;</w:t>
      </w:r>
    </w:p>
    <w:p w14:paraId="18C1CEB0" w14:textId="77777777"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sz w:val="20"/>
          <w:szCs w:val="20"/>
          <w:lang w:val="es-PE" w:eastAsia="fa-IR" w:bidi="fa-IR"/>
        </w:rPr>
      </w:pPr>
      <w:r w:rsidRPr="004B0D53">
        <w:rPr>
          <w:rFonts w:ascii="Tahoma" w:hAnsi="Tahoma" w:cs="Tahoma"/>
          <w:iCs/>
          <w:sz w:val="20"/>
          <w:szCs w:val="20"/>
        </w:rPr>
        <w:t xml:space="preserve">Estando a ello, debemos tener en cuenta </w:t>
      </w:r>
      <w:r w:rsidRPr="004B0D53">
        <w:rPr>
          <w:rFonts w:ascii="Tahoma" w:hAnsi="Tahoma" w:cs="Tahoma"/>
          <w:color w:val="000000"/>
          <w:sz w:val="20"/>
          <w:szCs w:val="20"/>
        </w:rPr>
        <w:t>algunos principios que fundamentan el derecho penal, siendo que, para el presente caso, es necesario referirnos al principio de lesividad, que conforme al artículo IV del Código Penal, prescribe </w:t>
      </w:r>
      <w:r w:rsidRPr="004B0D53">
        <w:rPr>
          <w:rStyle w:val="Textoennegrita"/>
          <w:rFonts w:ascii="Tahoma" w:hAnsi="Tahoma" w:cs="Tahoma"/>
          <w:i/>
          <w:iCs/>
          <w:color w:val="000000"/>
          <w:sz w:val="20"/>
          <w:szCs w:val="20"/>
        </w:rPr>
        <w:t>“la pena, necesariamente, precisa de la lesión o puesta en peligro de bienes jurídicos tutelados por ley”</w:t>
      </w:r>
      <w:r w:rsidRPr="004B0D53">
        <w:rPr>
          <w:rFonts w:ascii="Tahoma" w:hAnsi="Tahoma" w:cs="Tahoma"/>
          <w:color w:val="000000"/>
          <w:sz w:val="20"/>
          <w:szCs w:val="20"/>
        </w:rPr>
        <w:t>; sin embargo, no cualquier lesión o puesta en peligro tiene aptitud para activar el sistema penal, sino solo aquellos comportamientos sumamente reprochables y no pasibles de estabilización mediante otro medio de control social menos estricto; en ese sentido, para la materialización de un delito se requiere que el sujeto activo haya cometido un hecho lo suficientemente grave como para ser objeto de represión penal y no un simple desliz disciplinario</w:t>
      </w:r>
      <w:r w:rsidRPr="004B0D53">
        <w:rPr>
          <w:rStyle w:val="Refdenotaalpie"/>
          <w:rFonts w:ascii="Tahoma" w:hAnsi="Tahoma" w:cs="Tahoma"/>
          <w:color w:val="000000"/>
          <w:sz w:val="20"/>
          <w:szCs w:val="20"/>
        </w:rPr>
        <w:footnoteReference w:id="4"/>
      </w:r>
      <w:r w:rsidRPr="004B0D53">
        <w:rPr>
          <w:rFonts w:ascii="Tahoma" w:hAnsi="Tahoma" w:cs="Tahoma"/>
          <w:color w:val="000000"/>
          <w:sz w:val="20"/>
          <w:szCs w:val="20"/>
        </w:rPr>
        <w:t xml:space="preserve">. </w:t>
      </w:r>
    </w:p>
    <w:p w14:paraId="5E22F2C7" w14:textId="77777777"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sz w:val="20"/>
          <w:szCs w:val="20"/>
          <w:lang w:val="es-PE" w:eastAsia="fa-IR" w:bidi="fa-IR"/>
        </w:rPr>
      </w:pPr>
      <w:r w:rsidRPr="004B0D53">
        <w:rPr>
          <w:rFonts w:ascii="Tahoma" w:hAnsi="Tahoma" w:cs="Tahoma"/>
          <w:color w:val="000000"/>
          <w:sz w:val="20"/>
          <w:szCs w:val="20"/>
        </w:rPr>
        <w:t>Otro de los principios que informa el derecho penal, es e</w:t>
      </w:r>
      <w:r w:rsidRPr="004B0D53">
        <w:rPr>
          <w:rFonts w:ascii="Tahoma" w:hAnsi="Tahoma" w:cs="Tahoma"/>
          <w:iCs/>
          <w:sz w:val="20"/>
          <w:szCs w:val="20"/>
        </w:rPr>
        <w:t xml:space="preserve">l principio de </w:t>
      </w:r>
      <w:r w:rsidRPr="004B0D53">
        <w:rPr>
          <w:rFonts w:ascii="Tahoma" w:hAnsi="Tahoma" w:cs="Tahoma"/>
          <w:i/>
          <w:sz w:val="20"/>
          <w:szCs w:val="20"/>
        </w:rPr>
        <w:t>mínima intervención</w:t>
      </w:r>
      <w:r w:rsidRPr="004B0D53">
        <w:rPr>
          <w:rFonts w:ascii="Tahoma" w:hAnsi="Tahoma" w:cs="Tahoma"/>
          <w:iCs/>
          <w:sz w:val="20"/>
          <w:szCs w:val="20"/>
        </w:rPr>
        <w:t xml:space="preserve">, o de </w:t>
      </w:r>
      <w:r w:rsidRPr="004B0D53">
        <w:rPr>
          <w:rFonts w:ascii="Tahoma" w:hAnsi="Tahoma" w:cs="Tahoma"/>
          <w:i/>
          <w:sz w:val="20"/>
          <w:szCs w:val="20"/>
        </w:rPr>
        <w:t>última ratio</w:t>
      </w:r>
      <w:r w:rsidRPr="004B0D53">
        <w:rPr>
          <w:rFonts w:ascii="Tahoma" w:hAnsi="Tahoma" w:cs="Tahoma"/>
          <w:iCs/>
          <w:sz w:val="20"/>
          <w:szCs w:val="20"/>
        </w:rPr>
        <w:t xml:space="preserve">, mediante el cual sostiene que derecho penal es el último recurso que el Estado debe usar para proteger bienes jurídicos importantes, solo debe aplicarse cuando otras vías menos lesivas, como el derecho civil o administrativo, no han funcionado o no son eficaces. Esto implica que solo las infracciones más graves y que no puedan ser resueltas por otros medios menos intensos deben ser sancionadas penalmente, limitando la aplicación del castigo a lo indispensable. </w:t>
      </w:r>
    </w:p>
    <w:p w14:paraId="7DC8A903" w14:textId="77777777"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sz w:val="20"/>
          <w:szCs w:val="20"/>
          <w:lang w:val="es-PE" w:eastAsia="fa-IR" w:bidi="fa-IR"/>
        </w:rPr>
      </w:pPr>
      <w:r w:rsidRPr="004B0D53">
        <w:rPr>
          <w:rFonts w:ascii="Tahoma" w:hAnsi="Tahoma" w:cs="Tahoma"/>
          <w:iCs/>
          <w:sz w:val="20"/>
          <w:szCs w:val="20"/>
        </w:rPr>
        <w:t xml:space="preserve">Al respecto, la Corte Suprema de Justicia, al resolver el Recurso de Nulidad N° 3004-2012- Cajamarca, ha señalado: </w:t>
      </w:r>
      <w:r w:rsidRPr="004B0D53">
        <w:rPr>
          <w:rFonts w:ascii="Tahoma" w:hAnsi="Tahoma" w:cs="Tahoma"/>
          <w:i/>
          <w:iCs/>
          <w:sz w:val="20"/>
          <w:szCs w:val="20"/>
        </w:rPr>
        <w:t xml:space="preserve">“En aplicación del principio de mínima intervención el ejercicio del ius puniendi debe operar cuando las demás alternativas de control han fallado, es decir, que carece de sentido la intervención del Derecho Penal cuando existe la posibilidad de utilizar </w:t>
      </w:r>
      <w:r w:rsidRPr="004B0D53">
        <w:rPr>
          <w:rFonts w:ascii="Tahoma" w:hAnsi="Tahoma" w:cs="Tahoma"/>
          <w:i/>
          <w:iCs/>
          <w:sz w:val="20"/>
          <w:szCs w:val="20"/>
        </w:rPr>
        <w:lastRenderedPageBreak/>
        <w:t xml:space="preserve">otros medios o instrumentos jurídicos que permiten la solución del conflicto lo más satisfactoriamente posible tanto para el imputado como para la sociedad”. </w:t>
      </w:r>
    </w:p>
    <w:p w14:paraId="1608C770" w14:textId="5FA744A1"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sz w:val="20"/>
          <w:szCs w:val="20"/>
          <w:lang w:val="es-PE" w:eastAsia="fa-IR" w:bidi="fa-IR"/>
        </w:rPr>
      </w:pPr>
      <w:r w:rsidRPr="004B0D53">
        <w:rPr>
          <w:rFonts w:ascii="Tahoma" w:hAnsi="Tahoma" w:cs="Tahoma"/>
          <w:iCs/>
          <w:sz w:val="20"/>
          <w:szCs w:val="20"/>
        </w:rPr>
        <w:t>Ahora bien, en el presente caso, se advierte que la suma de dinero apoderado fue por la suma de</w:t>
      </w:r>
      <w:r w:rsidR="007369C8">
        <w:rPr>
          <w:rFonts w:ascii="Tahoma" w:hAnsi="Tahoma" w:cs="Tahoma"/>
          <w:iCs/>
          <w:sz w:val="20"/>
          <w:szCs w:val="20"/>
        </w:rPr>
        <w:t xml:space="preserve"> </w:t>
      </w:r>
      <w:r w:rsidR="00237F37" w:rsidRPr="004C23A4">
        <w:rPr>
          <w:rFonts w:ascii="Tahoma" w:eastAsia="SimSun" w:hAnsi="Tahoma" w:cs="Tahoma"/>
          <w:bCs/>
          <w:kern w:val="3"/>
          <w:sz w:val="20"/>
          <w:szCs w:val="20"/>
          <w:lang w:eastAsia="zh-CN" w:bidi="hi-IN"/>
        </w:rPr>
        <w:t>&lt;&lt;</w:t>
      </w:r>
      <w:r w:rsidR="00237F37">
        <w:rPr>
          <w:rFonts w:ascii="Tahoma" w:eastAsia="SimSun" w:hAnsi="Tahoma" w:cs="Tahoma"/>
          <w:bCs/>
          <w:kern w:val="3"/>
          <w:sz w:val="20"/>
          <w:szCs w:val="20"/>
          <w:lang w:eastAsia="zh-CN" w:bidi="hi-IN"/>
        </w:rPr>
        <w:t>monto</w:t>
      </w:r>
      <w:r w:rsidR="00237F37" w:rsidRPr="004C23A4">
        <w:rPr>
          <w:rFonts w:ascii="Tahoma" w:eastAsia="SimSun" w:hAnsi="Tahoma" w:cs="Tahoma"/>
          <w:bCs/>
          <w:kern w:val="3"/>
          <w:sz w:val="20"/>
          <w:szCs w:val="20"/>
          <w:lang w:eastAsia="zh-CN" w:bidi="hi-IN"/>
        </w:rPr>
        <w:t>&gt;&gt;</w:t>
      </w:r>
      <w:r w:rsidRPr="004B0D53">
        <w:rPr>
          <w:rFonts w:ascii="Tahoma" w:hAnsi="Tahoma" w:cs="Tahoma"/>
          <w:iCs/>
          <w:sz w:val="20"/>
          <w:szCs w:val="20"/>
        </w:rPr>
        <w:t xml:space="preserve">; sin embargo, desde una perspectiva de mínima intervención y de última ratio del derecho penal, dicho perjuicio económico no tendría la entidad suficiente para activar el sistema penal. </w:t>
      </w:r>
      <w:r w:rsidRPr="004B0D53">
        <w:rPr>
          <w:rFonts w:ascii="Tahoma" w:eastAsia="Andale Sans UI" w:hAnsi="Tahoma" w:cs="Tahoma"/>
          <w:sz w:val="20"/>
          <w:szCs w:val="20"/>
          <w:lang w:val="es-PE" w:eastAsia="fa-IR" w:bidi="fa-IR"/>
        </w:rPr>
        <w:t xml:space="preserve">Más aún, si consideramos que el Código Penal establece un criterio objetivo para diferenciar la falta contra el patrimonio del delito contra el patrimonio, consistente en el valor económico del bien afectado, solo </w:t>
      </w:r>
      <w:r w:rsidRPr="004B0D53">
        <w:rPr>
          <w:rFonts w:ascii="Tahoma" w:eastAsia="Andale Sans UI" w:hAnsi="Tahoma" w:cs="Tahoma"/>
          <w:b/>
          <w:sz w:val="20"/>
          <w:szCs w:val="20"/>
          <w:lang w:val="es-PE" w:eastAsia="fa-IR" w:bidi="fa-IR"/>
        </w:rPr>
        <w:t>cuando el perjuicio supera el diez por ciento (10 %) de la UIT se configura delito</w:t>
      </w:r>
      <w:r w:rsidRPr="004B0D53">
        <w:rPr>
          <w:rFonts w:ascii="Tahoma" w:eastAsia="Andale Sans UI" w:hAnsi="Tahoma" w:cs="Tahoma"/>
          <w:sz w:val="20"/>
          <w:szCs w:val="20"/>
          <w:lang w:val="es-PE" w:eastAsia="fa-IR" w:bidi="fa-IR"/>
        </w:rPr>
        <w:t xml:space="preserve">, caso </w:t>
      </w:r>
      <w:r w:rsidR="00237F37" w:rsidRPr="004B0D53">
        <w:rPr>
          <w:rFonts w:ascii="Tahoma" w:eastAsia="Andale Sans UI" w:hAnsi="Tahoma" w:cs="Tahoma"/>
          <w:sz w:val="20"/>
          <w:szCs w:val="20"/>
          <w:lang w:val="es-PE" w:eastAsia="fa-IR" w:bidi="fa-IR"/>
        </w:rPr>
        <w:t>contrario</w:t>
      </w:r>
      <w:r w:rsidRPr="004B0D53">
        <w:rPr>
          <w:rFonts w:ascii="Tahoma" w:eastAsia="Andale Sans UI" w:hAnsi="Tahoma" w:cs="Tahoma"/>
          <w:sz w:val="20"/>
          <w:szCs w:val="20"/>
          <w:lang w:val="es-PE" w:eastAsia="fa-IR" w:bidi="fa-IR"/>
        </w:rPr>
        <w:t xml:space="preserve"> constituye una falta contra el patrimonio.</w:t>
      </w:r>
      <w:r w:rsidRPr="004B0D53">
        <w:rPr>
          <w:rStyle w:val="Refdenotaalpie"/>
          <w:rFonts w:ascii="Tahoma" w:eastAsia="Andale Sans UI" w:hAnsi="Tahoma" w:cs="Tahoma"/>
          <w:sz w:val="20"/>
          <w:szCs w:val="20"/>
          <w:lang w:val="de-DE" w:eastAsia="fa-IR" w:bidi="fa-IR"/>
        </w:rPr>
        <w:footnoteReference w:id="5"/>
      </w:r>
      <w:r w:rsidRPr="004B0D53">
        <w:rPr>
          <w:rFonts w:ascii="Tahoma" w:eastAsia="Andale Sans UI" w:hAnsi="Tahoma" w:cs="Tahoma"/>
          <w:sz w:val="20"/>
          <w:szCs w:val="20"/>
          <w:lang w:val="es-PE" w:eastAsia="fa-IR" w:bidi="fa-IR"/>
        </w:rPr>
        <w:t xml:space="preserve"> </w:t>
      </w:r>
    </w:p>
    <w:p w14:paraId="69D7C42A" w14:textId="77777777" w:rsidR="004B0D53" w:rsidRPr="004B0D53" w:rsidRDefault="004B0D53" w:rsidP="004B0D53">
      <w:pPr>
        <w:pStyle w:val="NormalWeb"/>
        <w:numPr>
          <w:ilvl w:val="0"/>
          <w:numId w:val="1"/>
        </w:numPr>
        <w:spacing w:before="0" w:beforeAutospacing="0" w:after="0"/>
        <w:ind w:left="426"/>
        <w:jc w:val="both"/>
        <w:rPr>
          <w:rFonts w:ascii="Tahoma" w:eastAsia="Andale Sans UI" w:hAnsi="Tahoma" w:cs="Tahoma"/>
          <w:sz w:val="20"/>
          <w:szCs w:val="20"/>
          <w:lang w:eastAsia="fa-IR" w:bidi="fa-IR"/>
        </w:rPr>
      </w:pPr>
      <w:r w:rsidRPr="004B0D53">
        <w:rPr>
          <w:rFonts w:ascii="Tahoma" w:eastAsia="Andale Sans UI" w:hAnsi="Tahoma" w:cs="Tahoma"/>
          <w:sz w:val="20"/>
          <w:szCs w:val="20"/>
          <w:lang w:eastAsia="fa-IR" w:bidi="fa-IR"/>
        </w:rPr>
        <w:t xml:space="preserve">Por lo que, este parámetro resulta relevante para el análisis del delito informático de fraude informático, pues, pese a la particularidad de su ejecución mediante medios tecnológicos, se trata de un ilícito de naturaleza patrimonial, cuyo propósito es producir un perjuicio económico o un beneficio ilícito mediante la manipulación de sistemas informáticos o datos. En consecuencia, tanto las los delitos patrimoniales tradicionales y el fraude informático comparten el mismo bien jurídico protegido —el patrimonio—, así como la existencia de un </w:t>
      </w:r>
      <w:r w:rsidRPr="004B0D53">
        <w:rPr>
          <w:rFonts w:ascii="Tahoma" w:eastAsia="Andale Sans UI" w:hAnsi="Tahoma" w:cs="Tahoma"/>
          <w:b/>
          <w:sz w:val="20"/>
          <w:szCs w:val="20"/>
          <w:lang w:eastAsia="fa-IR" w:bidi="fa-IR"/>
        </w:rPr>
        <w:t>perjuicio económico</w:t>
      </w:r>
      <w:r w:rsidRPr="004B0D53">
        <w:rPr>
          <w:rFonts w:ascii="Tahoma" w:eastAsia="Andale Sans UI" w:hAnsi="Tahoma" w:cs="Tahoma"/>
          <w:sz w:val="20"/>
          <w:szCs w:val="20"/>
          <w:lang w:eastAsia="fa-IR" w:bidi="fa-IR"/>
        </w:rPr>
        <w:t xml:space="preserve"> con lesividad suficiente para activar el ius puniendi del Estado, lo que no ocurre en el caso materia de análisis. </w:t>
      </w:r>
    </w:p>
    <w:p w14:paraId="158D6D1B" w14:textId="77777777" w:rsidR="004B0D53" w:rsidRPr="004B0D53" w:rsidRDefault="004B0D53" w:rsidP="004B0D53">
      <w:pPr>
        <w:pStyle w:val="Prrafodelista"/>
        <w:widowControl w:val="0"/>
        <w:suppressAutoHyphens/>
        <w:autoSpaceDN w:val="0"/>
        <w:spacing w:line="240" w:lineRule="auto"/>
        <w:ind w:left="426"/>
        <w:contextualSpacing w:val="0"/>
        <w:jc w:val="both"/>
        <w:textAlignment w:val="baseline"/>
        <w:rPr>
          <w:rFonts w:ascii="Tahoma" w:eastAsia="Andale Sans UI" w:hAnsi="Tahoma" w:cs="Tahoma"/>
          <w:sz w:val="20"/>
          <w:szCs w:val="20"/>
          <w:lang w:val="es-PE" w:eastAsia="fa-IR" w:bidi="fa-IR"/>
        </w:rPr>
      </w:pPr>
    </w:p>
    <w:p w14:paraId="6D9F6339" w14:textId="77777777" w:rsidR="004B0D53" w:rsidRPr="004B0D53" w:rsidRDefault="004B0D53" w:rsidP="004B0D53">
      <w:pPr>
        <w:pStyle w:val="NormalWeb"/>
        <w:numPr>
          <w:ilvl w:val="0"/>
          <w:numId w:val="1"/>
        </w:numPr>
        <w:spacing w:before="0" w:beforeAutospacing="0" w:after="0"/>
        <w:ind w:left="426"/>
        <w:jc w:val="both"/>
        <w:rPr>
          <w:rFonts w:ascii="Tahoma" w:eastAsia="Andale Sans UI" w:hAnsi="Tahoma" w:cs="Tahoma"/>
          <w:sz w:val="20"/>
          <w:szCs w:val="20"/>
          <w:lang w:eastAsia="fa-IR" w:bidi="fa-IR"/>
        </w:rPr>
      </w:pPr>
      <w:r w:rsidRPr="004B0D53">
        <w:rPr>
          <w:rFonts w:ascii="Tahoma" w:hAnsi="Tahoma" w:cs="Tahoma"/>
          <w:iCs/>
          <w:sz w:val="20"/>
          <w:szCs w:val="20"/>
        </w:rPr>
        <w:t xml:space="preserve">De modo que, en el presente caso, existe la posibilidad de utilizar otros medios que permitan la solución del conflicto de manera satisfactoria sin la intervención del Derecho Penal, esto es </w:t>
      </w:r>
      <w:r w:rsidRPr="004B0D53">
        <w:rPr>
          <w:rFonts w:ascii="Tahoma" w:hAnsi="Tahoma" w:cs="Tahoma"/>
          <w:b/>
          <w:iCs/>
          <w:sz w:val="20"/>
          <w:szCs w:val="20"/>
        </w:rPr>
        <w:t>un reclamo ante la entidad bancaria para que realicen la devolución de dicho monto afectado</w:t>
      </w:r>
      <w:r w:rsidRPr="004B0D53">
        <w:rPr>
          <w:rFonts w:ascii="Tahoma" w:hAnsi="Tahoma" w:cs="Tahoma"/>
          <w:iCs/>
          <w:sz w:val="20"/>
          <w:szCs w:val="20"/>
        </w:rPr>
        <w:t xml:space="preserve">; asimismo, es relevante y aplicable el principio de subsidiaridad, </w:t>
      </w:r>
      <w:bookmarkStart w:id="3" w:name="_Hlk80544364"/>
      <w:r w:rsidRPr="004B0D53">
        <w:rPr>
          <w:rFonts w:ascii="Tahoma" w:hAnsi="Tahoma" w:cs="Tahoma"/>
          <w:iCs/>
          <w:sz w:val="20"/>
          <w:szCs w:val="20"/>
        </w:rPr>
        <w:t xml:space="preserve">según el cual el Derecho Penal ha de ser la </w:t>
      </w:r>
      <w:r w:rsidRPr="004B0D53">
        <w:rPr>
          <w:rFonts w:ascii="Tahoma" w:hAnsi="Tahoma" w:cs="Tahoma"/>
          <w:b/>
          <w:bCs/>
          <w:iCs/>
          <w:sz w:val="20"/>
          <w:szCs w:val="20"/>
        </w:rPr>
        <w:t>“última ratio”</w:t>
      </w:r>
      <w:r w:rsidRPr="004B0D53">
        <w:rPr>
          <w:rFonts w:ascii="Tahoma" w:hAnsi="Tahoma" w:cs="Tahoma"/>
          <w:iCs/>
          <w:sz w:val="20"/>
          <w:szCs w:val="20"/>
        </w:rPr>
        <w:t>, el último recurso que se debe utilizar a falta de otros menos lesivos, así como el denominado carácter fragmentario del Derecho Penal que constituye una exigencia relacionada con la anterior, es decir, significa que el Derecho Penal no ha de sancionar todas las conductas vulneradoras de los bienes jurídicos que protege, ni tampoco todos ellos son objeto de tutela, sino sólo castiga las modalidades de ataque más peligrosas para ellos -el Derecho Penal protege el bien jurídico contra ataques de especial gravedad-.</w:t>
      </w:r>
    </w:p>
    <w:p w14:paraId="16AE6750" w14:textId="77777777" w:rsidR="004B0D53" w:rsidRPr="004B0D53" w:rsidRDefault="004B0D53" w:rsidP="004B0D53">
      <w:pPr>
        <w:pStyle w:val="Prrafodelista"/>
        <w:rPr>
          <w:rFonts w:ascii="Tahoma" w:hAnsi="Tahoma" w:cs="Tahoma"/>
          <w:sz w:val="20"/>
          <w:szCs w:val="20"/>
          <w:lang w:bidi="fa-IR"/>
          <w14:ligatures w14:val="standardContextual"/>
        </w:rPr>
      </w:pPr>
    </w:p>
    <w:p w14:paraId="3BBE273A" w14:textId="77777777" w:rsidR="004B0D53" w:rsidRPr="004B0D53" w:rsidRDefault="004B0D53" w:rsidP="004B0D53">
      <w:pPr>
        <w:pStyle w:val="NormalWeb"/>
        <w:numPr>
          <w:ilvl w:val="0"/>
          <w:numId w:val="1"/>
        </w:numPr>
        <w:spacing w:before="0" w:beforeAutospacing="0" w:after="0"/>
        <w:ind w:left="426"/>
        <w:jc w:val="both"/>
        <w:rPr>
          <w:rFonts w:ascii="Tahoma" w:eastAsia="Andale Sans UI" w:hAnsi="Tahoma" w:cs="Tahoma"/>
          <w:sz w:val="20"/>
          <w:szCs w:val="20"/>
          <w:lang w:eastAsia="fa-IR" w:bidi="fa-IR"/>
        </w:rPr>
      </w:pPr>
      <w:r w:rsidRPr="004B0D53">
        <w:rPr>
          <w:rFonts w:ascii="Tahoma" w:hAnsi="Tahoma" w:cs="Tahoma"/>
          <w:iCs/>
          <w:sz w:val="20"/>
          <w:szCs w:val="20"/>
        </w:rPr>
        <w:t xml:space="preserve">Ahora bien, es preciso señalar que ambos postulados integran el llamado </w:t>
      </w:r>
      <w:r w:rsidRPr="004B0D53">
        <w:rPr>
          <w:rFonts w:ascii="Tahoma" w:hAnsi="Tahoma" w:cs="Tahoma"/>
          <w:b/>
          <w:iCs/>
          <w:sz w:val="20"/>
          <w:szCs w:val="20"/>
        </w:rPr>
        <w:t>principio de intervención mínima del Derecho Penal</w:t>
      </w:r>
      <w:r w:rsidRPr="004B0D53">
        <w:rPr>
          <w:rFonts w:ascii="Tahoma" w:hAnsi="Tahoma" w:cs="Tahoma"/>
          <w:iCs/>
          <w:sz w:val="20"/>
          <w:szCs w:val="20"/>
        </w:rPr>
        <w:t>, que consiste en que la intervención del Estado solo se justifica cuando es necesaria para el mantenimiento de su organización; que por eso sólo debe acudirse al Derecho Penal cuando han fracasado todos los demos controles, pues el derecho punitivo es el último recurso que ha de utilizar el Estado, en tanto en cuanto no castiga todas las conductas lesivas de bienes jurídicos, sino sólo las que revisten mayor entidad -la potestad de castigar no puede ser ejercida por el Estado de manera ilimitada, pues se caería en el abuso y la arbitrariedad.</w:t>
      </w:r>
    </w:p>
    <w:p w14:paraId="08F3BAA2" w14:textId="77777777" w:rsidR="004B0D53" w:rsidRPr="004B0D53" w:rsidRDefault="004B0D53" w:rsidP="004B0D53">
      <w:pPr>
        <w:pStyle w:val="Prrafodelista"/>
        <w:rPr>
          <w:rFonts w:ascii="Tahoma" w:hAnsi="Tahoma" w:cs="Tahoma"/>
          <w:sz w:val="20"/>
          <w:szCs w:val="20"/>
          <w:lang w:bidi="fa-IR"/>
          <w14:ligatures w14:val="standardContextual"/>
        </w:rPr>
      </w:pPr>
    </w:p>
    <w:p w14:paraId="094B952C" w14:textId="2F7A00E9" w:rsidR="004B0D53" w:rsidRPr="004B0D53" w:rsidRDefault="004B0D53" w:rsidP="004B0D53">
      <w:pPr>
        <w:pStyle w:val="NormalWeb"/>
        <w:numPr>
          <w:ilvl w:val="0"/>
          <w:numId w:val="1"/>
        </w:numPr>
        <w:spacing w:before="0" w:beforeAutospacing="0" w:after="0"/>
        <w:ind w:left="426"/>
        <w:jc w:val="both"/>
        <w:rPr>
          <w:rFonts w:ascii="Tahoma" w:eastAsia="Andale Sans UI" w:hAnsi="Tahoma" w:cs="Tahoma"/>
          <w:sz w:val="20"/>
          <w:szCs w:val="20"/>
          <w:lang w:eastAsia="fa-IR" w:bidi="fa-IR"/>
        </w:rPr>
      </w:pPr>
      <w:r w:rsidRPr="004B0D53">
        <w:rPr>
          <w:rFonts w:ascii="Tahoma" w:hAnsi="Tahoma" w:cs="Tahoma"/>
          <w:sz w:val="20"/>
          <w:szCs w:val="20"/>
          <w:lang w:bidi="fa-IR"/>
          <w14:ligatures w14:val="standardContextual"/>
        </w:rPr>
        <w:t xml:space="preserve">No obstante, debe dejarse en claro que en la presente investigación se deja a salvo el derecho que tiene </w:t>
      </w:r>
      <w:r w:rsidR="00237F37" w:rsidRPr="004C23A4">
        <w:rPr>
          <w:rFonts w:ascii="Tahoma" w:eastAsia="SimSun" w:hAnsi="Tahoma" w:cs="Tahoma"/>
          <w:bCs/>
          <w:kern w:val="3"/>
          <w:sz w:val="20"/>
          <w:szCs w:val="20"/>
          <w:lang w:eastAsia="zh-CN" w:bidi="hi-IN"/>
        </w:rPr>
        <w:t>&lt;&lt;agraviado&gt;&gt;</w:t>
      </w:r>
      <w:r w:rsidRPr="004B0D53">
        <w:rPr>
          <w:rFonts w:ascii="Tahoma" w:hAnsi="Tahoma" w:cs="Tahoma"/>
          <w:sz w:val="20"/>
          <w:szCs w:val="20"/>
          <w:lang w:bidi="fa-IR"/>
          <w14:ligatures w14:val="standardContextual"/>
        </w:rPr>
        <w:t xml:space="preserve"> para acudir a la vía extrapenal (instancia administrativa) </w:t>
      </w:r>
      <w:r w:rsidRPr="004B0D53">
        <w:rPr>
          <w:rFonts w:ascii="Tahoma" w:eastAsia="Arial" w:hAnsi="Tahoma" w:cs="Tahoma"/>
          <w:b/>
          <w:color w:val="000000"/>
          <w:sz w:val="20"/>
          <w:szCs w:val="20"/>
        </w:rPr>
        <w:t>Defensoría del Cliente Financiero, INDECOPI y el servicio de atención al usuario de la Superintendencia de Banca y Seguros</w:t>
      </w:r>
      <w:r w:rsidRPr="004B0D53">
        <w:rPr>
          <w:rFonts w:ascii="Tahoma" w:hAnsi="Tahoma" w:cs="Tahoma"/>
          <w:bCs/>
          <w:iCs/>
          <w:color w:val="000000"/>
          <w:sz w:val="20"/>
          <w:szCs w:val="20"/>
        </w:rPr>
        <w:t xml:space="preserve"> -</w:t>
      </w:r>
      <w:r w:rsidRPr="004B0D53">
        <w:rPr>
          <w:rFonts w:ascii="Tahoma" w:hAnsi="Tahoma" w:cs="Tahoma"/>
          <w:sz w:val="20"/>
          <w:szCs w:val="20"/>
          <w:lang w:bidi="fa-IR"/>
          <w14:ligatures w14:val="standardContextual"/>
        </w:rPr>
        <w:t xml:space="preserve"> a fin de hacer valer su pretensión económica (restitución del dinero sustraído de su cuenta bancaria).</w:t>
      </w:r>
    </w:p>
    <w:p w14:paraId="33A674EE" w14:textId="77777777" w:rsidR="004B0D53" w:rsidRPr="004B0D53" w:rsidRDefault="004B0D53" w:rsidP="004B0D53">
      <w:pPr>
        <w:pStyle w:val="Prrafodelista"/>
        <w:rPr>
          <w:rFonts w:ascii="Tahoma" w:eastAsia="Andale Sans UI" w:hAnsi="Tahoma" w:cs="Tahoma"/>
          <w:sz w:val="20"/>
          <w:szCs w:val="20"/>
          <w:lang w:val="es-PE" w:eastAsia="fa-IR" w:bidi="fa-IR"/>
        </w:rPr>
      </w:pPr>
    </w:p>
    <w:bookmarkEnd w:id="3"/>
    <w:p w14:paraId="13E08DEE" w14:textId="4E42DD8E"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sz w:val="20"/>
          <w:szCs w:val="20"/>
          <w:lang w:val="es-PE" w:eastAsia="fa-IR" w:bidi="fa-IR"/>
        </w:rPr>
      </w:pPr>
      <w:r w:rsidRPr="004B0D53">
        <w:rPr>
          <w:rFonts w:ascii="Tahoma" w:hAnsi="Tahoma" w:cs="Tahoma"/>
          <w:sz w:val="20"/>
          <w:szCs w:val="20"/>
        </w:rPr>
        <w:lastRenderedPageBreak/>
        <w:t xml:space="preserve">Por lo demás, cabe señalar </w:t>
      </w:r>
      <w:r w:rsidR="00237F37" w:rsidRPr="004B0D53">
        <w:rPr>
          <w:rFonts w:ascii="Tahoma" w:hAnsi="Tahoma" w:cs="Tahoma"/>
          <w:sz w:val="20"/>
          <w:szCs w:val="20"/>
        </w:rPr>
        <w:t>que,</w:t>
      </w:r>
      <w:r w:rsidRPr="004B0D53">
        <w:rPr>
          <w:rFonts w:ascii="Tahoma" w:hAnsi="Tahoma" w:cs="Tahoma"/>
          <w:sz w:val="20"/>
          <w:szCs w:val="20"/>
        </w:rPr>
        <w:t xml:space="preserve"> si bien corresponde al Ministerio Público la titularidad del ejercicio de la acción penal pública, sin </w:t>
      </w:r>
      <w:r w:rsidR="00237F37" w:rsidRPr="004B0D53">
        <w:rPr>
          <w:rFonts w:ascii="Tahoma" w:hAnsi="Tahoma" w:cs="Tahoma"/>
          <w:sz w:val="20"/>
          <w:szCs w:val="20"/>
        </w:rPr>
        <w:t>embargo,</w:t>
      </w:r>
      <w:r w:rsidRPr="004B0D53">
        <w:rPr>
          <w:rFonts w:ascii="Tahoma" w:hAnsi="Tahoma" w:cs="Tahoma"/>
          <w:sz w:val="20"/>
          <w:szCs w:val="20"/>
        </w:rPr>
        <w:t xml:space="preserve"> para ello es necesario que el fiscal verifique si está en condiciones de ejercer la acción penal o cuál es el modo más adecuado de hacerlo, concordante con lo dispuesto por el Art. 5º de Ley Orgánica del Ministerio Público, según el cual el </w:t>
      </w:r>
      <w:r w:rsidRPr="004B0D53">
        <w:rPr>
          <w:rFonts w:ascii="Tahoma" w:hAnsi="Tahoma" w:cs="Tahoma"/>
          <w:iCs/>
          <w:sz w:val="20"/>
          <w:szCs w:val="20"/>
        </w:rPr>
        <w:t>fiscal actúa con independencia de criterio. Adecua sus actos a un criterio objetivo, rigiéndose únicamente por la Constitución y la Ley</w:t>
      </w:r>
      <w:r w:rsidRPr="004B0D53">
        <w:rPr>
          <w:rFonts w:ascii="Tahoma" w:hAnsi="Tahoma" w:cs="Tahoma"/>
          <w:b/>
          <w:bCs/>
          <w:sz w:val="20"/>
          <w:szCs w:val="20"/>
        </w:rPr>
        <w:t xml:space="preserve">; </w:t>
      </w:r>
      <w:r w:rsidRPr="004B0D53">
        <w:rPr>
          <w:rFonts w:ascii="Tahoma" w:hAnsi="Tahoma" w:cs="Tahoma"/>
          <w:sz w:val="20"/>
          <w:szCs w:val="20"/>
        </w:rPr>
        <w:t xml:space="preserve">en tal sentido, su función </w:t>
      </w:r>
      <w:r w:rsidRPr="004B0D53">
        <w:rPr>
          <w:rFonts w:ascii="Tahoma" w:hAnsi="Tahoma" w:cs="Tahoma"/>
          <w:iCs/>
          <w:sz w:val="20"/>
          <w:szCs w:val="20"/>
          <w:u w:val="single"/>
        </w:rPr>
        <w:t>lo faculta a seleccionar los casos que permitan operar con eficacia la gestión de los mismos</w:t>
      </w:r>
      <w:r w:rsidRPr="004B0D53">
        <w:rPr>
          <w:rFonts w:ascii="Tahoma" w:hAnsi="Tahoma" w:cs="Tahoma"/>
          <w:i/>
          <w:iCs/>
          <w:sz w:val="20"/>
          <w:szCs w:val="20"/>
          <w:u w:val="single"/>
        </w:rPr>
        <w:t>.</w:t>
      </w:r>
      <w:r w:rsidRPr="004B0D53">
        <w:rPr>
          <w:rFonts w:ascii="Tahoma" w:hAnsi="Tahoma" w:cs="Tahoma"/>
          <w:iCs/>
          <w:sz w:val="20"/>
          <w:szCs w:val="20"/>
        </w:rPr>
        <w:t xml:space="preserve"> </w:t>
      </w:r>
    </w:p>
    <w:p w14:paraId="28B1912B" w14:textId="77777777"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sz w:val="20"/>
          <w:szCs w:val="20"/>
          <w:lang w:val="es-PE" w:eastAsia="fa-IR" w:bidi="fa-IR"/>
        </w:rPr>
      </w:pPr>
      <w:r w:rsidRPr="004B0D53">
        <w:rPr>
          <w:rFonts w:ascii="Tahoma" w:hAnsi="Tahoma" w:cs="Tahoma"/>
          <w:iCs/>
          <w:sz w:val="20"/>
          <w:szCs w:val="20"/>
        </w:rPr>
        <w:t>En ese sentido, en el presente caso</w:t>
      </w:r>
      <w:r w:rsidRPr="004B0D53">
        <w:rPr>
          <w:rFonts w:ascii="Tahoma" w:hAnsi="Tahoma" w:cs="Tahoma"/>
          <w:sz w:val="20"/>
          <w:szCs w:val="20"/>
        </w:rPr>
        <w:t>, no se tiene un pronóstico adecuado respecto a las circunstancias y posibilidades para lograr una persecución penal exitosa, por lo que, no se debe sobrecargar inútilmente el sistema de persecución, perjudicándose innecesariamente su funcionamiento con el seguimiento de aquellos casos donde no existe probabilidad razonable de éxito en un eventual juicio.</w:t>
      </w:r>
    </w:p>
    <w:p w14:paraId="3F1AF0D1" w14:textId="77777777"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sz w:val="20"/>
          <w:szCs w:val="20"/>
          <w:lang w:val="es-PE" w:eastAsia="fa-IR" w:bidi="fa-IR"/>
        </w:rPr>
      </w:pPr>
      <w:r w:rsidRPr="004B0D53">
        <w:rPr>
          <w:rFonts w:ascii="Tahoma" w:eastAsia="MS UI Gothic" w:hAnsi="Tahoma" w:cs="Tahoma"/>
          <w:sz w:val="20"/>
          <w:szCs w:val="20"/>
          <w:lang w:val="es-ES"/>
        </w:rPr>
        <w:t>Por tales sindéresis, en aplicación de los principios de lesividad y de mínima intervención, deviene pertinente declarar que no procede iniciar una investigación preliminar a y, por ende, proceder al archivo liminar de la presente denuncia.</w:t>
      </w:r>
    </w:p>
    <w:p w14:paraId="079565BC" w14:textId="77777777" w:rsidR="004B0D53" w:rsidRPr="004B0D53" w:rsidRDefault="004B0D53" w:rsidP="004B0D53">
      <w:pPr>
        <w:tabs>
          <w:tab w:val="left" w:pos="6910"/>
        </w:tabs>
        <w:spacing w:line="240" w:lineRule="auto"/>
        <w:jc w:val="both"/>
        <w:rPr>
          <w:rFonts w:ascii="Tahoma" w:eastAsia="Times New Roman" w:hAnsi="Tahoma" w:cs="Tahoma"/>
          <w:b/>
          <w:bCs/>
          <w:sz w:val="20"/>
          <w:szCs w:val="20"/>
          <w:lang w:val="es-MX"/>
          <w14:ligatures w14:val="standardContextual"/>
        </w:rPr>
      </w:pPr>
      <w:r w:rsidRPr="004B0D53">
        <w:rPr>
          <w:rFonts w:ascii="Tahoma" w:eastAsia="Times New Roman" w:hAnsi="Tahoma" w:cs="Tahoma"/>
          <w:b/>
          <w:bCs/>
          <w:sz w:val="20"/>
          <w:szCs w:val="20"/>
          <w:lang w:val="es-MX"/>
          <w14:ligatures w14:val="standardContextual"/>
        </w:rPr>
        <w:t>III. DECISIÓN FISCAL</w:t>
      </w:r>
    </w:p>
    <w:p w14:paraId="096C8EAE" w14:textId="77777777" w:rsidR="004B0D53" w:rsidRPr="004B0D53" w:rsidRDefault="004B0D53" w:rsidP="004B0D53">
      <w:pPr>
        <w:tabs>
          <w:tab w:val="left" w:pos="6910"/>
        </w:tabs>
        <w:spacing w:line="240" w:lineRule="auto"/>
        <w:jc w:val="both"/>
        <w:rPr>
          <w:rFonts w:ascii="Tahoma" w:eastAsia="Times New Roman" w:hAnsi="Tahoma" w:cs="Tahoma"/>
          <w:sz w:val="20"/>
          <w:szCs w:val="20"/>
          <w:lang w:val="es-MX"/>
          <w14:ligatures w14:val="standardContextual"/>
        </w:rPr>
      </w:pPr>
    </w:p>
    <w:p w14:paraId="24AA513A" w14:textId="77777777" w:rsidR="004B0D53" w:rsidRPr="004B0D53" w:rsidRDefault="004B0D53" w:rsidP="004B0D53">
      <w:pPr>
        <w:tabs>
          <w:tab w:val="left" w:pos="6910"/>
        </w:tabs>
        <w:spacing w:line="240" w:lineRule="auto"/>
        <w:jc w:val="both"/>
        <w:rPr>
          <w:rFonts w:ascii="Tahoma" w:eastAsia="Arial Unicode MS" w:hAnsi="Tahoma" w:cs="Tahoma"/>
          <w:kern w:val="2"/>
          <w:sz w:val="20"/>
          <w:szCs w:val="20"/>
          <w:lang w:eastAsia="hi-IN"/>
        </w:rPr>
      </w:pPr>
      <w:r w:rsidRPr="004B0D53">
        <w:rPr>
          <w:rFonts w:ascii="Tahoma" w:eastAsia="Arial Unicode MS" w:hAnsi="Tahoma" w:cs="Tahoma"/>
          <w:kern w:val="2"/>
          <w:sz w:val="20"/>
          <w:szCs w:val="20"/>
          <w:lang w:eastAsia="hi-IN"/>
        </w:rPr>
        <w:t xml:space="preserve">Por las razones expuestas, el fiscal que suscribe titular del Segundo Despacho Provincial de la Segunda Fiscalía Corporativa Especializada en Ciberdelincuencia, en aplicación del artículo 159, de la Constitución Política del Perú, concordante con el artículo 334, numeral 1, del Código Procesal Penal –Decreto Legislativo N.º 957, </w:t>
      </w:r>
      <w:r w:rsidRPr="004B0D53">
        <w:rPr>
          <w:rFonts w:ascii="Tahoma" w:eastAsia="Arial Unicode MS" w:hAnsi="Tahoma" w:cs="Tahoma"/>
          <w:b/>
          <w:bCs/>
          <w:kern w:val="2"/>
          <w:sz w:val="20"/>
          <w:szCs w:val="20"/>
          <w:lang w:eastAsia="hi-IN"/>
        </w:rPr>
        <w:t>DISPONE:</w:t>
      </w:r>
    </w:p>
    <w:p w14:paraId="34FAD166" w14:textId="77777777" w:rsidR="004B0D53" w:rsidRPr="004B0D53" w:rsidRDefault="004B0D53" w:rsidP="004B0D53">
      <w:pPr>
        <w:tabs>
          <w:tab w:val="left" w:pos="6910"/>
        </w:tabs>
        <w:spacing w:line="240" w:lineRule="auto"/>
        <w:jc w:val="both"/>
        <w:rPr>
          <w:rFonts w:ascii="Tahoma" w:eastAsia="Arial Unicode MS" w:hAnsi="Tahoma" w:cs="Tahoma"/>
          <w:kern w:val="2"/>
          <w:sz w:val="20"/>
          <w:szCs w:val="20"/>
          <w:lang w:eastAsia="hi-IN"/>
        </w:rPr>
      </w:pPr>
    </w:p>
    <w:p w14:paraId="153FF9CB" w14:textId="48404491" w:rsidR="004B0D53" w:rsidRPr="004B0D53" w:rsidRDefault="004B0D53" w:rsidP="004B0D53">
      <w:pPr>
        <w:spacing w:before="240" w:line="240" w:lineRule="auto"/>
        <w:contextualSpacing/>
        <w:jc w:val="both"/>
        <w:rPr>
          <w:rStyle w:val="fadeinm1hgl8"/>
          <w:rFonts w:ascii="Tahoma" w:hAnsi="Tahoma" w:cs="Tahoma"/>
          <w:b/>
          <w:sz w:val="20"/>
          <w:szCs w:val="20"/>
        </w:rPr>
      </w:pPr>
      <w:r w:rsidRPr="004B0D53">
        <w:rPr>
          <w:rFonts w:ascii="Tahoma" w:eastAsia="Times New Roman" w:hAnsi="Tahoma" w:cs="Tahoma"/>
          <w:b/>
          <w:bCs/>
          <w:sz w:val="20"/>
          <w:szCs w:val="20"/>
          <w:lang w:val="es-MX"/>
        </w:rPr>
        <w:t xml:space="preserve">Primero: DECLARAR QUE NO PROCEDE FORMALIZAR Y CONTINUAR CON LA </w:t>
      </w:r>
      <w:r w:rsidRPr="004B0D53">
        <w:rPr>
          <w:rFonts w:ascii="Tahoma" w:eastAsia="Times New Roman" w:hAnsi="Tahoma" w:cs="Tahoma"/>
          <w:b/>
          <w:bCs/>
          <w:sz w:val="20"/>
          <w:szCs w:val="20"/>
        </w:rPr>
        <w:t xml:space="preserve">INVESTIGACIÓN PREPARATORIA </w:t>
      </w:r>
      <w:r w:rsidRPr="004B0D53">
        <w:rPr>
          <w:rFonts w:ascii="Tahoma" w:eastAsia="Arial Unicode MS" w:hAnsi="Tahoma" w:cs="Tahoma"/>
          <w:kern w:val="2"/>
          <w:sz w:val="20"/>
          <w:szCs w:val="20"/>
          <w:lang w:eastAsia="hi-IN"/>
        </w:rPr>
        <w:t>contra</w:t>
      </w:r>
      <w:r w:rsidRPr="004B0D53">
        <w:rPr>
          <w:rFonts w:ascii="Tahoma" w:eastAsia="Times New Roman" w:hAnsi="Tahoma" w:cs="Tahoma"/>
          <w:sz w:val="20"/>
          <w:szCs w:val="20"/>
        </w:rPr>
        <w:t xml:space="preserve"> </w:t>
      </w:r>
      <w:r w:rsidRPr="004B0D53">
        <w:rPr>
          <w:rFonts w:ascii="Tahoma" w:eastAsia="Times New Roman" w:hAnsi="Tahoma" w:cs="Tahoma"/>
          <w:b/>
          <w:bCs/>
          <w:sz w:val="20"/>
          <w:szCs w:val="20"/>
        </w:rPr>
        <w:t>LOS QUE RESULTEN RESPONSABLES,</w:t>
      </w:r>
      <w:r w:rsidRPr="004B0D53">
        <w:rPr>
          <w:rFonts w:ascii="Tahoma" w:eastAsia="MS UI Gothic" w:hAnsi="Tahoma" w:cs="Tahoma"/>
          <w:sz w:val="20"/>
          <w:szCs w:val="20"/>
          <w:lang w:val="es-ES"/>
        </w:rPr>
        <w:t xml:space="preserve"> por la presunta comisión del delito informático contra el Patrimonio en la modalidad de </w:t>
      </w:r>
      <w:r w:rsidRPr="004B0D53">
        <w:rPr>
          <w:rFonts w:ascii="Tahoma" w:eastAsia="MS UI Gothic" w:hAnsi="Tahoma" w:cs="Tahoma"/>
          <w:b/>
          <w:bCs/>
          <w:sz w:val="20"/>
          <w:szCs w:val="20"/>
          <w:lang w:val="es-ES"/>
        </w:rPr>
        <w:t>FRAUDE INFORMATICO</w:t>
      </w:r>
      <w:r w:rsidRPr="004B0D53">
        <w:rPr>
          <w:rFonts w:ascii="Tahoma" w:hAnsi="Tahoma" w:cs="Tahoma"/>
          <w:sz w:val="20"/>
          <w:szCs w:val="20"/>
        </w:rPr>
        <w:t>, en agravio de</w:t>
      </w:r>
      <w:r w:rsidRPr="004B0D53">
        <w:rPr>
          <w:rFonts w:ascii="Tahoma" w:hAnsi="Tahoma" w:cs="Tahoma"/>
          <w:b/>
          <w:caps/>
          <w:spacing w:val="4"/>
          <w:sz w:val="20"/>
          <w:szCs w:val="20"/>
          <w:shd w:val="clear" w:color="auto" w:fill="FFFFFF"/>
        </w:rPr>
        <w:t xml:space="preserve"> </w:t>
      </w:r>
      <w:r w:rsidR="00237F37" w:rsidRPr="004C23A4">
        <w:rPr>
          <w:rFonts w:ascii="Tahoma" w:eastAsia="SimSun" w:hAnsi="Tahoma" w:cs="Tahoma"/>
          <w:bCs/>
          <w:kern w:val="3"/>
          <w:sz w:val="20"/>
          <w:szCs w:val="20"/>
          <w:lang w:eastAsia="zh-CN" w:bidi="hi-IN"/>
        </w:rPr>
        <w:t>&lt;&lt;agraviado&gt;&gt;</w:t>
      </w:r>
    </w:p>
    <w:p w14:paraId="525E9C03" w14:textId="77777777" w:rsidR="004B0D53" w:rsidRPr="004B0D53" w:rsidRDefault="004B0D53" w:rsidP="004B0D53">
      <w:pPr>
        <w:spacing w:before="240" w:line="240" w:lineRule="auto"/>
        <w:contextualSpacing/>
        <w:jc w:val="both"/>
        <w:rPr>
          <w:rFonts w:ascii="Tahoma" w:hAnsi="Tahoma" w:cs="Tahoma"/>
          <w:b/>
          <w:bCs/>
          <w:iCs/>
          <w:color w:val="000000"/>
          <w:sz w:val="20"/>
          <w:szCs w:val="20"/>
          <w:lang w:val="es-ES" w:eastAsia="ar-SA"/>
        </w:rPr>
      </w:pPr>
    </w:p>
    <w:p w14:paraId="129412EF" w14:textId="77777777" w:rsidR="004B0D53" w:rsidRPr="004B0D53" w:rsidRDefault="004B0D53" w:rsidP="004B0D53">
      <w:pPr>
        <w:spacing w:before="240" w:line="240" w:lineRule="auto"/>
        <w:contextualSpacing/>
        <w:jc w:val="both"/>
        <w:rPr>
          <w:rFonts w:ascii="Tahoma" w:hAnsi="Tahoma" w:cs="Tahoma"/>
          <w:w w:val="96"/>
          <w:kern w:val="1"/>
          <w:sz w:val="20"/>
          <w:szCs w:val="20"/>
          <w:lang w:eastAsia="hi-IN"/>
        </w:rPr>
      </w:pPr>
      <w:r w:rsidRPr="004B0D53">
        <w:rPr>
          <w:rFonts w:ascii="Tahoma" w:hAnsi="Tahoma" w:cs="Tahoma"/>
          <w:b/>
          <w:iCs/>
          <w:color w:val="000000"/>
          <w:sz w:val="20"/>
          <w:szCs w:val="20"/>
          <w:lang w:val="es-ES" w:eastAsia="ar-SA"/>
        </w:rPr>
        <w:t>Segundo</w:t>
      </w:r>
      <w:r w:rsidRPr="004B0D53">
        <w:rPr>
          <w:rFonts w:ascii="Tahoma" w:hAnsi="Tahoma" w:cs="Tahoma"/>
          <w:bCs/>
          <w:iCs/>
          <w:color w:val="000000"/>
          <w:sz w:val="20"/>
          <w:szCs w:val="20"/>
          <w:lang w:val="es-ES" w:eastAsia="ar-SA"/>
        </w:rPr>
        <w:t xml:space="preserve">: En consecuencia, se </w:t>
      </w:r>
      <w:r w:rsidRPr="004B0D53">
        <w:rPr>
          <w:rFonts w:ascii="Tahoma" w:hAnsi="Tahoma" w:cs="Tahoma"/>
          <w:b/>
          <w:iCs/>
          <w:color w:val="000000"/>
          <w:sz w:val="20"/>
          <w:szCs w:val="20"/>
          <w:lang w:val="es-ES" w:eastAsia="ar-SA"/>
        </w:rPr>
        <w:t>ORDENA</w:t>
      </w:r>
      <w:r w:rsidRPr="004B0D53">
        <w:rPr>
          <w:rFonts w:ascii="Tahoma" w:hAnsi="Tahoma" w:cs="Tahoma"/>
          <w:bCs/>
          <w:iCs/>
          <w:color w:val="000000"/>
          <w:sz w:val="20"/>
          <w:szCs w:val="20"/>
          <w:lang w:val="es-ES" w:eastAsia="ar-SA"/>
        </w:rPr>
        <w:t xml:space="preserve"> el </w:t>
      </w:r>
      <w:r w:rsidRPr="004B0D53">
        <w:rPr>
          <w:rFonts w:ascii="Tahoma" w:hAnsi="Tahoma" w:cs="Tahoma"/>
          <w:b/>
          <w:bCs/>
          <w:iCs/>
          <w:color w:val="000000"/>
          <w:sz w:val="20"/>
          <w:szCs w:val="20"/>
          <w:lang w:val="es-ES" w:eastAsia="ar-SA"/>
        </w:rPr>
        <w:t xml:space="preserve">ARCHIVO LIMINAR </w:t>
      </w:r>
      <w:r w:rsidRPr="004B0D53">
        <w:rPr>
          <w:rFonts w:ascii="Tahoma" w:eastAsia="Arial Unicode MS" w:hAnsi="Tahoma" w:cs="Tahoma"/>
          <w:kern w:val="2"/>
          <w:sz w:val="20"/>
          <w:szCs w:val="20"/>
          <w:lang w:eastAsia="hi-IN"/>
        </w:rPr>
        <w:t>de la presente denuncia.</w:t>
      </w:r>
    </w:p>
    <w:p w14:paraId="55A70741" w14:textId="77777777" w:rsidR="004B0D53" w:rsidRPr="004B0D53" w:rsidRDefault="004B0D53" w:rsidP="004B0D53">
      <w:pPr>
        <w:spacing w:before="240" w:line="240" w:lineRule="auto"/>
        <w:contextualSpacing/>
        <w:jc w:val="both"/>
        <w:rPr>
          <w:rFonts w:ascii="Tahoma" w:eastAsia="Arial Unicode MS" w:hAnsi="Tahoma" w:cs="Tahoma"/>
          <w:kern w:val="2"/>
          <w:sz w:val="20"/>
          <w:szCs w:val="20"/>
          <w:lang w:eastAsia="hi-IN"/>
        </w:rPr>
      </w:pPr>
    </w:p>
    <w:p w14:paraId="03CE3DCE" w14:textId="2A4D4ECE" w:rsidR="004B0D53" w:rsidRPr="004B0D53" w:rsidRDefault="004B0D53" w:rsidP="004B0D53">
      <w:pPr>
        <w:spacing w:line="240" w:lineRule="auto"/>
        <w:jc w:val="both"/>
        <w:rPr>
          <w:rFonts w:ascii="Tahoma" w:eastAsia="Arial Unicode MS" w:hAnsi="Tahoma" w:cs="Tahoma"/>
          <w:b/>
          <w:kern w:val="2"/>
          <w:sz w:val="20"/>
          <w:szCs w:val="20"/>
          <w:lang w:eastAsia="hi-IN"/>
        </w:rPr>
      </w:pPr>
      <w:r w:rsidRPr="004B0D53">
        <w:rPr>
          <w:rFonts w:ascii="Tahoma" w:eastAsia="Times New Roman" w:hAnsi="Tahoma" w:cs="Tahoma"/>
          <w:b/>
          <w:bCs/>
          <w:sz w:val="20"/>
          <w:szCs w:val="20"/>
          <w:lang w:val="es-MX"/>
        </w:rPr>
        <w:t>Tercero:</w:t>
      </w:r>
      <w:r w:rsidRPr="004B0D53">
        <w:rPr>
          <w:rFonts w:ascii="Tahoma" w:eastAsia="Arial Unicode MS" w:hAnsi="Tahoma" w:cs="Tahoma"/>
          <w:kern w:val="2"/>
          <w:sz w:val="20"/>
          <w:szCs w:val="20"/>
          <w:lang w:eastAsia="hi-IN"/>
        </w:rPr>
        <w:t xml:space="preserve"> </w:t>
      </w:r>
      <w:r w:rsidRPr="004B0D53">
        <w:rPr>
          <w:rFonts w:ascii="Tahoma" w:eastAsia="Arial Unicode MS" w:hAnsi="Tahoma" w:cs="Tahoma"/>
          <w:b/>
          <w:bCs/>
          <w:kern w:val="2"/>
          <w:sz w:val="20"/>
          <w:szCs w:val="20"/>
          <w:lang w:eastAsia="hi-IN"/>
        </w:rPr>
        <w:t>NOTIFICAR</w:t>
      </w:r>
      <w:r w:rsidRPr="004B0D53">
        <w:rPr>
          <w:rFonts w:ascii="Tahoma" w:eastAsia="Arial Unicode MS" w:hAnsi="Tahoma" w:cs="Tahoma"/>
          <w:kern w:val="2"/>
          <w:sz w:val="20"/>
          <w:szCs w:val="20"/>
          <w:lang w:eastAsia="hi-IN"/>
        </w:rPr>
        <w:t xml:space="preserve"> la presente disposición a las partes procesales, conforme lo establecido en el numeral 1 del artículo 334° del Código Procesal Penal, a fin de que, de considerarlo, pueda ejercer su derecho a impugnar dentro del plazo legal (cinco días), al correo</w:t>
      </w:r>
      <w:r w:rsidR="00EC5349">
        <w:rPr>
          <w:rFonts w:ascii="Tahoma" w:eastAsia="Arial Unicode MS" w:hAnsi="Tahoma" w:cs="Tahoma"/>
          <w:kern w:val="2"/>
          <w:sz w:val="20"/>
          <w:szCs w:val="20"/>
          <w:lang w:eastAsia="hi-IN"/>
        </w:rPr>
        <w:t xml:space="preserve"> &lt;&lt;correo_despacho&gt;&gt;</w:t>
      </w:r>
    </w:p>
    <w:p w14:paraId="6645689D" w14:textId="77777777" w:rsidR="00237F37" w:rsidRDefault="00237F37" w:rsidP="004B0D53">
      <w:pPr>
        <w:spacing w:before="240" w:line="240" w:lineRule="auto"/>
        <w:contextualSpacing/>
        <w:jc w:val="both"/>
        <w:rPr>
          <w:rFonts w:ascii="Tahoma" w:hAnsi="Tahoma" w:cs="Tahoma"/>
          <w:b/>
          <w:bCs/>
          <w:i/>
          <w:iCs/>
          <w:color w:val="000000"/>
          <w:sz w:val="20"/>
          <w:szCs w:val="20"/>
          <w:lang w:val="es-ES" w:eastAsia="ar-SA"/>
        </w:rPr>
      </w:pPr>
    </w:p>
    <w:p w14:paraId="1A25BE9C" w14:textId="1E20AACE" w:rsidR="004B0D53" w:rsidRPr="004B0D53" w:rsidRDefault="004B0D53" w:rsidP="004B0D53">
      <w:pPr>
        <w:spacing w:before="240" w:line="240" w:lineRule="auto"/>
        <w:contextualSpacing/>
        <w:jc w:val="both"/>
        <w:rPr>
          <w:rFonts w:ascii="Tahoma" w:hAnsi="Tahoma" w:cs="Tahoma"/>
          <w:b/>
          <w:bCs/>
          <w:i/>
          <w:iCs/>
          <w:color w:val="000000"/>
          <w:sz w:val="20"/>
          <w:szCs w:val="20"/>
          <w:lang w:val="es-ES" w:eastAsia="ar-SA"/>
        </w:rPr>
      </w:pPr>
      <w:r w:rsidRPr="004B0D53">
        <w:rPr>
          <w:rFonts w:ascii="Tahoma" w:hAnsi="Tahoma" w:cs="Tahoma"/>
          <w:b/>
          <w:bCs/>
          <w:i/>
          <w:iCs/>
          <w:color w:val="000000"/>
          <w:sz w:val="20"/>
          <w:szCs w:val="20"/>
          <w:lang w:val="es-ES" w:eastAsia="ar-SA"/>
        </w:rPr>
        <w:t>Regístrese y notifíquese.</w:t>
      </w:r>
    </w:p>
    <w:p w14:paraId="577A8411" w14:textId="77777777" w:rsidR="00364069" w:rsidRPr="004B0D53" w:rsidRDefault="00364069">
      <w:pPr>
        <w:rPr>
          <w:rFonts w:ascii="Tahoma" w:hAnsi="Tahoma" w:cs="Tahoma"/>
          <w:sz w:val="20"/>
          <w:szCs w:val="20"/>
        </w:rPr>
      </w:pPr>
    </w:p>
    <w:sectPr w:rsidR="00364069" w:rsidRPr="004B0D53" w:rsidSect="004B0D53">
      <w:headerReference w:type="even" r:id="rId7"/>
      <w:headerReference w:type="default" r:id="rId8"/>
      <w:footerReference w:type="even" r:id="rId9"/>
      <w:footerReference w:type="default" r:id="rId10"/>
      <w:headerReference w:type="first" r:id="rId11"/>
      <w:footerReference w:type="first" r:id="rId12"/>
      <w:pgSz w:w="11909" w:h="16834" w:code="9"/>
      <w:pgMar w:top="2835" w:right="1418" w:bottom="1701" w:left="1985"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C37ED" w14:textId="77777777" w:rsidR="00666D0D" w:rsidRDefault="00666D0D" w:rsidP="004B0D53">
      <w:pPr>
        <w:spacing w:line="240" w:lineRule="auto"/>
      </w:pPr>
      <w:r>
        <w:separator/>
      </w:r>
    </w:p>
  </w:endnote>
  <w:endnote w:type="continuationSeparator" w:id="0">
    <w:p w14:paraId="7BA480C9" w14:textId="77777777" w:rsidR="00666D0D" w:rsidRDefault="00666D0D" w:rsidP="004B0D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ndale Sans UI">
    <w:altName w:val="Calibri"/>
    <w:charset w:val="00"/>
    <w:family w:val="auto"/>
    <w:pitch w:val="variable"/>
  </w:font>
  <w:font w:name="Arial MT">
    <w:altName w:val="Arial"/>
    <w:charset w:val="00"/>
    <w:family w:val="auto"/>
    <w:pitch w:val="default"/>
  </w:font>
  <w:font w:name="Candara">
    <w:panose1 w:val="020E0502030303020204"/>
    <w:charset w:val="00"/>
    <w:family w:val="swiss"/>
    <w:pitch w:val="variable"/>
    <w:sig w:usb0="A00002EF" w:usb1="4000A44B" w:usb2="00000000" w:usb3="00000000" w:csb0="0000019F" w:csb1="00000000"/>
  </w:font>
  <w:font w:name="MS UI Gothic">
    <w:panose1 w:val="020B0600070205080204"/>
    <w:charset w:val="80"/>
    <w:family w:val="swiss"/>
    <w:pitch w:val="variable"/>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0CF4A" w14:textId="77777777" w:rsidR="00F00686" w:rsidRDefault="00F0068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796C7" w14:textId="77777777" w:rsidR="00DB4916" w:rsidRPr="0016262A" w:rsidRDefault="00BD5AD3">
    <w:pPr>
      <w:tabs>
        <w:tab w:val="center" w:pos="4550"/>
        <w:tab w:val="left" w:pos="5818"/>
      </w:tabs>
      <w:ind w:right="260"/>
      <w:jc w:val="right"/>
      <w:rPr>
        <w:rFonts w:asciiTheme="majorHAnsi" w:hAnsiTheme="majorHAnsi" w:cstheme="majorHAnsi"/>
        <w:color w:val="222A35" w:themeColor="text2" w:themeShade="80"/>
        <w:sz w:val="18"/>
        <w:szCs w:val="18"/>
      </w:rPr>
    </w:pPr>
    <w:r w:rsidRPr="0016262A">
      <w:rPr>
        <w:rFonts w:asciiTheme="majorHAnsi" w:hAnsiTheme="majorHAnsi" w:cstheme="majorHAnsi"/>
        <w:color w:val="8496B0" w:themeColor="text2" w:themeTint="99"/>
        <w:spacing w:val="60"/>
        <w:sz w:val="18"/>
        <w:szCs w:val="18"/>
        <w:lang w:val="es-ES"/>
      </w:rPr>
      <w:t>Página</w:t>
    </w:r>
    <w:r w:rsidRPr="0016262A">
      <w:rPr>
        <w:rFonts w:asciiTheme="majorHAnsi" w:hAnsiTheme="majorHAnsi" w:cstheme="majorHAnsi"/>
        <w:color w:val="8496B0" w:themeColor="text2" w:themeTint="99"/>
        <w:sz w:val="18"/>
        <w:szCs w:val="18"/>
        <w:lang w:val="es-ES"/>
      </w:rPr>
      <w:t xml:space="preserve"> </w:t>
    </w:r>
    <w:r w:rsidRPr="0016262A">
      <w:rPr>
        <w:rFonts w:asciiTheme="majorHAnsi" w:hAnsiTheme="majorHAnsi" w:cstheme="majorHAnsi"/>
        <w:color w:val="323E4F" w:themeColor="text2" w:themeShade="BF"/>
        <w:sz w:val="18"/>
        <w:szCs w:val="18"/>
      </w:rPr>
      <w:fldChar w:fldCharType="begin"/>
    </w:r>
    <w:r w:rsidRPr="0016262A">
      <w:rPr>
        <w:rFonts w:asciiTheme="majorHAnsi" w:hAnsiTheme="majorHAnsi" w:cstheme="majorHAnsi"/>
        <w:color w:val="323E4F" w:themeColor="text2" w:themeShade="BF"/>
        <w:sz w:val="18"/>
        <w:szCs w:val="18"/>
      </w:rPr>
      <w:instrText>PAGE   \* MERGEFORMAT</w:instrText>
    </w:r>
    <w:r w:rsidRPr="0016262A">
      <w:rPr>
        <w:rFonts w:asciiTheme="majorHAnsi" w:hAnsiTheme="majorHAnsi" w:cstheme="majorHAnsi"/>
        <w:color w:val="323E4F" w:themeColor="text2" w:themeShade="BF"/>
        <w:sz w:val="18"/>
        <w:szCs w:val="18"/>
      </w:rPr>
      <w:fldChar w:fldCharType="separate"/>
    </w:r>
    <w:r w:rsidRPr="00FB50A9">
      <w:rPr>
        <w:rFonts w:asciiTheme="majorHAnsi" w:hAnsiTheme="majorHAnsi" w:cstheme="majorHAnsi"/>
        <w:noProof/>
        <w:color w:val="323E4F" w:themeColor="text2" w:themeShade="BF"/>
        <w:sz w:val="18"/>
        <w:szCs w:val="18"/>
        <w:lang w:val="es-ES"/>
      </w:rPr>
      <w:t>1</w:t>
    </w:r>
    <w:r w:rsidRPr="0016262A">
      <w:rPr>
        <w:rFonts w:asciiTheme="majorHAnsi" w:hAnsiTheme="majorHAnsi" w:cstheme="majorHAnsi"/>
        <w:color w:val="323E4F" w:themeColor="text2" w:themeShade="BF"/>
        <w:sz w:val="18"/>
        <w:szCs w:val="18"/>
      </w:rPr>
      <w:fldChar w:fldCharType="end"/>
    </w:r>
    <w:r w:rsidRPr="0016262A">
      <w:rPr>
        <w:rFonts w:asciiTheme="majorHAnsi" w:hAnsiTheme="majorHAnsi" w:cstheme="majorHAnsi"/>
        <w:color w:val="323E4F" w:themeColor="text2" w:themeShade="BF"/>
        <w:sz w:val="18"/>
        <w:szCs w:val="18"/>
        <w:lang w:val="es-ES"/>
      </w:rPr>
      <w:t xml:space="preserve"> | </w:t>
    </w:r>
    <w:r w:rsidRPr="0016262A">
      <w:rPr>
        <w:rFonts w:asciiTheme="majorHAnsi" w:hAnsiTheme="majorHAnsi" w:cstheme="majorHAnsi"/>
        <w:color w:val="323E4F" w:themeColor="text2" w:themeShade="BF"/>
        <w:sz w:val="18"/>
        <w:szCs w:val="18"/>
      </w:rPr>
      <w:fldChar w:fldCharType="begin"/>
    </w:r>
    <w:r w:rsidRPr="0016262A">
      <w:rPr>
        <w:rFonts w:asciiTheme="majorHAnsi" w:hAnsiTheme="majorHAnsi" w:cstheme="majorHAnsi"/>
        <w:color w:val="323E4F" w:themeColor="text2" w:themeShade="BF"/>
        <w:sz w:val="18"/>
        <w:szCs w:val="18"/>
      </w:rPr>
      <w:instrText>NUMPAGES  \* Arabic  \* MERGEFORMAT</w:instrText>
    </w:r>
    <w:r w:rsidRPr="0016262A">
      <w:rPr>
        <w:rFonts w:asciiTheme="majorHAnsi" w:hAnsiTheme="majorHAnsi" w:cstheme="majorHAnsi"/>
        <w:color w:val="323E4F" w:themeColor="text2" w:themeShade="BF"/>
        <w:sz w:val="18"/>
        <w:szCs w:val="18"/>
      </w:rPr>
      <w:fldChar w:fldCharType="separate"/>
    </w:r>
    <w:r w:rsidRPr="00FB50A9">
      <w:rPr>
        <w:rFonts w:asciiTheme="majorHAnsi" w:hAnsiTheme="majorHAnsi" w:cstheme="majorHAnsi"/>
        <w:noProof/>
        <w:color w:val="323E4F" w:themeColor="text2" w:themeShade="BF"/>
        <w:sz w:val="18"/>
        <w:szCs w:val="18"/>
        <w:lang w:val="es-ES"/>
      </w:rPr>
      <w:t>6</w:t>
    </w:r>
    <w:r w:rsidRPr="0016262A">
      <w:rPr>
        <w:rFonts w:asciiTheme="majorHAnsi" w:hAnsiTheme="majorHAnsi" w:cstheme="majorHAnsi"/>
        <w:color w:val="323E4F" w:themeColor="text2" w:themeShade="BF"/>
        <w:sz w:val="18"/>
        <w:szCs w:val="18"/>
      </w:rPr>
      <w:fldChar w:fldCharType="end"/>
    </w:r>
  </w:p>
  <w:p w14:paraId="79E0032B" w14:textId="77777777" w:rsidR="00DB4916" w:rsidRDefault="00DB491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FC0B0" w14:textId="77777777" w:rsidR="00F00686" w:rsidRDefault="00F0068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5E797" w14:textId="77777777" w:rsidR="00666D0D" w:rsidRDefault="00666D0D" w:rsidP="004B0D53">
      <w:pPr>
        <w:spacing w:line="240" w:lineRule="auto"/>
      </w:pPr>
      <w:r>
        <w:separator/>
      </w:r>
    </w:p>
  </w:footnote>
  <w:footnote w:type="continuationSeparator" w:id="0">
    <w:p w14:paraId="49CA90D1" w14:textId="77777777" w:rsidR="00666D0D" w:rsidRDefault="00666D0D" w:rsidP="004B0D53">
      <w:pPr>
        <w:spacing w:line="240" w:lineRule="auto"/>
      </w:pPr>
      <w:r>
        <w:continuationSeparator/>
      </w:r>
    </w:p>
  </w:footnote>
  <w:footnote w:id="1">
    <w:p w14:paraId="350E380C" w14:textId="77777777" w:rsidR="004B0D53" w:rsidRPr="00731AD2" w:rsidRDefault="004B0D53" w:rsidP="004B0D53">
      <w:pPr>
        <w:pStyle w:val="Textonotapie"/>
        <w:jc w:val="both"/>
        <w:rPr>
          <w:rFonts w:ascii="Tahoma" w:hAnsi="Tahoma" w:cs="Tahoma"/>
          <w:sz w:val="16"/>
          <w:szCs w:val="16"/>
        </w:rPr>
      </w:pPr>
      <w:r>
        <w:rPr>
          <w:rFonts w:ascii="Candara" w:hAnsi="Candara"/>
          <w:bCs/>
          <w:kern w:val="22"/>
          <w:sz w:val="16"/>
          <w:szCs w:val="16"/>
        </w:rPr>
        <w:footnoteRef/>
      </w:r>
      <w:r>
        <w:rPr>
          <w:rFonts w:ascii="Tahoma" w:hAnsi="Tahoma" w:cs="Tahoma"/>
          <w:sz w:val="16"/>
          <w:szCs w:val="16"/>
        </w:rPr>
        <w:t xml:space="preserve"> </w:t>
      </w:r>
      <w:r w:rsidRPr="00731AD2">
        <w:rPr>
          <w:rFonts w:ascii="Tahoma" w:hAnsi="Tahoma" w:cs="Tahoma"/>
          <w:sz w:val="16"/>
          <w:szCs w:val="16"/>
        </w:rPr>
        <w:t>STC</w:t>
      </w:r>
      <w:r>
        <w:rPr>
          <w:rFonts w:ascii="Tahoma" w:hAnsi="Tahoma" w:cs="Tahoma"/>
          <w:sz w:val="16"/>
          <w:szCs w:val="16"/>
        </w:rPr>
        <w:t xml:space="preserve">. </w:t>
      </w:r>
      <w:r w:rsidRPr="00731AD2">
        <w:rPr>
          <w:rFonts w:ascii="Tahoma" w:hAnsi="Tahoma" w:cs="Tahoma"/>
          <w:sz w:val="16"/>
          <w:szCs w:val="16"/>
        </w:rPr>
        <w:t>Exp. n° 00031-2009-PHC/TC-Ayacucho, del 18/06/2009, caso Jorge Luis Arellano Alania</w:t>
      </w:r>
      <w:r>
        <w:rPr>
          <w:rFonts w:ascii="Tahoma" w:hAnsi="Tahoma" w:cs="Tahoma"/>
          <w:sz w:val="16"/>
          <w:szCs w:val="16"/>
        </w:rPr>
        <w:t xml:space="preserve">, </w:t>
      </w:r>
      <w:r w:rsidRPr="00731AD2">
        <w:rPr>
          <w:rFonts w:ascii="Tahoma" w:hAnsi="Tahoma" w:cs="Tahoma"/>
          <w:i/>
          <w:iCs/>
          <w:sz w:val="16"/>
          <w:szCs w:val="16"/>
        </w:rPr>
        <w:t>“[…] el juicio de tipicidad no es otra cosa más que la valoración que se hace con miras a determinar si la conducta objeto de examen coincide o no con la descripción típica contenida en la ley. Es una operación mental (proceso de adecuación valorativa conducta – tipo) llevada a cabo por el intérprete mediante la cual se constata o verifica la concordancia entre el comportamiento estudiado y la descripción típica consignada en el texto legal. La norma típica debe ser vigente, valida formal y materialmente</w:t>
      </w:r>
      <w:r w:rsidRPr="00731AD2">
        <w:rPr>
          <w:rFonts w:ascii="Tahoma" w:hAnsi="Tahoma" w:cs="Tahoma"/>
          <w:sz w:val="16"/>
          <w:szCs w:val="16"/>
        </w:rPr>
        <w:t>” (fund. Jur. Décimo primero).</w:t>
      </w:r>
    </w:p>
    <w:p w14:paraId="7D88E1DF" w14:textId="77777777" w:rsidR="004B0D53" w:rsidRDefault="004B0D53" w:rsidP="004B0D53">
      <w:pPr>
        <w:pStyle w:val="Standard"/>
        <w:tabs>
          <w:tab w:val="left" w:pos="142"/>
        </w:tabs>
        <w:ind w:firstLine="17"/>
        <w:contextualSpacing/>
        <w:jc w:val="both"/>
        <w:rPr>
          <w:rFonts w:eastAsia="Arial Unicode MS" w:cs="Times New Roman"/>
          <w:sz w:val="16"/>
          <w:szCs w:val="16"/>
          <w:lang w:eastAsia="hi-IN"/>
        </w:rPr>
      </w:pPr>
    </w:p>
  </w:footnote>
  <w:footnote w:id="2">
    <w:p w14:paraId="074E2D17" w14:textId="77777777" w:rsidR="004B0D53" w:rsidRDefault="004B0D53" w:rsidP="004B0D53">
      <w:pPr>
        <w:pStyle w:val="Textonotapie1"/>
        <w:rPr>
          <w:rFonts w:ascii="Arial Narrow" w:hAnsi="Arial Narrow"/>
          <w:sz w:val="16"/>
          <w:szCs w:val="16"/>
        </w:rPr>
      </w:pPr>
      <w:r>
        <w:rPr>
          <w:rStyle w:val="Refdenotaalpie"/>
          <w:rFonts w:ascii="Arial Narrow" w:hAnsi="Arial Narrow"/>
          <w:sz w:val="16"/>
          <w:szCs w:val="16"/>
        </w:rPr>
        <w:footnoteRef/>
      </w:r>
      <w:r>
        <w:rPr>
          <w:rFonts w:ascii="Arial Narrow" w:hAnsi="Arial Narrow"/>
          <w:sz w:val="16"/>
          <w:szCs w:val="16"/>
        </w:rPr>
        <w:t xml:space="preserve"> Villavicencio Terreros, Felipe. “Delitos Informáticos””. Revista IUS ET VERITAS, N° 49, diciembre 2014.</w:t>
      </w:r>
    </w:p>
  </w:footnote>
  <w:footnote w:id="3">
    <w:p w14:paraId="5D246F3F" w14:textId="77777777" w:rsidR="004B0D53" w:rsidRDefault="004B0D53" w:rsidP="004B0D53">
      <w:pPr>
        <w:pStyle w:val="Textonotapie1"/>
        <w:jc w:val="both"/>
        <w:rPr>
          <w:rFonts w:ascii="Arial Narrow" w:hAnsi="Arial Narrow" w:cs="Arial"/>
          <w:sz w:val="16"/>
          <w:szCs w:val="16"/>
        </w:rPr>
      </w:pPr>
      <w:r>
        <w:rPr>
          <w:rStyle w:val="Refdenotaalpie"/>
          <w:rFonts w:ascii="Arial Narrow" w:hAnsi="Arial Narrow" w:cs="Arial"/>
          <w:sz w:val="16"/>
          <w:szCs w:val="16"/>
        </w:rPr>
        <w:footnoteRef/>
      </w:r>
      <w:r>
        <w:rPr>
          <w:rFonts w:ascii="Arial Narrow" w:hAnsi="Arial Narrow" w:cs="Arial"/>
          <w:sz w:val="16"/>
          <w:szCs w:val="16"/>
        </w:rPr>
        <w:t xml:space="preserve"> Artículo 334° numeral 1 del Código Procesal Penal, que prescribe: “1. Si el fiscal al calificar la denuncia o después de haber realizado o dispuesto realizar diligencias preliminares, considera que el hecho denunciado no constituye delito, no es justiciable penalmente o se presentan causas de extinción previstas en la ley, declarará que no procede formalizar u continuar con la investigación preparatoria, así como ordenará el archivo de lo actuado…”. Y el Articulo 12 de la Ley Orgánica del Ministerio Público, prescribe “la denuncia a que se refiere el artículo precedente puede presentarse ante la fiscal provincial o ante el Fiscal Superior (…) Si el Fiscal ante el que ha sido presentado no lo estimase procedente, se lo hará saber por escrito al denunciante, quien podrá recurrir en queja ante el Fiscal inmediato Superior (…). Consentida la Resolución del fiscal provincial o con la decisión del Superior, en su caso, termina el procedimiento”.</w:t>
      </w:r>
    </w:p>
  </w:footnote>
  <w:footnote w:id="4">
    <w:p w14:paraId="59CC9DF3" w14:textId="77777777" w:rsidR="004B0D53" w:rsidRPr="00AF6817" w:rsidRDefault="004B0D53" w:rsidP="004B0D53">
      <w:pPr>
        <w:spacing w:line="240" w:lineRule="auto"/>
        <w:jc w:val="both"/>
        <w:rPr>
          <w:rFonts w:ascii="Tahoma" w:hAnsi="Tahoma" w:cs="Tahoma"/>
          <w:sz w:val="16"/>
          <w:szCs w:val="16"/>
        </w:rPr>
      </w:pPr>
      <w:r w:rsidRPr="00AF6817">
        <w:rPr>
          <w:rStyle w:val="Refdenotaalpie"/>
          <w:rFonts w:ascii="Tahoma" w:hAnsi="Tahoma" w:cs="Tahoma"/>
          <w:sz w:val="16"/>
          <w:szCs w:val="16"/>
        </w:rPr>
        <w:footnoteRef/>
      </w:r>
      <w:r w:rsidRPr="00AF6817">
        <w:rPr>
          <w:rFonts w:ascii="Tahoma" w:hAnsi="Tahoma" w:cs="Tahoma"/>
          <w:sz w:val="16"/>
          <w:szCs w:val="16"/>
        </w:rPr>
        <w:t xml:space="preserve"> Recurso de Nulidad N° 3763-2011, Huancavelica, Sala Penal Permanente de la Corte Suprema.</w:t>
      </w:r>
    </w:p>
  </w:footnote>
  <w:footnote w:id="5">
    <w:p w14:paraId="19D459DB" w14:textId="77777777" w:rsidR="004B0D53" w:rsidRPr="00AF6817" w:rsidRDefault="004B0D53" w:rsidP="004B0D53">
      <w:pPr>
        <w:pStyle w:val="Textonotapie"/>
        <w:rPr>
          <w:rFonts w:ascii="Tahoma" w:hAnsi="Tahoma" w:cs="Tahoma"/>
          <w:sz w:val="16"/>
          <w:szCs w:val="16"/>
        </w:rPr>
      </w:pPr>
      <w:r w:rsidRPr="00AF6817">
        <w:rPr>
          <w:rStyle w:val="Refdenotaalpie"/>
          <w:rFonts w:ascii="Tahoma" w:hAnsi="Tahoma" w:cs="Tahoma"/>
          <w:sz w:val="16"/>
          <w:szCs w:val="16"/>
        </w:rPr>
        <w:footnoteRef/>
      </w:r>
      <w:r w:rsidRPr="00AF6817">
        <w:rPr>
          <w:rFonts w:ascii="Tahoma" w:hAnsi="Tahoma" w:cs="Tahoma"/>
          <w:sz w:val="16"/>
          <w:szCs w:val="16"/>
        </w:rPr>
        <w:t xml:space="preserve"> Conforme al artículo 444° del Código Penal.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EC5D6" w14:textId="77777777" w:rsidR="00F00686" w:rsidRDefault="00F0068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D71ED" w14:textId="77777777" w:rsidR="00DB4916" w:rsidRPr="00DD7ECC" w:rsidRDefault="00BD5AD3" w:rsidP="004E0043">
    <w:pPr>
      <w:pStyle w:val="Encabezado"/>
    </w:pPr>
    <w:bookmarkStart w:id="4" w:name="_Hlk212112763"/>
    <w:bookmarkStart w:id="5" w:name="_Hlk212112764"/>
    <w:bookmarkStart w:id="6" w:name="_Hlk212541556"/>
    <w:bookmarkStart w:id="7" w:name="_Hlk212541557"/>
    <w:r w:rsidRPr="00DD7ECC">
      <w:rPr>
        <w:noProof/>
        <w:lang w:val="es-PE"/>
      </w:rPr>
      <w:drawing>
        <wp:anchor distT="0" distB="0" distL="114300" distR="114300" simplePos="0" relativeHeight="251660288" behindDoc="1" locked="0" layoutInCell="1" allowOverlap="1" wp14:anchorId="2047A494" wp14:editId="77817490">
          <wp:simplePos x="0" y="0"/>
          <wp:positionH relativeFrom="margin">
            <wp:posOffset>121534</wp:posOffset>
          </wp:positionH>
          <wp:positionV relativeFrom="page">
            <wp:posOffset>514712</wp:posOffset>
          </wp:positionV>
          <wp:extent cx="1924050" cy="687070"/>
          <wp:effectExtent l="0" t="0" r="0" b="0"/>
          <wp:wrapTight wrapText="bothSides">
            <wp:wrapPolygon edited="0">
              <wp:start x="0" y="0"/>
              <wp:lineTo x="0" y="20961"/>
              <wp:lineTo x="21386" y="20961"/>
              <wp:lineTo x="2138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924050" cy="687070"/>
                  </a:xfrm>
                  <a:prstGeom prst="rect">
                    <a:avLst/>
                  </a:prstGeom>
                </pic:spPr>
              </pic:pic>
            </a:graphicData>
          </a:graphic>
          <wp14:sizeRelH relativeFrom="margin">
            <wp14:pctWidth>0</wp14:pctWidth>
          </wp14:sizeRelH>
          <wp14:sizeRelV relativeFrom="margin">
            <wp14:pctHeight>0</wp14:pctHeight>
          </wp14:sizeRelV>
        </wp:anchor>
      </w:drawing>
    </w:r>
    <w:r w:rsidRPr="00DD7ECC">
      <w:rPr>
        <w:rFonts w:cstheme="minorHAnsi"/>
        <w:noProof/>
        <w:lang w:val="es-PE"/>
      </w:rPr>
      <mc:AlternateContent>
        <mc:Choice Requires="wps">
          <w:drawing>
            <wp:anchor distT="0" distB="0" distL="114935" distR="114935" simplePos="0" relativeHeight="251659264" behindDoc="0" locked="0" layoutInCell="1" allowOverlap="1" wp14:anchorId="3C61BE5C" wp14:editId="0CD0A79E">
              <wp:simplePos x="0" y="0"/>
              <wp:positionH relativeFrom="margin">
                <wp:posOffset>2651125</wp:posOffset>
              </wp:positionH>
              <wp:positionV relativeFrom="page">
                <wp:posOffset>524510</wp:posOffset>
              </wp:positionV>
              <wp:extent cx="2703195" cy="457200"/>
              <wp:effectExtent l="0" t="0" r="1905"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70319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87F397" w14:textId="77777777" w:rsidR="00DB4916" w:rsidRPr="00DD7ECC" w:rsidRDefault="00BD5AD3" w:rsidP="004E0043">
                          <w:pPr>
                            <w:pStyle w:val="Encabezado"/>
                            <w:tabs>
                              <w:tab w:val="center" w:pos="3686"/>
                            </w:tabs>
                            <w:jc w:val="center"/>
                            <w:rPr>
                              <w:rFonts w:ascii="Bookman Old Style" w:hAnsi="Bookman Old Style" w:cs="Tahoma"/>
                              <w:b/>
                              <w:i/>
                              <w:iCs/>
                              <w:color w:val="002060"/>
                              <w:sz w:val="18"/>
                              <w:szCs w:val="20"/>
                            </w:rPr>
                          </w:pPr>
                          <w:r w:rsidRPr="00DD7ECC">
                            <w:rPr>
                              <w:rFonts w:ascii="Bookman Old Style" w:hAnsi="Bookman Old Style" w:cs="Tahoma"/>
                              <w:b/>
                              <w:i/>
                              <w:iCs/>
                              <w:color w:val="002060"/>
                              <w:sz w:val="18"/>
                              <w:szCs w:val="20"/>
                            </w:rPr>
                            <w:t>“Año de la recuperación y consolidación de la economía</w:t>
                          </w:r>
                          <w:r>
                            <w:rPr>
                              <w:rFonts w:ascii="Bookman Old Style" w:hAnsi="Bookman Old Style" w:cs="Tahoma"/>
                              <w:b/>
                              <w:i/>
                              <w:iCs/>
                              <w:color w:val="002060"/>
                              <w:sz w:val="18"/>
                              <w:szCs w:val="20"/>
                            </w:rPr>
                            <w:t xml:space="preserve"> peruana</w:t>
                          </w:r>
                          <w:r w:rsidRPr="00DD7ECC">
                            <w:rPr>
                              <w:rFonts w:ascii="Bookman Old Style" w:hAnsi="Bookman Old Style" w:cs="Tahoma"/>
                              <w:b/>
                              <w:i/>
                              <w:iCs/>
                              <w:color w:val="002060"/>
                              <w:sz w:val="18"/>
                              <w:szCs w:val="20"/>
                            </w:rPr>
                            <w:t>”</w:t>
                          </w:r>
                        </w:p>
                        <w:p w14:paraId="349890D8" w14:textId="77777777" w:rsidR="00DB4916" w:rsidRPr="00DD7ECC" w:rsidRDefault="00DB4916" w:rsidP="004E0043">
                          <w:pPr>
                            <w:tabs>
                              <w:tab w:val="center" w:pos="3686"/>
                            </w:tabs>
                            <w:jc w:val="right"/>
                            <w:rPr>
                              <w:rFonts w:ascii="Palatino Linotype" w:hAnsi="Palatino Linotype"/>
                              <w:i/>
                              <w:iCs/>
                              <w:color w:val="00206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61BE5C" id="_x0000_t202" coordsize="21600,21600" o:spt="202" path="m,l,21600r21600,l21600,xe">
              <v:stroke joinstyle="miter"/>
              <v:path gradientshapeok="t" o:connecttype="rect"/>
            </v:shapetype>
            <v:shape id="Cuadro de texto 3" o:spid="_x0000_s1026" type="#_x0000_t202" style="position:absolute;margin-left:208.75pt;margin-top:41.3pt;width:212.85pt;height:36pt;flip:y;z-index:251659264;visibility:visible;mso-wrap-style:square;mso-width-percent:0;mso-height-percent:0;mso-wrap-distance-left:9.05pt;mso-wrap-distance-top:0;mso-wrap-distance-right:9.05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PtZBwIAAPADAAAOAAAAZHJzL2Uyb0RvYy54bWysU02P0zAQvSPxHyzfafrBshA1XS1dFSEt&#10;H9ICd8d2EgvHY8Zuk/LrGTttd4EbwgdrbM+8mTfzvL4Ze8sOGoMBV/HFbM6ZdhKUcW3Fv37ZvXjN&#10;WYjCKWHB6YofdeA3m+fP1oMv9RI6sEojIxAXysFXvIvRl0URZKd7EWbgtaPHBrAXkY7YFgrFQOi9&#10;LZbz+atiAFQeQeoQ6PZueuSbjN80WsZPTRN0ZLbiVFvMO+a9TnuxWYuyReE7I09liH+oohfGUdIL&#10;1J2Igu3R/AXVG4kQoIkzCX0BTWOkzhyIzWL+B5uHTniduVBzgr+0Kfw/WPnx8BmZURVfceZETyPa&#10;7oVCYEqzqMcIbJWaNPhQku+DJ+84voWRhp0JB38P8ntgDradcK2+RYSh00JRkYsUWTwJnXBCAqmH&#10;D6Aom9hHyEBjgz1rrPHfztDUHUZ5aGzHy6ioIibpcnk9Xy3eXHEm6e3l1TVpIScTZcJJk/AY4jsN&#10;PUtGxZGkkPOIw32Iqa5Hl+QewBq1M9bmA7b11iI7CJLNLq8T+m9u1iVnBylsQkw3mXDiOLGNYz2e&#10;GliDOhJ1hEmG9G3I6AB/cjaQBCsefuwFas7se0ftS3o9G3g26rMhnKTQikfOJnMbJ13vPZq2I+Rp&#10;QA5uqcWNyZzTLKYqTnWSrHIrTl8g6fbpOXs9ftTNLwAAAP//AwBQSwMEFAAGAAgAAAAhACA9jZLg&#10;AAAACgEAAA8AAABkcnMvZG93bnJldi54bWxMj9FOg0AQRd9N/IfNmPhC7FKkiMjSmCZ9MdFo6wcs&#10;7AhEdpawS0v/3vFJHyf35N4z5Xaxgzjh5HtHCtarGARS40xPrYLP4/4uB+GDJqMHR6jggh621fVV&#10;qQvjzvSBp0NoBZeQL7SCLoSxkNI3HVrtV25E4uzLTVYHPqdWmkmfudwOMonjTFrdEy90esRdh833&#10;YbYKjq/vL1P0GDW7OMz1vH/Lo0vtlbq9WZ6fQARcwh8Mv/qsDhU71W4m48WgIF0/bBhVkCcZCAby&#10;9D4BUTO5STOQVSn/v1D9AAAA//8DAFBLAQItABQABgAIAAAAIQC2gziS/gAAAOEBAAATAAAAAAAA&#10;AAAAAAAAAAAAAABbQ29udGVudF9UeXBlc10ueG1sUEsBAi0AFAAGAAgAAAAhADj9If/WAAAAlAEA&#10;AAsAAAAAAAAAAAAAAAAALwEAAF9yZWxzLy5yZWxzUEsBAi0AFAAGAAgAAAAhAByA+1kHAgAA8AMA&#10;AA4AAAAAAAAAAAAAAAAALgIAAGRycy9lMm9Eb2MueG1sUEsBAi0AFAAGAAgAAAAhACA9jZLgAAAA&#10;CgEAAA8AAAAAAAAAAAAAAAAAYQQAAGRycy9kb3ducmV2LnhtbFBLBQYAAAAABAAEAPMAAABuBQAA&#10;AAA=&#10;" stroked="f">
              <v:textbox inset="0,0,0,0">
                <w:txbxContent>
                  <w:p w14:paraId="0287F397" w14:textId="77777777" w:rsidR="00DB4916" w:rsidRPr="00DD7ECC" w:rsidRDefault="00BD5AD3" w:rsidP="004E0043">
                    <w:pPr>
                      <w:pStyle w:val="Encabezado"/>
                      <w:tabs>
                        <w:tab w:val="center" w:pos="3686"/>
                      </w:tabs>
                      <w:jc w:val="center"/>
                      <w:rPr>
                        <w:rFonts w:ascii="Bookman Old Style" w:hAnsi="Bookman Old Style" w:cs="Tahoma"/>
                        <w:b/>
                        <w:i/>
                        <w:iCs/>
                        <w:color w:val="002060"/>
                        <w:sz w:val="18"/>
                        <w:szCs w:val="20"/>
                      </w:rPr>
                    </w:pPr>
                    <w:r w:rsidRPr="00DD7ECC">
                      <w:rPr>
                        <w:rFonts w:ascii="Bookman Old Style" w:hAnsi="Bookman Old Style" w:cs="Tahoma"/>
                        <w:b/>
                        <w:i/>
                        <w:iCs/>
                        <w:color w:val="002060"/>
                        <w:sz w:val="18"/>
                        <w:szCs w:val="20"/>
                      </w:rPr>
                      <w:t>“Año de la recuperación y consolidación de la economía</w:t>
                    </w:r>
                    <w:r>
                      <w:rPr>
                        <w:rFonts w:ascii="Bookman Old Style" w:hAnsi="Bookman Old Style" w:cs="Tahoma"/>
                        <w:b/>
                        <w:i/>
                        <w:iCs/>
                        <w:color w:val="002060"/>
                        <w:sz w:val="18"/>
                        <w:szCs w:val="20"/>
                      </w:rPr>
                      <w:t xml:space="preserve"> peruana</w:t>
                    </w:r>
                    <w:r w:rsidRPr="00DD7ECC">
                      <w:rPr>
                        <w:rFonts w:ascii="Bookman Old Style" w:hAnsi="Bookman Old Style" w:cs="Tahoma"/>
                        <w:b/>
                        <w:i/>
                        <w:iCs/>
                        <w:color w:val="002060"/>
                        <w:sz w:val="18"/>
                        <w:szCs w:val="20"/>
                      </w:rPr>
                      <w:t>”</w:t>
                    </w:r>
                  </w:p>
                  <w:p w14:paraId="349890D8" w14:textId="77777777" w:rsidR="00DB4916" w:rsidRPr="00DD7ECC" w:rsidRDefault="00DB4916" w:rsidP="004E0043">
                    <w:pPr>
                      <w:tabs>
                        <w:tab w:val="center" w:pos="3686"/>
                      </w:tabs>
                      <w:jc w:val="right"/>
                      <w:rPr>
                        <w:rFonts w:ascii="Palatino Linotype" w:hAnsi="Palatino Linotype"/>
                        <w:i/>
                        <w:iCs/>
                        <w:color w:val="002060"/>
                      </w:rPr>
                    </w:pPr>
                  </w:p>
                </w:txbxContent>
              </v:textbox>
              <w10:wrap anchorx="margin" anchory="page"/>
            </v:shape>
          </w:pict>
        </mc:Fallback>
      </mc:AlternateContent>
    </w:r>
    <w:r w:rsidRPr="00DD7ECC">
      <w:tab/>
    </w:r>
    <w:r w:rsidRPr="00DD7ECC">
      <w:tab/>
    </w:r>
    <w:r w:rsidRPr="00DD7ECC">
      <w:tab/>
    </w:r>
  </w:p>
  <w:p w14:paraId="4F48482B" w14:textId="77777777" w:rsidR="00DB4916" w:rsidRPr="00DD7ECC" w:rsidRDefault="00DB4916" w:rsidP="004E0043">
    <w:pPr>
      <w:pStyle w:val="Encabezado"/>
    </w:pPr>
  </w:p>
  <w:p w14:paraId="230586DE" w14:textId="77777777" w:rsidR="00DB4916" w:rsidRPr="00DD7ECC" w:rsidRDefault="00DB4916" w:rsidP="004E0043">
    <w:pPr>
      <w:pStyle w:val="Encabezado"/>
    </w:pPr>
  </w:p>
  <w:p w14:paraId="2613C60C" w14:textId="77777777" w:rsidR="00DB4916" w:rsidRPr="00DD7ECC" w:rsidRDefault="00DB4916" w:rsidP="004E0043">
    <w:pPr>
      <w:pStyle w:val="Encabezado"/>
    </w:pPr>
  </w:p>
  <w:p w14:paraId="5FA17434" w14:textId="77777777" w:rsidR="00DB4916" w:rsidRPr="00DD7ECC" w:rsidRDefault="00BD5AD3" w:rsidP="004E0043">
    <w:pPr>
      <w:ind w:right="7"/>
      <w:rPr>
        <w:rFonts w:ascii="Bookman Old Style" w:eastAsia="Palatino Linotype" w:hAnsi="Bookman Old Style"/>
        <w:b/>
        <w:color w:val="002060"/>
        <w:sz w:val="18"/>
        <w:szCs w:val="18"/>
      </w:rPr>
    </w:pPr>
    <w:r w:rsidRPr="00DD7ECC">
      <w:rPr>
        <w:rFonts w:ascii="Bookman Old Style" w:eastAsia="Palatino Linotype" w:hAnsi="Bookman Old Style"/>
        <w:b/>
        <w:color w:val="002060"/>
        <w:sz w:val="18"/>
        <w:szCs w:val="18"/>
      </w:rPr>
      <w:t>DISTRITO FISCAL DE LIMA CENTRO</w:t>
    </w:r>
  </w:p>
  <w:p w14:paraId="4FF3D16C" w14:textId="72792445" w:rsidR="00DB4916" w:rsidRPr="00DD7ECC" w:rsidRDefault="00F00686" w:rsidP="004E0043">
    <w:pPr>
      <w:ind w:right="4943"/>
      <w:jc w:val="center"/>
      <w:rPr>
        <w:rFonts w:ascii="Bookman Old Style" w:eastAsia="Palatino Linotype" w:hAnsi="Bookman Old Style"/>
        <w:color w:val="002060"/>
        <w:sz w:val="16"/>
        <w:szCs w:val="18"/>
      </w:rPr>
    </w:pPr>
    <w:r>
      <w:rPr>
        <w:rFonts w:ascii="Bookman Old Style" w:eastAsia="Palatino Linotype" w:hAnsi="Bookman Old Style"/>
        <w:color w:val="002060"/>
        <w:sz w:val="16"/>
        <w:szCs w:val="18"/>
      </w:rPr>
      <w:t>&lt;&lt;despacho&gt;&gt;</w:t>
    </w:r>
  </w:p>
  <w:p w14:paraId="57B5F09A" w14:textId="77777777" w:rsidR="00DB4916" w:rsidRPr="004E0043" w:rsidRDefault="00BD5AD3" w:rsidP="004E0043">
    <w:pPr>
      <w:jc w:val="both"/>
      <w:rPr>
        <w:rFonts w:ascii="Bookman Old Style" w:hAnsi="Bookman Old Style"/>
        <w:color w:val="000000"/>
        <w:sz w:val="20"/>
        <w:szCs w:val="20"/>
      </w:rPr>
    </w:pPr>
    <w:r w:rsidRPr="00DD7ECC">
      <w:rPr>
        <w:rFonts w:ascii="Bookman Old Style" w:hAnsi="Bookman Old Style" w:cstheme="minorHAnsi"/>
        <w:color w:val="002060"/>
        <w:sz w:val="20"/>
        <w:szCs w:val="20"/>
      </w:rPr>
      <w:t>_____________________________________________________________________________________</w:t>
    </w:r>
    <w:r w:rsidRPr="00DD7ECC">
      <w:rPr>
        <w:rFonts w:ascii="Bookman Old Style" w:hAnsi="Bookman Old Style" w:cstheme="minorHAnsi"/>
        <w:sz w:val="20"/>
        <w:szCs w:val="20"/>
      </w:rPr>
      <w:t xml:space="preserve">             </w:t>
    </w:r>
    <w:r w:rsidRPr="00DD7ECC">
      <w:rPr>
        <w:rFonts w:ascii="Bookman Old Style" w:hAnsi="Bookman Old Style"/>
        <w:sz w:val="20"/>
        <w:szCs w:val="32"/>
      </w:rPr>
      <w:t xml:space="preserve">                              </w:t>
    </w:r>
    <w:bookmarkEnd w:id="4"/>
    <w:bookmarkEnd w:id="5"/>
    <w:bookmarkEnd w:id="6"/>
    <w:bookmarkEnd w:id="7"/>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96405" w14:textId="77777777" w:rsidR="00F00686" w:rsidRDefault="00F0068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55B7D"/>
    <w:multiLevelType w:val="hybridMultilevel"/>
    <w:tmpl w:val="1A1E334E"/>
    <w:lvl w:ilvl="0" w:tplc="8AF695D2">
      <w:start w:val="1"/>
      <w:numFmt w:val="decimal"/>
      <w:lvlText w:val="%1."/>
      <w:lvlJc w:val="left"/>
      <w:pPr>
        <w:ind w:left="720" w:hanging="360"/>
      </w:pPr>
      <w:rPr>
        <w:rFonts w:hint="default"/>
        <w:b/>
        <w:bCs/>
        <w:i w:val="0"/>
        <w:iCs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99460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D53"/>
    <w:rsid w:val="00050A8C"/>
    <w:rsid w:val="0017140E"/>
    <w:rsid w:val="00237F37"/>
    <w:rsid w:val="00245CF5"/>
    <w:rsid w:val="002577BE"/>
    <w:rsid w:val="00364069"/>
    <w:rsid w:val="004503A4"/>
    <w:rsid w:val="004B0D53"/>
    <w:rsid w:val="005F5477"/>
    <w:rsid w:val="00666D0D"/>
    <w:rsid w:val="00675B51"/>
    <w:rsid w:val="007369C8"/>
    <w:rsid w:val="00817A08"/>
    <w:rsid w:val="008F5D9D"/>
    <w:rsid w:val="0099475E"/>
    <w:rsid w:val="00B916AB"/>
    <w:rsid w:val="00BD5AD3"/>
    <w:rsid w:val="00C87034"/>
    <w:rsid w:val="00DB4916"/>
    <w:rsid w:val="00EC5349"/>
    <w:rsid w:val="00F00686"/>
    <w:rsid w:val="00F4604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75740"/>
  <w15:chartTrackingRefBased/>
  <w15:docId w15:val="{A49CAEBA-C0EC-460F-9372-3DEBC0F1F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D53"/>
    <w:pPr>
      <w:spacing w:after="0" w:line="276" w:lineRule="auto"/>
    </w:pPr>
    <w:rPr>
      <w:rFonts w:ascii="Arial" w:eastAsia="Arial" w:hAnsi="Arial" w:cs="Arial"/>
      <w:kern w:val="0"/>
      <w:lang w:val="es-419" w:eastAsia="es-PE"/>
      <w14:ligatures w14:val="none"/>
    </w:rPr>
  </w:style>
  <w:style w:type="paragraph" w:styleId="Ttulo1">
    <w:name w:val="heading 1"/>
    <w:basedOn w:val="Normal"/>
    <w:next w:val="Normal"/>
    <w:link w:val="Ttulo1Car"/>
    <w:uiPriority w:val="9"/>
    <w:qFormat/>
    <w:rsid w:val="004B0D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B0D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B0D5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B0D5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B0D5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B0D5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0D5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0D5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0D5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0D5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B0D5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B0D5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B0D5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B0D5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B0D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0D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0D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0D53"/>
    <w:rPr>
      <w:rFonts w:eastAsiaTheme="majorEastAsia" w:cstheme="majorBidi"/>
      <w:color w:val="272727" w:themeColor="text1" w:themeTint="D8"/>
    </w:rPr>
  </w:style>
  <w:style w:type="paragraph" w:styleId="Ttulo">
    <w:name w:val="Title"/>
    <w:basedOn w:val="Normal"/>
    <w:next w:val="Normal"/>
    <w:link w:val="TtuloCar"/>
    <w:uiPriority w:val="10"/>
    <w:qFormat/>
    <w:rsid w:val="004B0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0D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0D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0D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0D53"/>
    <w:pPr>
      <w:spacing w:before="160"/>
      <w:jc w:val="center"/>
    </w:pPr>
    <w:rPr>
      <w:i/>
      <w:iCs/>
      <w:color w:val="404040" w:themeColor="text1" w:themeTint="BF"/>
    </w:rPr>
  </w:style>
  <w:style w:type="character" w:customStyle="1" w:styleId="CitaCar">
    <w:name w:val="Cita Car"/>
    <w:basedOn w:val="Fuentedeprrafopredeter"/>
    <w:link w:val="Cita"/>
    <w:uiPriority w:val="29"/>
    <w:rsid w:val="004B0D53"/>
    <w:rPr>
      <w:i/>
      <w:iCs/>
      <w:color w:val="404040" w:themeColor="text1" w:themeTint="BF"/>
    </w:rPr>
  </w:style>
  <w:style w:type="paragraph" w:styleId="Prrafodelista">
    <w:name w:val="List Paragraph"/>
    <w:aliases w:val="Iz - Párrafo de lista,Sivsa Parrafo,Titulo parrafo,Titulo de Fígura,TITULO A,Punto,NIVEL ONE,Bulleted List,Fundamentacion,SubPárrafo de lista,Viñeta,Cuadro 2-1,Conclusiones,paul2,Lista vistosa - Énfasis 11,Lista media 2 - Énfasis 41,3,H"/>
    <w:basedOn w:val="Normal"/>
    <w:link w:val="PrrafodelistaCar"/>
    <w:uiPriority w:val="34"/>
    <w:qFormat/>
    <w:rsid w:val="004B0D53"/>
    <w:pPr>
      <w:ind w:left="720"/>
      <w:contextualSpacing/>
    </w:pPr>
  </w:style>
  <w:style w:type="character" w:styleId="nfasisintenso">
    <w:name w:val="Intense Emphasis"/>
    <w:basedOn w:val="Fuentedeprrafopredeter"/>
    <w:uiPriority w:val="21"/>
    <w:qFormat/>
    <w:rsid w:val="004B0D53"/>
    <w:rPr>
      <w:i/>
      <w:iCs/>
      <w:color w:val="2F5496" w:themeColor="accent1" w:themeShade="BF"/>
    </w:rPr>
  </w:style>
  <w:style w:type="paragraph" w:styleId="Citadestacada">
    <w:name w:val="Intense Quote"/>
    <w:basedOn w:val="Normal"/>
    <w:next w:val="Normal"/>
    <w:link w:val="CitadestacadaCar"/>
    <w:uiPriority w:val="30"/>
    <w:qFormat/>
    <w:rsid w:val="004B0D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B0D53"/>
    <w:rPr>
      <w:i/>
      <w:iCs/>
      <w:color w:val="2F5496" w:themeColor="accent1" w:themeShade="BF"/>
    </w:rPr>
  </w:style>
  <w:style w:type="character" w:styleId="Referenciaintensa">
    <w:name w:val="Intense Reference"/>
    <w:basedOn w:val="Fuentedeprrafopredeter"/>
    <w:uiPriority w:val="32"/>
    <w:qFormat/>
    <w:rsid w:val="004B0D53"/>
    <w:rPr>
      <w:b/>
      <w:bCs/>
      <w:smallCaps/>
      <w:color w:val="2F5496" w:themeColor="accent1" w:themeShade="BF"/>
      <w:spacing w:val="5"/>
    </w:rPr>
  </w:style>
  <w:style w:type="paragraph" w:styleId="Encabezado">
    <w:name w:val="header"/>
    <w:basedOn w:val="Normal"/>
    <w:link w:val="EncabezadoCar"/>
    <w:unhideWhenUsed/>
    <w:rsid w:val="004B0D53"/>
    <w:pPr>
      <w:tabs>
        <w:tab w:val="center" w:pos="4252"/>
        <w:tab w:val="right" w:pos="8504"/>
      </w:tabs>
      <w:spacing w:line="240" w:lineRule="auto"/>
    </w:pPr>
  </w:style>
  <w:style w:type="character" w:customStyle="1" w:styleId="EncabezadoCar">
    <w:name w:val="Encabezado Car"/>
    <w:basedOn w:val="Fuentedeprrafopredeter"/>
    <w:link w:val="Encabezado"/>
    <w:rsid w:val="004B0D53"/>
    <w:rPr>
      <w:rFonts w:ascii="Arial" w:eastAsia="Arial" w:hAnsi="Arial" w:cs="Arial"/>
      <w:kern w:val="0"/>
      <w:lang w:val="es-419" w:eastAsia="es-PE"/>
      <w14:ligatures w14:val="none"/>
    </w:rPr>
  </w:style>
  <w:style w:type="paragraph" w:styleId="Piedepgina">
    <w:name w:val="footer"/>
    <w:basedOn w:val="Normal"/>
    <w:link w:val="PiedepginaCar"/>
    <w:uiPriority w:val="99"/>
    <w:unhideWhenUsed/>
    <w:rsid w:val="004B0D5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B0D53"/>
    <w:rPr>
      <w:rFonts w:ascii="Arial" w:eastAsia="Arial" w:hAnsi="Arial" w:cs="Arial"/>
      <w:kern w:val="0"/>
      <w:lang w:val="es-419" w:eastAsia="es-PE"/>
      <w14:ligatures w14:val="none"/>
    </w:rPr>
  </w:style>
  <w:style w:type="paragraph" w:customStyle="1" w:styleId="Textbody">
    <w:name w:val="Text body"/>
    <w:basedOn w:val="Normal"/>
    <w:rsid w:val="004B0D53"/>
    <w:pPr>
      <w:widowControl w:val="0"/>
      <w:suppressAutoHyphens/>
      <w:autoSpaceDN w:val="0"/>
      <w:spacing w:after="120" w:line="240" w:lineRule="auto"/>
      <w:textAlignment w:val="baseline"/>
    </w:pPr>
    <w:rPr>
      <w:rFonts w:ascii="Times New Roman" w:eastAsia="SimSun" w:hAnsi="Times New Roman"/>
      <w:kern w:val="3"/>
      <w:sz w:val="24"/>
      <w:szCs w:val="24"/>
      <w:lang w:val="es-PE" w:eastAsia="zh-CN" w:bidi="hi-IN"/>
    </w:rPr>
  </w:style>
  <w:style w:type="character" w:customStyle="1" w:styleId="no-style-override">
    <w:name w:val="no-style-override"/>
    <w:basedOn w:val="Fuentedeprrafopredeter"/>
    <w:rsid w:val="004B0D53"/>
  </w:style>
  <w:style w:type="character" w:customStyle="1" w:styleId="no-style-override-1">
    <w:name w:val="no-style-override-1"/>
    <w:basedOn w:val="Fuentedeprrafopredeter"/>
    <w:rsid w:val="004B0D53"/>
  </w:style>
  <w:style w:type="paragraph" w:customStyle="1" w:styleId="Standard">
    <w:name w:val="Standard"/>
    <w:qFormat/>
    <w:rsid w:val="004B0D53"/>
    <w:pPr>
      <w:widowControl w:val="0"/>
      <w:suppressAutoHyphens/>
      <w:autoSpaceDN w:val="0"/>
      <w:spacing w:after="0" w:line="240" w:lineRule="auto"/>
      <w:textAlignment w:val="baseline"/>
    </w:pPr>
    <w:rPr>
      <w:rFonts w:ascii="Times New Roman" w:eastAsia="SimSun" w:hAnsi="Times New Roman" w:cs="Arial"/>
      <w:kern w:val="3"/>
      <w:sz w:val="24"/>
      <w:szCs w:val="24"/>
      <w:lang w:eastAsia="zh-CN" w:bidi="hi-IN"/>
      <w14:ligatures w14:val="none"/>
    </w:rPr>
  </w:style>
  <w:style w:type="character" w:customStyle="1" w:styleId="PrrafodelistaCar">
    <w:name w:val="Párrafo de lista Car"/>
    <w:aliases w:val="Iz - Párrafo de lista Car,Sivsa Parrafo Car,Titulo parrafo Car,Titulo de Fígura Car,TITULO A Car,Punto Car,NIVEL ONE Car,Bulleted List Car,Fundamentacion Car,SubPárrafo de lista Car,Viñeta Car,Cuadro 2-1 Car,Conclusiones Car,3 Car"/>
    <w:link w:val="Prrafodelista"/>
    <w:uiPriority w:val="34"/>
    <w:qFormat/>
    <w:locked/>
    <w:rsid w:val="004B0D53"/>
  </w:style>
  <w:style w:type="paragraph" w:styleId="NormalWeb">
    <w:name w:val="Normal (Web)"/>
    <w:basedOn w:val="Normal"/>
    <w:uiPriority w:val="99"/>
    <w:unhideWhenUsed/>
    <w:rsid w:val="004B0D53"/>
    <w:pPr>
      <w:spacing w:before="100" w:beforeAutospacing="1" w:after="119" w:line="240" w:lineRule="auto"/>
    </w:pPr>
    <w:rPr>
      <w:rFonts w:ascii="Times New Roman" w:eastAsia="Times New Roman" w:hAnsi="Times New Roman" w:cs="Times New Roman"/>
      <w:sz w:val="24"/>
      <w:szCs w:val="24"/>
      <w:lang w:val="es-PE"/>
    </w:rPr>
  </w:style>
  <w:style w:type="paragraph" w:customStyle="1" w:styleId="Textonotapie1">
    <w:name w:val="Texto nota pie1"/>
    <w:aliases w:val="Car,Car Car,Car Car Car Car Car Car Car,Car Car Car Car,Car Car Car Car Car,Car Car Car,Car Car Car Car Car Car,Car Car Car Car Car Car Car1,Car Car Car Car Car Car1"/>
    <w:basedOn w:val="Normal"/>
    <w:rsid w:val="004B0D53"/>
    <w:pPr>
      <w:spacing w:line="240" w:lineRule="auto"/>
    </w:pPr>
    <w:rPr>
      <w:rFonts w:asciiTheme="minorHAnsi" w:eastAsiaTheme="minorHAnsi" w:hAnsiTheme="minorHAnsi" w:cstheme="minorBidi"/>
      <w:sz w:val="20"/>
      <w:szCs w:val="20"/>
      <w:lang w:val="es-PE" w:eastAsia="en-US"/>
    </w:rPr>
  </w:style>
  <w:style w:type="character" w:styleId="Refdenotaalpie">
    <w:name w:val="footnote reference"/>
    <w:aliases w:val="16 Point,Superscript 6 Point,sobrescrito,Ref,de nota al pie,Texto de nota al pie,Appel note de bas de page,Footnotes refss,Footnote number,referencia nota al pie,BVI fnr,f,4_G,Texto nota al pie,Footnote Reference Char3,FC"/>
    <w:unhideWhenUsed/>
    <w:qFormat/>
    <w:rsid w:val="004B0D53"/>
    <w:rPr>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xt,NOTA AL PIE TESIS PUC"/>
    <w:basedOn w:val="Normal"/>
    <w:link w:val="TextonotapieCar"/>
    <w:uiPriority w:val="99"/>
    <w:unhideWhenUsed/>
    <w:qFormat/>
    <w:rsid w:val="004B0D53"/>
    <w:pPr>
      <w:spacing w:line="240" w:lineRule="auto"/>
    </w:pPr>
    <w:rPr>
      <w:rFonts w:ascii="Calibri" w:eastAsia="Calibri" w:hAnsi="Calibri" w:cs="Calibri"/>
      <w:sz w:val="20"/>
      <w:szCs w:val="20"/>
      <w:lang w:val="es-PE"/>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xt Car"/>
    <w:basedOn w:val="Fuentedeprrafopredeter"/>
    <w:link w:val="Textonotapie"/>
    <w:uiPriority w:val="99"/>
    <w:qFormat/>
    <w:rsid w:val="004B0D53"/>
    <w:rPr>
      <w:rFonts w:ascii="Calibri" w:eastAsia="Calibri" w:hAnsi="Calibri" w:cs="Calibri"/>
      <w:kern w:val="0"/>
      <w:sz w:val="20"/>
      <w:szCs w:val="20"/>
      <w:lang w:eastAsia="es-PE"/>
      <w14:ligatures w14:val="none"/>
    </w:rPr>
  </w:style>
  <w:style w:type="character" w:styleId="Textoennegrita">
    <w:name w:val="Strong"/>
    <w:basedOn w:val="Fuentedeprrafopredeter"/>
    <w:uiPriority w:val="22"/>
    <w:qFormat/>
    <w:rsid w:val="004B0D53"/>
    <w:rPr>
      <w:b/>
      <w:bCs/>
    </w:rPr>
  </w:style>
  <w:style w:type="table" w:customStyle="1" w:styleId="Tablaconcuadrcula1clara-nfasis11">
    <w:name w:val="Tabla con cuadrícula 1 clara - Énfasis 11"/>
    <w:basedOn w:val="Tablanormal"/>
    <w:uiPriority w:val="46"/>
    <w:rsid w:val="004B0D53"/>
    <w:pPr>
      <w:spacing w:after="0" w:line="240" w:lineRule="auto"/>
    </w:pPr>
    <w:rPr>
      <w:kern w:val="0"/>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fadeinm1hgl8">
    <w:name w:val="_fadein_m1hgl_8"/>
    <w:basedOn w:val="Fuentedeprrafopredeter"/>
    <w:rsid w:val="004B0D53"/>
  </w:style>
  <w:style w:type="character" w:styleId="Hipervnculo">
    <w:name w:val="Hyperlink"/>
    <w:basedOn w:val="Fuentedeprrafopredeter"/>
    <w:uiPriority w:val="99"/>
    <w:unhideWhenUsed/>
    <w:rsid w:val="004B0D5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6</Pages>
  <Words>1869</Words>
  <Characters>16419</Characters>
  <Application>Microsoft Office Word</Application>
  <DocSecurity>0</DocSecurity>
  <Lines>321</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dc:creator>
  <cp:keywords/>
  <dc:description/>
  <cp:lastModifiedBy>user01</cp:lastModifiedBy>
  <cp:revision>8</cp:revision>
  <dcterms:created xsi:type="dcterms:W3CDTF">2026-01-14T16:55:00Z</dcterms:created>
  <dcterms:modified xsi:type="dcterms:W3CDTF">2026-01-22T01:58:00Z</dcterms:modified>
</cp:coreProperties>
</file>