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pPr>
    </w:p>
    <w:p>
      <w:pPr>
        <w:spacing w:before="280" w:after="0"/>
      </w:pPr>
    </w:p>
    <w:p>
      <w:pPr>
        <w:spacing w:before="280" w:after="0"/>
      </w:pPr>
    </w:p>
    <w:p>
      <w:pPr>
        <w:spacing w:before="280" w:after="0"/>
      </w:pPr>
    </w:p>
    <w:p>
      <w:pPr>
        <w:spacing w:before="280" w:after="0"/>
      </w:pPr>
    </w:p>
    <w:p>
      <w:pPr>
        <w:spacing w:before="280" w:after="0"/>
      </w:pPr>
    </w:p>
    <w:p>
      <w:pPr>
        <w:spacing w:before="280" w:after="0"/>
      </w:pPr>
    </w:p>
    <w:p>
      <w:pPr>
        <w:spacing w:before="280" w:after="0"/>
      </w:pPr>
    </w:p>
    <w:p>
      <w:pPr>
        <w:spacing w:after="120"/>
        <w:jc w:val="center"/>
      </w:pPr>
      <w:r>
        <w:rPr>
          <w:rFonts w:ascii="Arial" w:hAnsi="Arial"/>
          <w:b/>
          <w:color w:val="1F4E79"/>
          <w:sz w:val="72"/>
        </w:rPr>
        <w:t>UNSPED</w:t>
      </w:r>
    </w:p>
    <w:p>
      <w:pPr>
        <w:spacing w:after="120"/>
        <w:jc w:val="center"/>
      </w:pPr>
      <w:r>
        <w:rPr>
          <w:rFonts w:ascii="Arial" w:hAnsi="Arial"/>
          <w:b w:val="0"/>
          <w:color w:val="2E75B6"/>
          <w:sz w:val="26"/>
        </w:rPr>
        <w:t>Gümrük Müşavirliği ve Lojistik Hizmetler A.Ş.</w:t>
      </w:r>
    </w:p>
    <w:p>
      <w:pPr>
        <w:spacing w:before="240" w:after="0"/>
      </w:pPr>
    </w:p>
    <w:p>
      <w:pPr>
        <w:jc w:val="center"/>
        <w:pBdr>
          <w:bottom w:val="single" w:sz="12" w:space="1" w:color="2E75B6"/>
        </w:pBdr>
      </w:pPr>
    </w:p>
    <w:p>
      <w:pPr>
        <w:spacing w:before="320" w:after="0"/>
      </w:pPr>
    </w:p>
    <w:p>
      <w:pPr>
        <w:spacing w:after="80"/>
        <w:jc w:val="center"/>
      </w:pPr>
      <w:r>
        <w:rPr>
          <w:rFonts w:ascii="Arial" w:hAnsi="Arial"/>
          <w:b/>
          <w:i w:val="0"/>
          <w:color w:val="1F4E79"/>
          <w:sz w:val="44"/>
        </w:rPr>
        <w:t>Kurumsal Karbon Ayak İzi</w:t>
      </w:r>
    </w:p>
    <w:p>
      <w:pPr>
        <w:spacing w:after="80"/>
        <w:jc w:val="center"/>
      </w:pPr>
      <w:r>
        <w:rPr>
          <w:rFonts w:ascii="Arial" w:hAnsi="Arial"/>
          <w:b/>
          <w:i w:val="0"/>
          <w:color w:val="2E75B6"/>
          <w:sz w:val="44"/>
        </w:rPr>
        <w:t>Envanter Raporu</w:t>
      </w:r>
    </w:p>
    <w:p>
      <w:pPr>
        <w:spacing w:after="80"/>
        <w:jc w:val="center"/>
      </w:pPr>
      <w:r>
        <w:rPr>
          <w:rFonts w:ascii="Arial" w:hAnsi="Arial"/>
          <w:b w:val="0"/>
          <w:i w:val="0"/>
          <w:color w:val="595959"/>
          <w:sz w:val="28"/>
        </w:rPr>
        <w:t>2025 Yılı</w:t>
      </w:r>
    </w:p>
    <w:p>
      <w:pPr>
        <w:spacing w:after="80"/>
        <w:jc w:val="center"/>
      </w:pPr>
      <w:r>
        <w:rPr>
          <w:rFonts w:ascii="Arial" w:hAnsi="Arial"/>
          <w:b w:val="0"/>
          <w:i/>
          <w:color w:val="595959"/>
          <w:sz w:val="20"/>
        </w:rPr>
        <w:t>TS EN ISO 14064-1:2019</w:t>
      </w:r>
    </w:p>
    <w:p>
      <w:pPr>
        <w:spacing w:after="80"/>
        <w:jc w:val="center"/>
      </w:pPr>
      <w:r>
        <w:rPr>
          <w:rFonts w:ascii="Arial" w:hAnsi="Arial"/>
          <w:b w:val="0"/>
          <w:i/>
          <w:color w:val="595959"/>
          <w:sz w:val="20"/>
        </w:rPr>
        <w:t>Raporlama Dönemi: 2023, 2024, 2025</w:t>
      </w:r>
    </w:p>
    <w:p>
      <w:pPr>
        <w:spacing w:after="80"/>
        <w:jc w:val="center"/>
      </w:pPr>
      <w:r>
        <w:rPr>
          <w:rFonts w:ascii="Arial" w:hAnsi="Arial"/>
          <w:b w:val="0"/>
          <w:i/>
          <w:color w:val="595959"/>
          <w:sz w:val="18"/>
        </w:rPr>
        <w:t>Hazırlanma Tarihi: 13.04.2026</w:t>
      </w:r>
    </w:p>
    <w:p>
      <w:r>
        <w:br w:type="page"/>
      </w:r>
    </w:p>
    <w:p>
      <w:pPr>
        <w:spacing w:before="360" w:after="120"/>
        <w:pBdr>
          <w:bottom w:val="single" w:sz="6" w:space="1" w:color="2E75B6"/>
        </w:pBdr>
      </w:pPr>
      <w:r>
        <w:rPr>
          <w:rFonts w:ascii="Arial" w:hAnsi="Arial"/>
          <w:b/>
          <w:color w:val="1F4E79"/>
          <w:sz w:val="28"/>
        </w:rPr>
        <w:t>GİRİŞ</w:t>
      </w:r>
    </w:p>
    <w:p>
      <w:pPr>
        <w:spacing w:before="40" w:after="40"/>
      </w:pPr>
      <w:r>
        <w:rPr>
          <w:rFonts w:ascii="Arial" w:hAnsi="Arial"/>
          <w:b w:val="0"/>
          <w:sz w:val="20"/>
        </w:rPr>
        <w:t>UNSPED Gümrük Müşavirliği ve Lojistik Hizmetler A.Ş. kuruluşundan bu yana müşterilerin ihtiyaçlarına beklentilerinin üzerinde yanıt verecek şekilde sürekli olarak teknolojik altyapı ve yeniliklere öncelik vermiştir.</w:t>
      </w:r>
    </w:p>
    <w:p>
      <w:pPr>
        <w:spacing w:before="120" w:after="0"/>
      </w:pPr>
    </w:p>
    <w:p>
      <w:pPr>
        <w:spacing w:before="40" w:after="40"/>
      </w:pPr>
      <w:r>
        <w:rPr>
          <w:rFonts w:ascii="Arial" w:hAnsi="Arial"/>
          <w:b w:val="0"/>
          <w:sz w:val="20"/>
        </w:rPr>
        <w:t>UNSPED olarak, çevresel sürdürülebilirlik ve sorumluluk bilinciyle hareket etmek amacıyla karbon ayak izinin doğru hesaplanması ve yönetilmesi büyük önem taşımaktadır. Bu Kurumsal Karbon Ayak İzi Envanter Raporu, UNSPED Genel Merkezi sera gazı emisyonlarını detaylı bir şekilde ortaya koymak amacıyla hazırlanmıştır.</w:t>
      </w:r>
    </w:p>
    <w:p>
      <w:pPr>
        <w:spacing w:before="120" w:after="0"/>
      </w:pPr>
    </w:p>
    <w:p>
      <w:pPr>
        <w:spacing w:before="40" w:after="40"/>
      </w:pPr>
      <w:r>
        <w:rPr>
          <w:rFonts w:ascii="Arial" w:hAnsi="Arial"/>
          <w:b w:val="0"/>
          <w:sz w:val="20"/>
        </w:rPr>
        <w:t>Bu rapor, uygunluk, bütünlük, tutarlılık, doğruluk ve şeffaflık ilkeleri uygulanarak hazırlanmıştır.</w:t>
      </w:r>
    </w:p>
    <w:p>
      <w:r>
        <w:br w:type="page"/>
      </w:r>
    </w:p>
    <w:p>
      <w:pPr>
        <w:spacing w:before="360" w:after="120"/>
        <w:pBdr>
          <w:bottom w:val="single" w:sz="6" w:space="1" w:color="2E75B6"/>
        </w:pBdr>
      </w:pPr>
      <w:r>
        <w:rPr>
          <w:rFonts w:ascii="Arial" w:hAnsi="Arial"/>
          <w:b/>
          <w:color w:val="1F4E79"/>
          <w:sz w:val="28"/>
        </w:rPr>
        <w:t>BÖLÜM 1: RAPORUN AMAÇLARI VE TEKNİK BİLGİLER</w:t>
      </w:r>
    </w:p>
    <w:p>
      <w:pPr>
        <w:spacing w:before="240" w:after="80"/>
      </w:pPr>
      <w:r>
        <w:rPr>
          <w:rFonts w:ascii="Arial" w:hAnsi="Arial"/>
          <w:b/>
          <w:color w:val="2E75B6"/>
          <w:sz w:val="24"/>
        </w:rPr>
        <w:t>1.1. Şirket Profili</w:t>
      </w:r>
    </w:p>
    <w:p>
      <w:pPr>
        <w:spacing w:before="40" w:after="40"/>
      </w:pPr>
      <w:r>
        <w:rPr>
          <w:rFonts w:ascii="Arial" w:hAnsi="Arial"/>
          <w:b w:val="0"/>
          <w:sz w:val="20"/>
        </w:rPr>
        <w:t>UNSPED Gümrük Müşavirliği ve Lojistik Hizmetler A.Ş., müşterilerinin dış ticaret ve gümrük işlemlerindeki durumlarını analiz ederek risk yönetimi, maliyet optimizasyonu ve lojistik çözümleri sunmaktadır.</w:t>
      </w:r>
    </w:p>
    <w:p>
      <w:pPr>
        <w:spacing w:before="240" w:after="80"/>
      </w:pPr>
      <w:r>
        <w:rPr>
          <w:rFonts w:ascii="Arial" w:hAnsi="Arial"/>
          <w:b/>
          <w:color w:val="2E75B6"/>
          <w:sz w:val="24"/>
        </w:rPr>
        <w:t>1.2. Raporun Amacı</w:t>
      </w:r>
    </w:p>
    <w:p>
      <w:pPr>
        <w:spacing w:before="40" w:after="40"/>
      </w:pPr>
      <w:r>
        <w:rPr>
          <w:rFonts w:ascii="Arial" w:hAnsi="Arial"/>
          <w:b w:val="0"/>
          <w:sz w:val="20"/>
        </w:rPr>
        <w:t>Bu rapor TS EN ISO 14064-1:2019 standardı şartlarını esas alarak hazırlanmıştır.</w:t>
      </w:r>
    </w:p>
    <w:p>
      <w:pPr>
        <w:spacing w:before="240" w:after="80"/>
      </w:pPr>
      <w:r>
        <w:rPr>
          <w:rFonts w:ascii="Arial" w:hAnsi="Arial"/>
          <w:b/>
          <w:color w:val="2E75B6"/>
          <w:sz w:val="24"/>
        </w:rPr>
        <w:t>1.3. Raporlama Periyodu</w:t>
      </w:r>
    </w:p>
    <w:p>
      <w:pPr>
        <w:spacing w:before="40" w:after="40"/>
      </w:pPr>
      <w:r>
        <w:rPr>
          <w:rFonts w:ascii="Arial" w:hAnsi="Arial"/>
          <w:b w:val="0"/>
          <w:sz w:val="20"/>
        </w:rPr>
        <w:t>Bu rapor 2025 yılı sera gazı emisyonlarını kapsar. Temel yıl: 2023.</w:t>
      </w:r>
    </w:p>
    <w:p>
      <w:pPr>
        <w:spacing w:before="240" w:after="80"/>
      </w:pPr>
      <w:r>
        <w:rPr>
          <w:rFonts w:ascii="Arial" w:hAnsi="Arial"/>
          <w:b/>
          <w:color w:val="2E75B6"/>
          <w:sz w:val="24"/>
        </w:rPr>
        <w:t>1.4. Temel Yıl</w:t>
      </w:r>
    </w:p>
    <w:p>
      <w:pPr>
        <w:spacing w:before="40" w:after="40"/>
      </w:pPr>
      <w:r>
        <w:rPr>
          <w:rFonts w:ascii="Arial" w:hAnsi="Arial"/>
          <w:b w:val="0"/>
          <w:sz w:val="20"/>
        </w:rPr>
        <w:t>TS EN ISO 14064-1:2019 kapsamında temel yıl 2023 olarak belirlenmiştir.</w:t>
      </w:r>
    </w:p>
    <w:p>
      <w:pPr>
        <w:spacing w:before="240" w:after="80"/>
      </w:pPr>
      <w:r>
        <w:rPr>
          <w:rFonts w:ascii="Arial" w:hAnsi="Arial"/>
          <w:b/>
          <w:color w:val="2E75B6"/>
          <w:sz w:val="24"/>
        </w:rPr>
        <w:t>1.5. Hesaplama Metodolojisi</w:t>
      </w:r>
    </w:p>
    <w:p>
      <w:pPr>
        <w:spacing w:before="40" w:after="40"/>
      </w:pPr>
      <w:r>
        <w:rPr>
          <w:rFonts w:ascii="Arial" w:hAnsi="Arial"/>
          <w:b w:val="0"/>
          <w:sz w:val="20"/>
        </w:rPr>
        <w:t>Bu raporda emisyon faktörü bazlı hesaplama metodolojisi kullanılmıştır. Detaylı emisyon faktörü ve NKD tabloları Bölüm 8'de yer almaktadır. Kullanılan başlıca kaynaklar:</w:t>
      </w:r>
    </w:p>
    <w:p>
      <w:pPr>
        <w:spacing w:before="80" w:after="0"/>
      </w:pPr>
    </w:p>
    <w:p>
      <w:pPr>
        <w:spacing w:after="60"/>
        <w:ind w:left="567"/>
      </w:pPr>
      <w:r>
        <w:rPr>
          <w:rFonts w:ascii="Arial" w:hAnsi="Arial"/>
          <w:sz w:val="20"/>
        </w:rPr>
        <w:t>• IPCC 2006 Guidelines for National GHG Inventories — yakıt NKD ve EF değerleri</w:t>
      </w:r>
    </w:p>
    <w:p>
      <w:pPr>
        <w:spacing w:after="60"/>
        <w:ind w:left="567"/>
      </w:pPr>
      <w:r>
        <w:rPr>
          <w:rFonts w:ascii="Arial" w:hAnsi="Arial"/>
          <w:sz w:val="20"/>
        </w:rPr>
        <w:t>• IPCC AR6 (2021) — GWP-100 değerleri</w:t>
      </w:r>
    </w:p>
    <w:p>
      <w:pPr>
        <w:spacing w:after="60"/>
        <w:ind w:left="567"/>
      </w:pPr>
      <w:r>
        <w:rPr>
          <w:rFonts w:ascii="Arial" w:hAnsi="Arial"/>
          <w:sz w:val="20"/>
        </w:rPr>
        <w:t>• TC ETKB EVÇED — Türkiye ulusal elektrik şebekesi emisyon faktörleri</w:t>
      </w:r>
    </w:p>
    <w:p>
      <w:pPr>
        <w:spacing w:after="60"/>
        <w:ind w:left="567"/>
      </w:pPr>
      <w:r>
        <w:rPr>
          <w:rFonts w:ascii="Arial" w:hAnsi="Arial"/>
          <w:sz w:val="20"/>
        </w:rPr>
        <w:t>• UK DEFRA GHG Conversion Factors — taşımacılık emisyon faktörleri</w:t>
      </w:r>
    </w:p>
    <w:p>
      <w:pPr>
        <w:spacing w:after="60"/>
        <w:ind w:left="567"/>
      </w:pPr>
      <w:r>
        <w:rPr>
          <w:rFonts w:ascii="Arial" w:hAnsi="Arial"/>
          <w:sz w:val="20"/>
        </w:rPr>
        <w:t>• US EPA USEEIO v1.2 — satın alma bazlı tedarik zinciri emisyon faktörleri (kg CO₂e/2021 USD)</w:t>
      </w:r>
    </w:p>
    <w:p>
      <w:r>
        <w:br w:type="page"/>
      </w:r>
    </w:p>
    <w:p>
      <w:pPr>
        <w:spacing w:before="360" w:after="120"/>
        <w:pBdr>
          <w:bottom w:val="single" w:sz="6" w:space="1" w:color="2E75B6"/>
        </w:pBdr>
      </w:pPr>
      <w:r>
        <w:rPr>
          <w:rFonts w:ascii="Arial" w:hAnsi="Arial"/>
          <w:b/>
          <w:color w:val="1F4E79"/>
          <w:sz w:val="28"/>
        </w:rPr>
        <w:t>BÖLÜM 2: KURULUŞ SINIRLARI VE RAPORLAMA</w:t>
      </w:r>
    </w:p>
    <w:p>
      <w:pPr>
        <w:spacing w:before="40" w:after="40"/>
      </w:pPr>
      <w:r>
        <w:rPr>
          <w:rFonts w:ascii="Arial" w:hAnsi="Arial"/>
          <w:b w:val="0"/>
          <w:sz w:val="20"/>
        </w:rPr>
        <w:t>Emisyon konsolidasyonu için Operasyonel Kontrol Yaklaşımı uygulanmıştır.</w:t>
      </w:r>
    </w:p>
    <w:p>
      <w:pPr>
        <w:spacing w:before="120" w:after="0"/>
      </w:pPr>
    </w:p>
    <w:p>
      <w:pPr>
        <w:spacing w:before="160" w:after="40"/>
      </w:pPr>
      <w:r>
        <w:rPr>
          <w:rFonts w:ascii="Arial" w:hAnsi="Arial"/>
          <w:b/>
          <w:color w:val="1F4E79"/>
          <w:sz w:val="18"/>
        </w:rPr>
        <w:t>Tablo 1. Envantere Dahil Edilen Tesis</w:t>
      </w:r>
    </w:p>
    <w:tbl>
      <w:tblPr>
        <w:tblStyle w:val="TableGrid"/>
        <w:tblW w:type="auto" w:w="0"/>
        <w:jc w:val="left"/>
        <w:tblLook w:firstColumn="1" w:firstRow="1" w:lastColumn="0" w:lastRow="0" w:noHBand="0" w:noVBand="1" w:val="04A0"/>
      </w:tblPr>
      <w:tblGrid>
        <w:gridCol w:w="4536"/>
        <w:gridCol w:w="4536"/>
      </w:tblGrid>
      <w:tr>
        <w:tc>
          <w:tcPr>
            <w:tcW w:type="dxa" w:w="45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Tesis Adı</w:t>
            </w:r>
          </w:p>
        </w:tc>
        <w:tc>
          <w:tcPr>
            <w:tcW w:type="dxa" w:w="3969"/>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Adres</w:t>
            </w:r>
          </w:p>
        </w:tc>
      </w:tr>
      <w:tr>
        <w:tc>
          <w:tcPr>
            <w:tcW w:type="dxa" w:w="45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UNSPED Gümrük Müşavirliği ve Lojistik Hizmetler A.Ş. Genel Merkezi</w:t>
            </w:r>
          </w:p>
        </w:tc>
        <w:tc>
          <w:tcPr>
            <w:tcW w:type="dxa" w:w="3969"/>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Mahmutbey Mahallesi 2655 Sokak No:1-3-21, Bağcılar, İstanbul</w:t>
            </w:r>
          </w:p>
        </w:tc>
      </w:tr>
    </w:tbl>
    <w:p>
      <w:pPr>
        <w:spacing w:before="360" w:after="120"/>
        <w:pBdr>
          <w:bottom w:val="single" w:sz="6" w:space="1" w:color="2E75B6"/>
        </w:pBdr>
      </w:pPr>
      <w:r>
        <w:rPr>
          <w:rFonts w:ascii="Arial" w:hAnsi="Arial"/>
          <w:b/>
          <w:color w:val="1F4E79"/>
          <w:sz w:val="28"/>
        </w:rPr>
        <w:t>BÖLÜM 3: RAPORLAMA SINIRLARI</w:t>
      </w:r>
    </w:p>
    <w:p>
      <w:pPr>
        <w:spacing w:before="40" w:after="40"/>
      </w:pPr>
      <w:r>
        <w:rPr>
          <w:rFonts w:ascii="Arial" w:hAnsi="Arial"/>
          <w:b w:val="0"/>
          <w:sz w:val="20"/>
        </w:rPr>
        <w:t>Raporlama sınırları TS EN ISO 14064-1 kapsamında aşağıdaki emisyon kategorilerini içermektedir:</w:t>
      </w:r>
    </w:p>
    <w:p>
      <w:pPr>
        <w:spacing w:before="120" w:after="0"/>
      </w:pPr>
    </w:p>
    <w:p>
      <w:pPr>
        <w:spacing w:after="60"/>
        <w:ind w:left="567"/>
      </w:pPr>
      <w:r>
        <w:rPr>
          <w:b/>
          <w:color w:val="1F4E79"/>
          <w:sz w:val="20"/>
        </w:rPr>
        <w:t xml:space="preserve">Kapsam 1 (Sınıf 1): </w:t>
      </w:r>
      <w:r>
        <w:rPr>
          <w:sz w:val="20"/>
        </w:rPr>
        <w:t>Sabit yakma (doğalgaz, motorin), mobil yanma (benzin, dizel), soğutucu gaz ve yangın söndürme sızıntıları/şarjları</w:t>
      </w:r>
    </w:p>
    <w:p>
      <w:pPr>
        <w:spacing w:after="60"/>
        <w:ind w:left="567"/>
      </w:pPr>
      <w:r>
        <w:rPr>
          <w:b/>
          <w:color w:val="1F4E79"/>
          <w:sz w:val="20"/>
        </w:rPr>
        <w:t xml:space="preserve">Kapsam 2 (Sınıf 2): </w:t>
      </w:r>
      <w:r>
        <w:rPr>
          <w:sz w:val="20"/>
        </w:rPr>
        <w:t>Satın alınan şebeke elektriği — konum temelli yöntem</w:t>
      </w:r>
    </w:p>
    <w:p>
      <w:pPr>
        <w:spacing w:after="60"/>
        <w:ind w:left="567"/>
      </w:pPr>
      <w:r>
        <w:rPr>
          <w:b/>
          <w:color w:val="1F4E79"/>
          <w:sz w:val="20"/>
        </w:rPr>
        <w:t xml:space="preserve">Kapsam 3 (Sınıf 3): </w:t>
      </w:r>
      <w:r>
        <w:rPr>
          <w:sz w:val="20"/>
        </w:rPr>
        <w:t>Personel işe gidiş-geliş (3.3), iş seyahatleri (3.5)</w:t>
      </w:r>
    </w:p>
    <w:p>
      <w:pPr>
        <w:spacing w:after="60"/>
        <w:ind w:left="567"/>
      </w:pPr>
      <w:r>
        <w:rPr>
          <w:b/>
          <w:color w:val="1F4E79"/>
          <w:sz w:val="20"/>
        </w:rPr>
        <w:t xml:space="preserve">Kapsam 3 (Sınıf 4): </w:t>
      </w:r>
      <w:r>
        <w:rPr>
          <w:sz w:val="20"/>
        </w:rPr>
        <w:t>Satın alınan mallar (4.1), sermaye varlıkları (4.2), atık bertarafı (4.3), hizmet alımları (4.5)</w:t>
      </w:r>
    </w:p>
    <w:p>
      <w:pPr>
        <w:spacing w:after="60"/>
        <w:ind w:left="567"/>
      </w:pPr>
      <w:r>
        <w:rPr>
          <w:b/>
          <w:color w:val="1F4E79"/>
          <w:sz w:val="20"/>
        </w:rPr>
        <w:t xml:space="preserve">Kapsam 3 (Sınıf 6): </w:t>
      </w:r>
      <w:r>
        <w:rPr>
          <w:sz w:val="20"/>
        </w:rPr>
        <w:t>Elektrik iletim ve dağıtım kayıpları (6.1) — konum temelli</w:t>
      </w:r>
    </w:p>
    <w:p>
      <w:r>
        <w:br w:type="page"/>
      </w:r>
    </w:p>
    <w:p>
      <w:pPr>
        <w:spacing w:before="360" w:after="120"/>
        <w:pBdr>
          <w:bottom w:val="single" w:sz="6" w:space="1" w:color="2E75B6"/>
        </w:pBdr>
      </w:pPr>
      <w:r>
        <w:rPr>
          <w:rFonts w:ascii="Arial" w:hAnsi="Arial"/>
          <w:b/>
          <w:color w:val="1F4E79"/>
          <w:sz w:val="28"/>
        </w:rPr>
        <w:t>BÖLÜM 4: SERA GAZI EMİSYONLARI</w:t>
      </w:r>
    </w:p>
    <w:p>
      <w:pPr>
        <w:spacing w:before="240" w:after="80"/>
      </w:pPr>
      <w:r>
        <w:rPr>
          <w:rFonts w:ascii="Arial" w:hAnsi="Arial"/>
          <w:b/>
          <w:color w:val="2E75B6"/>
          <w:sz w:val="24"/>
        </w:rPr>
        <w:t>4.1. Kapsam 1: Doğrudan Sera Gazı Emisyonları</w:t>
      </w:r>
    </w:p>
    <w:p>
      <w:pPr>
        <w:spacing w:before="40" w:after="40"/>
      </w:pPr>
      <w:r>
        <w:rPr>
          <w:rFonts w:ascii="Arial" w:hAnsi="Arial"/>
          <w:b w:val="0"/>
          <w:sz w:val="20"/>
        </w:rPr>
        <w:t>Kapsam 1 emisyonları şirketin sahip olduğu veya kontrol ettiği kaynaklardan doğrudan salınan sera gazlarını kapsar.</w:t>
      </w:r>
    </w:p>
    <w:p>
      <w:pPr>
        <w:spacing w:before="160" w:after="40"/>
      </w:pPr>
      <w:r>
        <w:rPr>
          <w:rFonts w:ascii="Arial" w:hAnsi="Arial"/>
          <w:b/>
          <w:color w:val="1F4E79"/>
          <w:sz w:val="22"/>
        </w:rPr>
        <w:t>4.1.1. Kapsam 1.1 — Sabit Yanma</w:t>
      </w:r>
    </w:p>
    <w:p>
      <w:pPr>
        <w:spacing w:before="160" w:after="40"/>
      </w:pPr>
      <w:r>
        <w:rPr>
          <w:rFonts w:ascii="Arial" w:hAnsi="Arial"/>
          <w:b/>
          <w:color w:val="1F4E79"/>
          <w:sz w:val="18"/>
        </w:rPr>
        <w:t>Tablo 2. Kapsam 1.1 Sabit Yanma Emisyonları (ton CO₂e)</w:t>
      </w:r>
    </w:p>
    <w:tbl>
      <w:tblPr>
        <w:tblStyle w:val="TableGrid"/>
        <w:tblW w:type="auto" w:w="0"/>
        <w:jc w:val="left"/>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Kod</w:t>
            </w:r>
          </w:p>
        </w:tc>
        <w:tc>
          <w:tcPr>
            <w:tcW w:type="dxa" w:w="21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Yakıt</w:t>
            </w:r>
          </w:p>
        </w:tc>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tCO₂e</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1.1.1</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Kombi</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Doğalgaz</w:t>
            </w:r>
          </w:p>
        </w:tc>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11.064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8.294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9.835</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21,52</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16,13</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19,13</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1.1.2</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Jeneratörler</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Motorin</w:t>
            </w:r>
          </w:p>
        </w:tc>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447</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1.369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3.210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3,71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8,70</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1.1.3</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Tatbikatı</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Motorin</w:t>
            </w:r>
          </w:p>
        </w:tc>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447</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1.369</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3.210</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3,71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8,70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1.1.4</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Tatbikatı</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w:t>
            </w:r>
          </w:p>
        </w:tc>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215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1.1 TOPLAM</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22,74</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19,84</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27,84</w:t>
            </w:r>
          </w:p>
        </w:tc>
      </w:tr>
    </w:tbl>
    <w:p>
      <w:pPr>
        <w:spacing w:before="120" w:after="0"/>
      </w:pPr>
    </w:p>
    <w:p>
      <w:pPr>
        <w:spacing w:before="160" w:after="40"/>
      </w:pPr>
      <w:r>
        <w:rPr>
          <w:rFonts w:ascii="Arial" w:hAnsi="Arial"/>
          <w:b/>
          <w:color w:val="1F4E79"/>
          <w:sz w:val="22"/>
        </w:rPr>
        <w:t>4.1.2. Kapsam 1.2 — Mobil Yanma (Araç Yakıtları)</w:t>
      </w:r>
    </w:p>
    <w:p>
      <w:pPr>
        <w:spacing w:before="160" w:after="40"/>
      </w:pPr>
      <w:r>
        <w:rPr>
          <w:rFonts w:ascii="Arial" w:hAnsi="Arial"/>
          <w:b/>
          <w:color w:val="1F4E79"/>
          <w:sz w:val="18"/>
        </w:rPr>
        <w:t>Tablo 3. Kapsam 1.2 Mobil Yanma Emisyonları (ton CO₂e)</w:t>
      </w:r>
    </w:p>
    <w:tbl>
      <w:tblPr>
        <w:tblStyle w:val="TableGrid"/>
        <w:tblW w:type="auto" w:w="0"/>
        <w:jc w:val="left"/>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Kod</w:t>
            </w:r>
          </w:p>
        </w:tc>
        <w:tc>
          <w:tcPr>
            <w:tcW w:type="dxa" w:w="21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Yakıt</w:t>
            </w:r>
          </w:p>
        </w:tc>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FV (L)</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FV (L)</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FV (L)</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tCO₂e</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1.2.1</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w:t>
            </w:r>
          </w:p>
        </w:tc>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87.312,66</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139.533,08</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151.020,58</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216,52</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346,01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374,50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1.2.2</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Dizel</w:t>
            </w:r>
          </w:p>
        </w:tc>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122.850,92</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72.875,18</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78.573,77</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336,04</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199,34</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214,93</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215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1.2 TOPLAM</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552,56</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545,35</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589,43</w:t>
            </w:r>
          </w:p>
        </w:tc>
      </w:tr>
    </w:tbl>
    <w:p>
      <w:pPr>
        <w:spacing w:before="120" w:after="0"/>
      </w:pPr>
    </w:p>
    <w:p>
      <w:pPr>
        <w:spacing w:before="160" w:after="40"/>
      </w:pPr>
      <w:r>
        <w:rPr>
          <w:rFonts w:ascii="Arial" w:hAnsi="Arial"/>
          <w:b/>
          <w:color w:val="1F4E79"/>
          <w:sz w:val="22"/>
        </w:rPr>
        <w:t>4.1.3. Kapsam 1.4 — Soğutucu Gazlar ve Yangın Söndürme Sistemleri</w:t>
      </w:r>
    </w:p>
    <w:p>
      <w:pPr>
        <w:spacing w:before="40" w:after="40"/>
      </w:pPr>
      <w:r>
        <w:rPr>
          <w:rFonts w:ascii="Arial" w:hAnsi="Arial"/>
          <w:b w:val="0"/>
          <w:sz w:val="20"/>
        </w:rPr>
        <w:t>GWP değerleri IPCC AR6 2021 raporundan alınmıştır. Tüm sızıntı ve şarj olayları aşağıda raporlanmıştır.</w:t>
      </w:r>
    </w:p>
    <w:p>
      <w:pPr>
        <w:spacing w:before="120" w:after="0"/>
      </w:pPr>
    </w:p>
    <w:p>
      <w:pPr>
        <w:spacing w:before="160" w:after="40"/>
      </w:pPr>
      <w:r>
        <w:rPr>
          <w:rFonts w:ascii="Arial" w:hAnsi="Arial"/>
          <w:b/>
          <w:color w:val="1F4E79"/>
          <w:sz w:val="18"/>
        </w:rPr>
        <w:t>Tablo 4. Kapsam 1.4 Soğutucu Gaz Emisyonları (ton CO₂e)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58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 / Gaz</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(Oran)</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FV</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 tCO₂e</w:t>
            </w:r>
          </w:p>
        </w:tc>
        <w:tc>
          <w:tcPr>
            <w:tcW w:type="dxa" w:w="1417"/>
            <w:vAlign w:val="center"/>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 tCO₂e</w:t>
            </w:r>
          </w:p>
        </w:tc>
      </w:tr>
      <w:tr>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FK-5-1-12</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0,09</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r>
      <w:tr>
        <w:tc>
          <w:tcPr>
            <w:tcW w:type="dxa" w:w="158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FM200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0,13</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4,61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4,61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9,22</w:t>
            </w:r>
          </w:p>
        </w:tc>
      </w:tr>
      <w:tr>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HFC227ea</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0,03</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1,87</w:t>
            </w:r>
          </w:p>
        </w:tc>
      </w:tr>
      <w:tr>
        <w:tc>
          <w:tcPr>
            <w:tcW w:type="dxa" w:w="158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HFC236fa</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0,07</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608,30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104,28</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104,28</w:t>
            </w:r>
          </w:p>
        </w:tc>
      </w:tr>
      <w:tr>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R134A</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r>
      <w:tr>
        <w:tc>
          <w:tcPr>
            <w:tcW w:type="dxa" w:w="158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R32</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0,10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0,10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0,10</w:t>
            </w:r>
          </w:p>
        </w:tc>
      </w:tr>
      <w:tr>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R407c</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13,36</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14,31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14,31</w:t>
            </w:r>
          </w:p>
        </w:tc>
      </w:tr>
      <w:tr>
        <w:tc>
          <w:tcPr>
            <w:tcW w:type="dxa" w:w="158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R410A</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0,23</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0,23</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0,23</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51,04</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51,04</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51,04</w:t>
            </w:r>
          </w:p>
        </w:tc>
      </w:tr>
      <w:tr>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R600A</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Bkz. Tablo EF</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158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1.4 TOPLAM</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677,40</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174,34</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180,82</w:t>
            </w:r>
          </w:p>
        </w:tc>
      </w:tr>
    </w:tbl>
    <w:p>
      <w:r>
        <w:br w:type="page"/>
      </w:r>
    </w:p>
    <w:p>
      <w:pPr>
        <w:spacing w:before="240" w:after="80"/>
      </w:pPr>
      <w:r>
        <w:rPr>
          <w:rFonts w:ascii="Arial" w:hAnsi="Arial"/>
          <w:b/>
          <w:color w:val="2E75B6"/>
          <w:sz w:val="24"/>
        </w:rPr>
        <w:t>4.2. Kapsam 2: Enerji Dolaylı Sera Gazı Emisyonları</w:t>
      </w:r>
    </w:p>
    <w:p>
      <w:pPr>
        <w:spacing w:before="40" w:after="40"/>
      </w:pPr>
      <w:r>
        <w:rPr>
          <w:rFonts w:ascii="Arial" w:hAnsi="Arial"/>
          <w:b w:val="0"/>
          <w:sz w:val="20"/>
        </w:rPr>
        <w:t>TC Enerji ve Tabii Kaynaklar Bakanlığı EVÇED ulusal şebeke emisyon faktörü kullanılmıştır (konum temelli yöntem).</w:t>
      </w:r>
    </w:p>
    <w:p>
      <w:pPr>
        <w:spacing w:before="120" w:after="0"/>
      </w:pPr>
    </w:p>
    <w:p>
      <w:pPr>
        <w:spacing w:before="160" w:after="40"/>
      </w:pPr>
      <w:r>
        <w:rPr>
          <w:rFonts w:ascii="Arial" w:hAnsi="Arial"/>
          <w:b/>
          <w:color w:val="1F4E79"/>
          <w:sz w:val="18"/>
        </w:rPr>
        <w:t>Tablo 5. Kapsam 2.1 Elektrik Tüketimi Emisyonları</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11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68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w:t>
              <w:br/>
              <w:t>(tCO₂e)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w:t>
              <w:br/>
              <w:t>(tCO₂e)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br/>
              <w:t>(tCO₂e)</w:t>
            </w:r>
          </w:p>
        </w:tc>
      </w:tr>
      <w:tr>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2.1</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Tüketimi (Konum Temelli)</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MWh → tCO₂e</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r>
      <w:tr>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3118"/>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KAPSAM 2 TOPLAM</w:t>
            </w:r>
          </w:p>
        </w:tc>
        <w:tc>
          <w:tcPr>
            <w:tcW w:type="dxa" w:w="68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441,17</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454,26</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664,22</w:t>
            </w:r>
          </w:p>
        </w:tc>
      </w:tr>
    </w:tbl>
    <w:p>
      <w:pPr>
        <w:spacing w:before="120" w:after="0"/>
      </w:pPr>
    </w:p>
    <w:p>
      <w:pPr>
        <w:spacing w:before="240" w:after="80"/>
      </w:pPr>
      <w:r>
        <w:rPr>
          <w:rFonts w:ascii="Arial" w:hAnsi="Arial"/>
          <w:b/>
          <w:color w:val="2E75B6"/>
          <w:sz w:val="24"/>
        </w:rPr>
        <w:t>4.3. Kapsam 3: Diğer Dolaylı Emisyonlar</w:t>
      </w:r>
    </w:p>
    <w:p>
      <w:pPr>
        <w:spacing w:before="40" w:after="40"/>
      </w:pPr>
      <w:r>
        <w:rPr>
          <w:rFonts w:ascii="Arial" w:hAnsi="Arial"/>
          <w:b w:val="0"/>
          <w:sz w:val="20"/>
        </w:rPr>
        <w:t>Önemlilik eşiği olarak %95 kuralı uygulanmıştır.</w:t>
      </w:r>
    </w:p>
    <w:p>
      <w:pPr>
        <w:spacing w:before="120" w:after="0"/>
      </w:pPr>
    </w:p>
    <w:p>
      <w:pPr>
        <w:spacing w:before="160" w:after="40"/>
      </w:pPr>
      <w:r>
        <w:rPr>
          <w:rFonts w:ascii="Arial" w:hAnsi="Arial"/>
          <w:b/>
          <w:color w:val="1F4E79"/>
          <w:sz w:val="18"/>
        </w:rPr>
        <w:t>Tablo 6. Kapsam 3 Emisyon Kategorileri (ton CO₂e)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Sınıf</w:t>
            </w:r>
          </w:p>
        </w:tc>
        <w:tc>
          <w:tcPr>
            <w:tcW w:type="dxa" w:w="3402"/>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30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Kaynağı</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w:t>
              <w:br/>
              <w:t>(tCO₂e)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w:t>
              <w:br/>
              <w:t>(tCO₂e)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br/>
              <w:t>(tCO₂e)</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3.3</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Personelin İşe Gidiş-Gelişleri</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IPCC/DEFRA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143,64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176,49</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3.5</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İş Seyahatleri</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EPA/DEFRA</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0,08</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4.1</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Ürün ve Malzemeler</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575,23</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754,24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4.2</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Niteliğindeki Varlıklar</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680,10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258,16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4.3</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Atık Bertarafı</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DEFRA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0,21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1,17</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4.5</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Hizmet Alımları</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55,32</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4.515,89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6.1</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T&amp;D Kayıpları</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 ETKB EVÇED</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3402"/>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KAPSAM 3 TOPLAM</w:t>
            </w:r>
          </w:p>
        </w:tc>
        <w:tc>
          <w:tcPr>
            <w:tcW w:type="dxa" w:w="130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1.454,56</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5.706,08</w:t>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152,01</w:t>
            </w:r>
          </w:p>
        </w:tc>
      </w:tr>
    </w:tbl>
    <w:p>
      <w:pPr>
        <w:spacing w:before="120" w:after="0"/>
      </w:pPr>
    </w:p>
    <w:p>
      <w:pPr>
        <w:spacing w:before="240" w:after="80"/>
      </w:pPr>
      <w:r>
        <w:rPr>
          <w:rFonts w:ascii="Arial" w:hAnsi="Arial"/>
          <w:b/>
          <w:color w:val="2E75B6"/>
          <w:sz w:val="24"/>
        </w:rPr>
        <w:t>4.3.1. Faaliyet Verileri — Emisyon Kaynak Detayları</w:t>
      </w:r>
    </w:p>
    <w:p>
      <w:pPr>
        <w:spacing w:before="40" w:after="40"/>
      </w:pPr>
      <w:r>
        <w:rPr>
          <w:rFonts w:ascii="Arial" w:hAnsi="Arial"/>
          <w:b w:val="0"/>
          <w:sz w:val="20"/>
        </w:rPr>
        <w:t>Aşağıdaki tablolarda 2025 yılı faaliyet verileri emisyon büyüklüğüne göre sıralanmış şekilde sunulmaktadır. Kapsam 3 için %95 önemlilik eşiği esas alınmıştır.</w:t>
      </w:r>
    </w:p>
    <w:p>
      <w:pPr>
        <w:spacing w:before="120" w:after="0"/>
      </w:pPr>
    </w:p>
    <w:p>
      <w:pPr>
        <w:spacing w:before="160" w:after="40"/>
      </w:pPr>
      <w:r>
        <w:rPr>
          <w:rFonts w:ascii="Arial" w:hAnsi="Arial"/>
          <w:b/>
          <w:color w:val="1F4E79"/>
          <w:sz w:val="22"/>
        </w:rPr>
        <w:t>Kapsam 1.1 — Sabit Yanma Faaliyet Verileri</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Yıl</w:t>
            </w:r>
          </w:p>
        </w:tc>
        <w:tc>
          <w:tcPr>
            <w:tcW w:type="dxa" w:w="68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Yakıt</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Kaynak</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FV</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natural_gas</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Kombi</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11.064</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21,52</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natural_gas</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Kombi</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9.835</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19,13</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natural_gas</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Kombi</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8.294</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16,13</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Jeneratörler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3.200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8,67</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Jeneratörler</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1.366</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3,70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Jeneratörler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432</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1,17</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0,04</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0,03</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0,01</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0,00</w:t>
            </w:r>
          </w:p>
        </w:tc>
      </w:tr>
    </w:tbl>
    <w:p>
      <w:pPr>
        <w:spacing w:before="120" w:after="0"/>
      </w:pPr>
    </w:p>
    <w:p>
      <w:pPr>
        <w:spacing w:before="160" w:after="40"/>
      </w:pPr>
      <w:r>
        <w:rPr>
          <w:rFonts w:ascii="Arial" w:hAnsi="Arial"/>
          <w:b/>
          <w:color w:val="1F4E79"/>
          <w:sz w:val="22"/>
        </w:rPr>
        <w:t>Kapsam 1.2 — Mobil Yanma Faaliyet Verileri</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Yıl</w:t>
            </w:r>
          </w:p>
        </w:tc>
        <w:tc>
          <w:tcPr>
            <w:tcW w:type="dxa" w:w="68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Yakıt</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Kaynak</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FV</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151.020,58</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374,50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139.533,08</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346,01</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122.850,92</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336,04</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petrol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87.312,66</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216,52</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68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78.573,77</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214,93</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68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diesel</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72.875,18</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199,34</w:t>
            </w:r>
          </w:p>
        </w:tc>
      </w:tr>
    </w:tbl>
    <w:p>
      <w:pPr>
        <w:spacing w:before="120" w:after="0"/>
      </w:pPr>
    </w:p>
    <w:p>
      <w:pPr>
        <w:spacing w:before="160" w:after="40"/>
      </w:pPr>
      <w:r>
        <w:rPr>
          <w:rFonts w:ascii="Arial" w:hAnsi="Arial"/>
          <w:b/>
          <w:color w:val="1F4E79"/>
          <w:sz w:val="22"/>
        </w:rPr>
        <w:t>Kapsam 3 — %95 Eşiğine Giren Kategoriler (2025)</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Sınıf</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Pay (%)</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Kümülatif (%)</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Durum</w:t>
            </w:r>
          </w:p>
        </w:tc>
      </w:tr>
      <w:tr>
        <w:tc>
          <w:tcPr>
            <w:tcW w:type="dxa" w:w="567"/>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3.3</w:t>
            </w:r>
          </w:p>
        </w:tc>
        <w:tc>
          <w:tcPr>
            <w:tcW w:type="dxa" w:w="2551"/>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 Ulaşım</w:t>
            </w:r>
          </w:p>
        </w:tc>
        <w:tc>
          <w:tcPr>
            <w:tcW w:type="dxa" w:w="1134"/>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c>
          <w:tcPr>
            <w:tcW w:type="dxa" w:w="1134"/>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%99.9</w:t>
            </w:r>
          </w:p>
        </w:tc>
        <w:tc>
          <w:tcPr>
            <w:tcW w:type="dxa" w:w="1134"/>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%99.9</w:t>
            </w:r>
          </w:p>
        </w:tc>
        <w:tc>
          <w:tcPr>
            <w:tcW w:type="dxa" w:w="1134"/>
            <w:vAlign w:val="center"/>
            <w:shd w:val="clear" w:color="auto" w:fill="FCE4D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t>Kritik</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2551"/>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KAPSAM 3 TOPLAM</w:t>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152,01</w:t>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%100</w:t>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r>
          </w:p>
        </w:tc>
      </w:tr>
    </w:tbl>
    <w:p>
      <w:pPr>
        <w:spacing w:before="120" w:after="0"/>
      </w:pPr>
    </w:p>
    <w:p>
      <w:pPr>
        <w:spacing w:before="240" w:after="80"/>
      </w:pPr>
      <w:r>
        <w:rPr>
          <w:rFonts w:ascii="Arial" w:hAnsi="Arial"/>
          <w:b/>
          <w:color w:val="2E75B6"/>
          <w:sz w:val="24"/>
        </w:rPr>
        <w:t>4.5. Sera Gazı Emisyonları — Grafiksel Gösterim</w:t>
      </w:r>
    </w:p>
    <w:p>
      <w:pPr>
        <w:spacing w:before="160" w:after="40"/>
      </w:pPr>
      <w:r>
        <w:rPr>
          <w:rFonts w:ascii="Arial" w:hAnsi="Arial"/>
          <w:b/>
          <w:color w:val="1F4E79"/>
          <w:sz w:val="18"/>
        </w:rPr>
        <w:t>Şekil 0. KPI Özeti — 2025</w:t>
      </w:r>
    </w:p>
    <w:p>
      <w:pPr>
        <w:jc w:val="center"/>
      </w:pPr>
      <w:r>
        <w:drawing>
          <wp:inline xmlns:a="http://schemas.openxmlformats.org/drawingml/2006/main" xmlns:pic="http://schemas.openxmlformats.org/drawingml/2006/picture">
            <wp:extent cx="5760720" cy="13273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327327"/>
                    </a:xfrm>
                    <a:prstGeom prst="rect"/>
                  </pic:spPr>
                </pic:pic>
              </a:graphicData>
            </a:graphic>
          </wp:inline>
        </w:drawing>
      </w:r>
    </w:p>
    <w:p>
      <w:pPr>
        <w:spacing w:before="120" w:after="0"/>
      </w:pPr>
    </w:p>
    <w:p>
      <w:pPr>
        <w:spacing w:before="160" w:after="40"/>
      </w:pPr>
      <w:r>
        <w:rPr>
          <w:rFonts w:ascii="Arial" w:hAnsi="Arial"/>
          <w:b/>
          <w:color w:val="1F4E79"/>
          <w:sz w:val="18"/>
        </w:rPr>
        <w:t>Şekil 1. Yıllık Kapsam Karşılaştırması ve 2025 Emisyon Dağılımı</w:t>
      </w:r>
    </w:p>
    <w:p>
      <w:pPr>
        <w:jc w:val="center"/>
      </w:pPr>
      <w:r>
        <w:drawing>
          <wp:inline xmlns:a="http://schemas.openxmlformats.org/drawingml/2006/main" xmlns:pic="http://schemas.openxmlformats.org/drawingml/2006/picture">
            <wp:extent cx="5760720" cy="27624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762450"/>
                    </a:xfrm>
                    <a:prstGeom prst="rect"/>
                  </pic:spPr>
                </pic:pic>
              </a:graphicData>
            </a:graphic>
          </wp:inline>
        </w:drawing>
      </w:r>
    </w:p>
    <w:p>
      <w:pPr>
        <w:spacing w:before="120" w:after="0"/>
      </w:pPr>
    </w:p>
    <w:p>
      <w:pPr>
        <w:spacing w:before="160" w:after="40"/>
      </w:pPr>
      <w:r>
        <w:rPr>
          <w:rFonts w:ascii="Arial" w:hAnsi="Arial"/>
          <w:b/>
          <w:color w:val="1F4E79"/>
          <w:sz w:val="18"/>
        </w:rPr>
        <w:t>Şekil 2. Yıllık Toplam Emisyon Trendi ve Değişim Oranları</w:t>
      </w:r>
    </w:p>
    <w:p>
      <w:pPr>
        <w:jc w:val="center"/>
      </w:pPr>
      <w:r>
        <w:drawing>
          <wp:inline xmlns:a="http://schemas.openxmlformats.org/drawingml/2006/main" xmlns:pic="http://schemas.openxmlformats.org/drawingml/2006/picture">
            <wp:extent cx="4754880" cy="280486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2804864"/>
                    </a:xfrm>
                    <a:prstGeom prst="rect"/>
                  </pic:spPr>
                </pic:pic>
              </a:graphicData>
            </a:graphic>
          </wp:inline>
        </w:drawing>
      </w:r>
    </w:p>
    <w:p>
      <w:pPr>
        <w:spacing w:before="120" w:after="0"/>
      </w:pPr>
    </w:p>
    <w:p>
      <w:r>
        <w:br w:type="page"/>
      </w:r>
    </w:p>
    <w:p>
      <w:pPr>
        <w:spacing w:before="240" w:after="80"/>
      </w:pPr>
      <w:r>
        <w:rPr>
          <w:rFonts w:ascii="Arial" w:hAnsi="Arial"/>
          <w:b/>
          <w:color w:val="2E75B6"/>
          <w:sz w:val="24"/>
        </w:rPr>
        <w:t>4.4. Kapsamlara Göre Sera Gazı Emisyonları — Özet</w:t>
      </w:r>
    </w:p>
    <w:p>
      <w:pPr>
        <w:spacing w:before="40" w:after="40"/>
      </w:pPr>
      <w:r>
        <w:rPr>
          <w:rFonts w:ascii="Arial" w:hAnsi="Arial"/>
          <w:b w:val="0"/>
          <w:sz w:val="20"/>
        </w:rPr>
        <w:t>2025 yılı toplam sera gazı emisyonu 1.614,31 tCO₂e olarak hesaplanmıştır. 2024'e göre ▼ %77 değişim göstermiştir.</w:t>
      </w:r>
    </w:p>
    <w:p>
      <w:pPr>
        <w:spacing w:before="120" w:after="0"/>
      </w:pPr>
    </w:p>
    <w:p>
      <w:pPr>
        <w:spacing w:before="160" w:after="40"/>
      </w:pPr>
      <w:r>
        <w:rPr>
          <w:rFonts w:ascii="Arial" w:hAnsi="Arial"/>
          <w:b/>
          <w:color w:val="1F4E79"/>
          <w:sz w:val="18"/>
        </w:rPr>
        <w:t>Tablo 7. Yıllara Göre GHG Emisyon Özeti (ton CO₂e)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Açıklama</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Değişim (2024→2025)</w:t>
            </w:r>
          </w:p>
        </w:tc>
      </w:tr>
      <w:tr>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1</w:t>
            </w:r>
          </w:p>
        </w:tc>
        <w:tc>
          <w:tcPr>
            <w:tcW w:type="dxa" w:w="2551"/>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1 — Doğrudan Emisyonlar</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1.252,70</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739,53</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c>
          <w:tcPr>
            <w:tcW w:type="dxa" w:w="1134"/>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%8</w:t>
            </w:r>
          </w:p>
        </w:tc>
      </w:tr>
      <w:tr>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2</w:t>
            </w:r>
          </w:p>
        </w:tc>
        <w:tc>
          <w:tcPr>
            <w:tcW w:type="dxa" w:w="2551"/>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2 — Enerji Dolaylı Emisyonlar</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134"/>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%46</w:t>
            </w:r>
          </w:p>
        </w:tc>
      </w:tr>
      <w:tr>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3</w:t>
            </w:r>
          </w:p>
        </w:tc>
        <w:tc>
          <w:tcPr>
            <w:tcW w:type="dxa" w:w="2551"/>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3 — Diğer Dolaylı Emisyonlar</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1.454,56</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5.706,08</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c>
          <w:tcPr>
            <w:tcW w:type="dxa" w:w="1134"/>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%97</w:t>
            </w:r>
          </w:p>
        </w:tc>
      </w:tr>
      <w:tr>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GENEL TOPLAM</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 1+2+3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3.148,43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6.899,86</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1.614,31</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 %77</w:t>
            </w:r>
          </w:p>
        </w:tc>
      </w:tr>
    </w:tbl>
    <w:p>
      <w:pPr>
        <w:spacing w:before="120" w:after="0"/>
      </w:pPr>
    </w:p>
    <w:p>
      <w:pPr>
        <w:spacing w:before="240" w:after="80"/>
      </w:pPr>
      <w:r>
        <w:rPr>
          <w:rFonts w:ascii="Arial" w:hAnsi="Arial"/>
          <w:b/>
          <w:color w:val="2E75B6"/>
          <w:sz w:val="24"/>
        </w:rPr>
        <w:t>4.6. Kapsam 3 Emisyon Analizi — %95 Önemlilik Eşiği</w:t>
      </w:r>
    </w:p>
    <w:p>
      <w:pPr>
        <w:spacing w:before="40" w:after="40"/>
      </w:pPr>
      <w:r>
        <w:rPr>
          <w:rFonts w:ascii="Arial" w:hAnsi="Arial"/>
          <w:b w:val="0"/>
          <w:sz w:val="20"/>
        </w:rPr>
        <w:t>2025 yılı Kapsam 3 toplam emisyonu 152,01 tCO₂e olarak hesaplanmıştır. Emisyonların %95'i aşağıdaki kategorilerden kaynaklanmaktadır:</w:t>
      </w:r>
    </w:p>
    <w:p>
      <w:pPr>
        <w:spacing w:before="80" w:after="0"/>
      </w:pPr>
    </w:p>
    <w:p>
      <w:pPr>
        <w:spacing w:before="80" w:after="0"/>
      </w:pPr>
    </w:p>
    <w:p>
      <w:pPr>
        <w:spacing w:before="40" w:after="40"/>
      </w:pPr>
      <w:r>
        <w:rPr>
          <w:rFonts w:ascii="Arial" w:hAnsi="Arial"/>
          <w:b w:val="0"/>
          <w:color w:val="595959"/>
          <w:sz w:val="20"/>
        </w:rPr>
        <w:t>Önemlilik eşiğinin (%95) altında kalan kategoriler (toplam %100.0):</w:t>
      </w:r>
    </w:p>
    <w:p>
      <w:pPr>
        <w:spacing w:after="60"/>
        <w:ind w:left="567"/>
      </w:pPr>
      <w:r>
        <w:rPr>
          <w:rFonts w:ascii="Arial" w:hAnsi="Arial"/>
          <w:color w:val="595959"/>
          <w:sz w:val="20"/>
        </w:rPr>
        <w:t>• 3.3 Personel Ulaşım: 151,94 tCO₂e (%99.9)</w:t>
      </w:r>
    </w:p>
    <w:p>
      <w:pPr>
        <w:spacing w:after="60"/>
        <w:ind w:left="567"/>
      </w:pPr>
      <w:r>
        <w:rPr>
          <w:rFonts w:ascii="Arial" w:hAnsi="Arial"/>
          <w:color w:val="595959"/>
          <w:sz w:val="20"/>
        </w:rPr>
        <w:t>• 3.5 Uçak &amp; Konaklama: 0,08 tCO₂e (%0.1)</w:t>
      </w:r>
    </w:p>
    <w:p>
      <w:pPr>
        <w:spacing w:before="40" w:after="80"/>
      </w:pPr>
      <w:r>
        <w:rPr>
          <w:rFonts w:ascii="Arial" w:hAnsi="Arial"/>
          <w:i/>
          <w:color w:val="595959"/>
          <w:sz w:val="16"/>
        </w:rPr>
        <w:t>Not: Bu analizde %95 önemlilik eşiği esas alınmıştır (TS EN ISO 14064-1:2019).</w:t>
      </w:r>
    </w:p>
    <w:p>
      <w:pPr>
        <w:spacing w:before="120" w:after="0"/>
      </w:pPr>
    </w:p>
    <w:p>
      <w:pPr>
        <w:spacing w:before="240" w:after="80"/>
      </w:pPr>
      <w:r>
        <w:rPr>
          <w:rFonts w:ascii="Arial" w:hAnsi="Arial"/>
          <w:b/>
          <w:color w:val="2E75B6"/>
          <w:sz w:val="24"/>
        </w:rPr>
        <w:t>4.7. Kişi Bazlı Emisyon Yoğunluğu</w:t>
      </w:r>
    </w:p>
    <w:p>
      <w:pPr>
        <w:spacing w:before="40" w:after="40"/>
      </w:pPr>
      <w:r>
        <w:rPr>
          <w:rFonts w:ascii="Arial" w:hAnsi="Arial"/>
          <w:b w:val="0"/>
          <w:sz w:val="20"/>
        </w:rPr>
        <w:t>Spesifik metrik: 12 aylık ortalama çalışan sayısına göre kişi başına emisyon (ton CO₂e/kişi).</w:t>
      </w:r>
    </w:p>
    <w:p>
      <w:pPr>
        <w:spacing w:before="120" w:after="0"/>
      </w:pPr>
    </w:p>
    <w:p>
      <w:pPr>
        <w:spacing w:before="160" w:after="40"/>
      </w:pPr>
      <w:r>
        <w:rPr>
          <w:rFonts w:ascii="Arial" w:hAnsi="Arial"/>
          <w:b/>
          <w:color w:val="1F4E79"/>
          <w:sz w:val="18"/>
        </w:rPr>
        <w:t>Tablo 8. Kişi Başına Emisyon Yoğunluğu</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Yıl</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Lokasyon</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Personel</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1</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2</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3</w:t>
            </w:r>
          </w:p>
        </w:tc>
        <w:tc>
          <w:tcPr>
            <w:tcW w:type="dxa" w:w="124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(tCO₂e)</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tCO₂e/Kişi</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2023</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Genel Müdürlük</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702</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1.252,70</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1.454,56</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3.148,43</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4,48</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sz w:val="18"/>
              </w:rPr>
              <w:t>2023</w:t>
            </w:r>
          </w:p>
        </w:tc>
        <w:tc>
          <w:tcPr>
            <w:tcW w:type="dxa" w:w="198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ŞİRKET TOPLAMI (2023)</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702</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1.252,70</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1.454,56</w:t>
            </w:r>
          </w:p>
        </w:tc>
        <w:tc>
          <w:tcPr>
            <w:tcW w:type="dxa" w:w="124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3.148,43</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4,48</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2024</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Genel Müdürlük</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774</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739,53</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5.706,08</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6.899,86</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8,91</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sz w:val="18"/>
              </w:rPr>
              <w:t>2024</w:t>
            </w:r>
          </w:p>
        </w:tc>
        <w:tc>
          <w:tcPr>
            <w:tcW w:type="dxa" w:w="198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ŞİRKET TOPLAMI (2024)</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774</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739,53</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5.706,08</w:t>
            </w:r>
          </w:p>
        </w:tc>
        <w:tc>
          <w:tcPr>
            <w:tcW w:type="dxa" w:w="124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6.899,86</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8,91</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Genel Müdürlük</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756</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1.614,31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2,14</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sz w:val="18"/>
              </w:rPr>
              <w:t>2025</w:t>
            </w:r>
          </w:p>
        </w:tc>
        <w:tc>
          <w:tcPr>
            <w:tcW w:type="dxa" w:w="198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ŞİRKET TOPLAMI (2025)</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756</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c>
          <w:tcPr>
            <w:tcW w:type="dxa" w:w="124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1.614,31</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2,14</w:t>
            </w:r>
          </w:p>
        </w:tc>
      </w:tr>
    </w:tbl>
    <w:p>
      <w:pPr>
        <w:spacing w:before="120" w:after="0"/>
      </w:pPr>
    </w:p>
    <w:p>
      <w:pPr>
        <w:spacing w:before="360" w:after="120"/>
        <w:pBdr>
          <w:bottom w:val="single" w:sz="6" w:space="1" w:color="2E75B6"/>
        </w:pBdr>
      </w:pPr>
      <w:r>
        <w:rPr>
          <w:rFonts w:ascii="Arial" w:hAnsi="Arial"/>
          <w:b/>
          <w:color w:val="1F4E79"/>
          <w:sz w:val="28"/>
        </w:rPr>
        <w:t>BÖLÜM 5: YILLARA GÖRE GHG EMİSYON VERİLERİ</w:t>
      </w:r>
    </w:p>
    <w:p>
      <w:pPr>
        <w:spacing w:before="40" w:after="40"/>
      </w:pPr>
      <w:r>
        <w:rPr>
          <w:rFonts w:ascii="Arial" w:hAnsi="Arial"/>
          <w:b w:val="0"/>
          <w:sz w:val="20"/>
        </w:rPr>
        <w:t>2023, 2024, 2025 yıllarına ait GHG emisyon verileri karşılaştırmalı olarak sunulmaktadır.</w:t>
      </w:r>
    </w:p>
    <w:p>
      <w:pPr>
        <w:spacing w:before="120" w:after="0"/>
      </w:pPr>
    </w:p>
    <w:p>
      <w:pPr>
        <w:spacing w:before="160" w:after="40"/>
      </w:pPr>
      <w:r>
        <w:rPr>
          <w:rFonts w:ascii="Arial" w:hAnsi="Arial"/>
          <w:b/>
          <w:color w:val="1F4E79"/>
          <w:sz w:val="18"/>
        </w:rPr>
        <w:t>Tablo 9. Yıllara Göre Kategori Bazlı GHG Emisyonları (ton CO₂e)</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Sınıf</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w:t>
            </w:r>
          </w:p>
        </w:tc>
        <w:tc>
          <w:tcPr>
            <w:tcW w:type="dxa" w:w="28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Değişim (2023→2025)</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1</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Sabit Yanma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22,74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19,84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27,84</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%22</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1.2</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1</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Mobil Yanma (Benzin + Dizel)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552,56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545,35</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589,43</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%7</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1.4</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1</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Soğutucu Gaz &amp; Yangın Söndürme</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677,40</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174,34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180,82</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%73</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2.1</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2</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Tüketimi (Konum Temelli)</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%51</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3.3</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 İşe Gidiş-Geliş</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143,64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176,49</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%6</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3.5</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İş Seyahatleri</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0,08</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C00000"/>
                <w:sz w:val="18"/>
              </w:rPr>
              <w:t>▲ %25</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Ürün &amp; Malzemeler</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575,23</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754,24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%100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4.2</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Varlıkları (CAPEX)</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680,10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258,16</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%100</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4.3</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Atık Bertarafı</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0,21</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1,17</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%100</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4.5</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Hizmet Alımları</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55,32</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4.515,89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D9E75"/>
                <w:sz w:val="18"/>
              </w:rPr>
              <w:t>▼ %100</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Kapsam 3</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T&amp;D Kayıpları</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595959"/>
                <w:sz w:val="18"/>
              </w:rPr>
              <w:t>—</w:t>
            </w:r>
          </w:p>
        </w:tc>
      </w:tr>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r>
          </w:p>
        </w:tc>
        <w:tc>
          <w:tcPr>
            <w:tcW w:type="dxa" w:w="28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GENEL TOPLAM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3.148,43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6.899,86</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1.614,31</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 %49</w:t>
            </w:r>
          </w:p>
        </w:tc>
      </w:tr>
    </w:tbl>
    <w:p>
      <w:r>
        <w:br w:type="page"/>
      </w:r>
    </w:p>
    <w:p>
      <w:pPr>
        <w:spacing w:before="360" w:after="120"/>
        <w:pBdr>
          <w:bottom w:val="single" w:sz="6" w:space="1" w:color="2E75B6"/>
        </w:pBdr>
      </w:pPr>
      <w:r>
        <w:rPr>
          <w:rFonts w:ascii="Arial" w:hAnsi="Arial"/>
          <w:b/>
          <w:color w:val="1F4E79"/>
          <w:sz w:val="28"/>
        </w:rPr>
        <w:t>BÖLÜM 5: GHG EMİSYON BEYANI</w:t>
      </w:r>
    </w:p>
    <w:p>
      <w:pPr>
        <w:spacing w:before="160" w:after="40"/>
      </w:pPr>
      <w:r>
        <w:rPr>
          <w:rFonts w:ascii="Arial" w:hAnsi="Arial"/>
          <w:b/>
          <w:color w:val="1F4E79"/>
          <w:sz w:val="18"/>
        </w:rPr>
        <w:t>Tablo 11. Kuruluş ve Raporlama Bilgileri</w:t>
      </w:r>
    </w:p>
    <w:tbl>
      <w:tblPr>
        <w:tblStyle w:val="TableGrid"/>
        <w:tblW w:type="auto" w:w="0"/>
        <w:jc w:val="left"/>
        <w:tblLook w:firstColumn="1" w:firstRow="1" w:lastColumn="0" w:lastRow="0" w:noHBand="0" w:noVBand="1" w:val="04A0"/>
      </w:tblPr>
      <w:tblGrid>
        <w:gridCol w:w="4536"/>
        <w:gridCol w:w="4536"/>
      </w:tblGrid>
      <w:tr>
        <w:tc>
          <w:tcPr>
            <w:tcW w:type="dxa" w:w="311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Alan</w:t>
            </w:r>
          </w:p>
        </w:tc>
        <w:tc>
          <w:tcPr>
            <w:tcW w:type="dxa" w:w="5839"/>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Bilgi</w:t>
            </w:r>
          </w:p>
        </w:tc>
      </w:tr>
      <w:tr>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Raporlamayı Yapan Kuruluş</w:t>
            </w:r>
          </w:p>
        </w:tc>
        <w:tc>
          <w:tcPr>
            <w:tcW w:type="dxa" w:w="5839"/>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UNSPED Gümrük Müşavirliği ve Lojistik Hizmetler A.Ş.</w:t>
            </w:r>
          </w:p>
        </w:tc>
      </w:tr>
      <w:tr>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Rapordan Sorumlu Birimler</w:t>
            </w:r>
          </w:p>
        </w:tc>
        <w:tc>
          <w:tcPr>
            <w:tcW w:type="dxa" w:w="5839"/>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UGM Test ve Analiz Laboratuvarı Departmanı</w:t>
            </w:r>
          </w:p>
        </w:tc>
      </w:tr>
      <w:tr>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Raporlama Periyodu</w:t>
            </w:r>
          </w:p>
        </w:tc>
        <w:tc>
          <w:tcPr>
            <w:tcW w:type="dxa" w:w="5839"/>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2025</w:t>
            </w:r>
          </w:p>
        </w:tc>
      </w:tr>
      <w:tr>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Kuruluş Sınırları</w:t>
            </w:r>
          </w:p>
        </w:tc>
        <w:tc>
          <w:tcPr>
            <w:tcW w:type="dxa" w:w="5839"/>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UNSPED Mahmutbey Genel Merkezi — Operasyonel Kontrol Yaklaşımı</w:t>
            </w:r>
          </w:p>
        </w:tc>
      </w:tr>
      <w:tr>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Raporlama Sınırları</w:t>
            </w:r>
          </w:p>
        </w:tc>
        <w:tc>
          <w:tcPr>
            <w:tcW w:type="dxa" w:w="5839"/>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Mahmutbey Genel Merkezi ve tüm operasyonel kontrolündeki faaliyetler</w:t>
            </w:r>
          </w:p>
        </w:tc>
      </w:tr>
    </w:tbl>
    <w:p>
      <w:pPr>
        <w:spacing w:before="120" w:after="0"/>
      </w:pPr>
    </w:p>
    <w:p>
      <w:pPr>
        <w:spacing w:before="240" w:after="80"/>
      </w:pPr>
      <w:r>
        <w:rPr>
          <w:rFonts w:ascii="Arial" w:hAnsi="Arial"/>
          <w:b/>
          <w:color w:val="2E75B6"/>
          <w:sz w:val="24"/>
        </w:rPr>
        <w:t>Doğrudan Emisyonlar 2025</w:t>
      </w:r>
    </w:p>
    <w:p>
      <w:pPr>
        <w:spacing w:before="160" w:after="40"/>
      </w:pPr>
      <w:r>
        <w:rPr>
          <w:rFonts w:ascii="Arial" w:hAnsi="Arial"/>
          <w:b/>
          <w:color w:val="1F4E79"/>
          <w:sz w:val="18"/>
        </w:rPr>
        <w:t>Tablo 12. Doğrudan Emisyonlar 2025 (ton CO₂e)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06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Emisyonlar</w:t>
            </w:r>
          </w:p>
        </w:tc>
        <w:tc>
          <w:tcPr>
            <w:tcW w:type="dxa" w:w="96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CO2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CH4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N2O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HFCs</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PFCs</w:t>
            </w:r>
          </w:p>
        </w:tc>
        <w:tc>
          <w:tcPr>
            <w:tcW w:type="dxa" w:w="34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SF6</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1</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Doğrudan Sera Gazı Emisyonları ve Uzaklaştırmaları (CO2e)</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798,08</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Sabit Yakma Kaynaklı Doğrudan Emisyonlar</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27,84</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27,84</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Hareketli Yakma Kaynaklı Doğrudan Emisyonlar</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589,43</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589,43</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1.3</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Endüstriyel Süreçlerden Kaynaklanan Doğrudan Proses Emisyonları  [UY]</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1.4</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Antropojenik Sistemlerden Kaynaklı Kaçak Emisyonlar</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180,82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180,82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1.5</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Arazi Kullanımı (LULUCF) Faaliyetleri  [UY]</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Biyokütle Kaynaklı Doğrudan Emisyonlar (CO2e)</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 1 TOPLAM</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798,08</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r>
    </w:tbl>
    <w:p>
      <w:pPr>
        <w:spacing w:before="120" w:after="0"/>
      </w:pPr>
    </w:p>
    <w:p>
      <w:pPr>
        <w:spacing w:before="240" w:after="80"/>
      </w:pPr>
      <w:r>
        <w:rPr>
          <w:rFonts w:ascii="Arial" w:hAnsi="Arial"/>
          <w:b/>
          <w:color w:val="2E75B6"/>
          <w:sz w:val="24"/>
        </w:rPr>
        <w:t>Enerji Dolaylı Emisyonlar 2025</w:t>
      </w:r>
    </w:p>
    <w:p>
      <w:pPr>
        <w:spacing w:before="160" w:after="40"/>
      </w:pPr>
      <w:r>
        <w:rPr>
          <w:rFonts w:ascii="Arial" w:hAnsi="Arial"/>
          <w:b/>
          <w:color w:val="1F4E79"/>
          <w:sz w:val="18"/>
        </w:rPr>
        <w:t>Tablo 13. Enerji Dolaylı Emisyonlar 2025 (ton CO₂e)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06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Emisyonlar</w:t>
            </w:r>
          </w:p>
        </w:tc>
        <w:tc>
          <w:tcPr>
            <w:tcW w:type="dxa" w:w="96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CO2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CH4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N2O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HFCs</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PFCs</w:t>
            </w:r>
          </w:p>
        </w:tc>
        <w:tc>
          <w:tcPr>
            <w:tcW w:type="dxa" w:w="34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SF6</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2</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İthal Edilen Enerjiden Kaynaklanan Dolaylı Sera Gazı Emisyonları</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664,22</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2.1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İthal Edilen Elektrikten Kaynaklı Dolaylı Emisyonlar (Konum Temelli)</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664,22</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2.2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İthal Edilen Diğer Enerjiden Kaynaklı Dolaylı Emisyonlar  [UY]</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 2 TOPLAM</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664,22</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r>
    </w:tbl>
    <w:p>
      <w:pPr>
        <w:spacing w:before="120" w:after="0"/>
      </w:pPr>
    </w:p>
    <w:p>
      <w:pPr>
        <w:spacing w:before="240" w:after="80"/>
      </w:pPr>
      <w:r>
        <w:rPr>
          <w:rFonts w:ascii="Arial" w:hAnsi="Arial"/>
          <w:b/>
          <w:color w:val="2E75B6"/>
          <w:sz w:val="24"/>
        </w:rPr>
        <w:t>Diğer Dolaylı Emisyonlar 2025</w:t>
      </w:r>
    </w:p>
    <w:p>
      <w:pPr>
        <w:spacing w:before="160" w:after="40"/>
      </w:pPr>
      <w:r>
        <w:rPr>
          <w:rFonts w:ascii="Arial" w:hAnsi="Arial"/>
          <w:b/>
          <w:color w:val="1F4E79"/>
          <w:sz w:val="18"/>
        </w:rPr>
        <w:t>Tablo 14. Diğer Dolaylı Emisyonlar 2025 (ton CO₂e)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06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Emisyonlar</w:t>
            </w:r>
          </w:p>
        </w:tc>
        <w:tc>
          <w:tcPr>
            <w:tcW w:type="dxa" w:w="96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CO2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CH4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N2O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HFCs</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PFCs</w:t>
            </w:r>
          </w:p>
        </w:tc>
        <w:tc>
          <w:tcPr>
            <w:tcW w:type="dxa" w:w="34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SF6</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3</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Ulaşım Kaynaklı Dolaylı Sera Gazı Emisyonları</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152,01</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3.1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Mal (Kuruluşa Gelen) Taşımacılığı  [VY]</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3.2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Mal (Kuruluştan Giden) Taşımacılığı  [VY]</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3.3</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Personelin İşe Gidiş-Gelişleri Kaynaklı Emisyonlar</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151,94</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3.4</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Müşteriler ve Ziyaretçilerin Ulaşımı  [VY]</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3.5</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İş Seyahatleri Kaynaklı Emisyonlar</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0,08</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4</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Kuruluş Tarafından Kullanılan Ürünler Kaynaklı Dolaylı Emisyonlar</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4.1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Hammadde/Mamul/Yarı Mamul Kaynaklı Emisyonlar</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4.2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Niteliğindeki Varlıklardan Kaynaklanan Emisyonlar</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4.3</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Katı ve Sıvı Atıkların Bertarafı Kaynaklı Emisyonlar  [OD]</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4.4</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Kiralanan Ekipmanların Kullanımı Kaynaklı Emisyonlar  [OD]</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4.5</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Danismanlik, Temizlik, Bakim, Kurye vb. Hizmet Alimlari</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5</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Ürünlerin Üretim Sonrası Kullanımı Kaynaklı Dolaylı Emisyonlar</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5.1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Ürünün Kullanımı Kaynaklı Emisyonlar  [UY]</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5.2</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Kiraya Verilen Ekipmanların Kullanımı  [UY]</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5.3</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Ürün Kullanım Ömrü Sonrası Emisyonlar  [UY]</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5.4</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color w:val="595959"/>
                <w:sz w:val="18"/>
              </w:rPr>
              <w:t>Yatırımlar Kaynaklı Emisyonlar  [UY]</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F4E79"/>
                <w:sz w:val="18"/>
              </w:rPr>
              <w:t>6</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Diğer Kaynaklardan Ortaya Çıkan Dolaylı Emisyonlar</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6.1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İletim ve Dağıtım Kayıpları (Konum Temelli)</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 3 TOPLAM</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152,01</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c>
          <w:tcPr>
            <w:tcW w:type="dxa" w:w="100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w:t>
            </w:r>
          </w:p>
        </w:tc>
      </w:tr>
    </w:tbl>
    <w:p>
      <w:pPr>
        <w:spacing w:before="120" w:after="0"/>
      </w:pPr>
    </w:p>
    <w:p>
      <w:pPr>
        <w:spacing w:before="40" w:after="80"/>
      </w:pPr>
      <w:r>
        <w:rPr>
          <w:rFonts w:ascii="Arial" w:hAnsi="Arial"/>
          <w:i/>
          <w:color w:val="595959"/>
          <w:sz w:val="16"/>
        </w:rPr>
        <w:t>Not: OD = Onemli Degil (onemlilik esligi altinda)  |  VY = Veri Yok  |  UY = Uygulanamaz</w:t>
      </w:r>
    </w:p>
    <w:p>
      <w:pPr>
        <w:spacing w:before="120" w:after="0"/>
      </w:pPr>
    </w:p>
    <w:p>
      <w:pPr>
        <w:spacing w:before="240" w:after="80"/>
      </w:pPr>
      <w:r>
        <w:rPr>
          <w:rFonts w:ascii="Arial" w:hAnsi="Arial"/>
          <w:b/>
          <w:color w:val="2E75B6"/>
          <w:sz w:val="24"/>
        </w:rPr>
        <w:t>Uzaklaştırmalar</w:t>
      </w:r>
    </w:p>
    <w:p>
      <w:pPr>
        <w:spacing w:before="160" w:after="40"/>
      </w:pPr>
      <w:r>
        <w:rPr>
          <w:rFonts w:ascii="Arial" w:hAnsi="Arial"/>
          <w:b/>
          <w:color w:val="1F4E79"/>
          <w:sz w:val="18"/>
        </w:rPr>
        <w:t>Tablo 15. Uzaklaştırmalar (ton CO₂e)</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06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Emisyonlar</w:t>
            </w:r>
          </w:p>
        </w:tc>
        <w:tc>
          <w:tcPr>
            <w:tcW w:type="dxa" w:w="96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CO2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CH4 (CO2e)</w:t>
            </w:r>
          </w:p>
        </w:tc>
        <w:tc>
          <w:tcPr>
            <w:tcW w:type="dxa" w:w="73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N2O (CO2e)</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HFCs</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PFCs</w:t>
            </w:r>
          </w:p>
        </w:tc>
        <w:tc>
          <w:tcPr>
            <w:tcW w:type="dxa" w:w="34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SF6</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w:t>
            </w:r>
          </w:p>
        </w:tc>
        <w:tc>
          <w:tcPr>
            <w:tcW w:type="dxa" w:w="306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Doğrudan Uzaklaştırmalar (CO2e)</w:t>
            </w:r>
          </w:p>
        </w:tc>
        <w:tc>
          <w:tcPr>
            <w:tcW w:type="dxa" w:w="96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73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73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3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r>
          </w:p>
        </w:tc>
        <w:tc>
          <w:tcPr>
            <w:tcW w:type="dxa" w:w="306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Biyokütle Kaynaklı Uzaklaştırmalar (CO2e)</w:t>
            </w:r>
          </w:p>
        </w:tc>
        <w:tc>
          <w:tcPr>
            <w:tcW w:type="dxa" w:w="96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73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73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3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r>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2E75B6"/>
                <w:sz w:val="16"/>
              </w:rPr>
              <w:t>1</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Doğrudan Uzaklaştırmalar</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c>
          <w:tcPr>
            <w:tcW w:type="dxa" w:w="100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6"/>
              </w:rPr>
              <w:t>—</w:t>
            </w:r>
          </w:p>
        </w:tc>
      </w:tr>
    </w:tbl>
    <w:p>
      <w:pPr>
        <w:spacing w:before="120" w:after="0"/>
      </w:pPr>
    </w:p>
    <w:p>
      <w:pPr>
        <w:spacing w:before="240" w:after="80"/>
      </w:pPr>
      <w:r>
        <w:rPr>
          <w:rFonts w:ascii="Arial" w:hAnsi="Arial"/>
          <w:b/>
          <w:color w:val="2E75B6"/>
          <w:sz w:val="24"/>
        </w:rPr>
        <w:t>Sözleşmeye Dayalı Araçlar</w:t>
      </w:r>
    </w:p>
    <w:p>
      <w:pPr>
        <w:spacing w:before="160" w:after="40"/>
      </w:pPr>
      <w:r>
        <w:rPr>
          <w:rFonts w:ascii="Arial" w:hAnsi="Arial"/>
          <w:b/>
          <w:color w:val="1F4E79"/>
          <w:sz w:val="18"/>
        </w:rPr>
        <w:t>Tablo 16. Sözleşmeye Dayalı Araçlar</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11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Araç</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Miktar (kW)</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ISO 14064-1 Ek-E Uyumu</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(gCO2e/kW)</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Emisyon (tCO2e)</w:t>
            </w:r>
          </w:p>
        </w:tc>
      </w:tr>
      <w:tr>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Toplam Yenilenebilir Enerji</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r>
      <w:tr>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 Tedarikçisi — Sözleşmeli Yenilenebilir Enerji</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Evet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r>
      <w:tr>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 Tedarikçisi — Sözleşmeli Yenilenebilir Enerji</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Hayır</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r>
    </w:tbl>
    <w:p>
      <w:pPr>
        <w:spacing w:before="40" w:after="80"/>
      </w:pPr>
      <w:r>
        <w:rPr>
          <w:rFonts w:ascii="Arial" w:hAnsi="Arial"/>
          <w:i/>
          <w:color w:val="595959"/>
          <w:sz w:val="16"/>
        </w:rPr>
        <w:t>Not: ISO 14064-1:2018 EK-E'ye uygun bir satin alma soz konusu olmadigi zaman EF hucre bos birakilacaktir.</w:t>
      </w:r>
    </w:p>
    <w:p>
      <w:r>
        <w:br w:type="page"/>
      </w:r>
    </w:p>
    <w:p>
      <w:pPr>
        <w:spacing w:before="360" w:after="120"/>
        <w:pBdr>
          <w:bottom w:val="single" w:sz="6" w:space="1" w:color="2E75B6"/>
        </w:pBdr>
      </w:pPr>
      <w:r>
        <w:rPr>
          <w:rFonts w:ascii="Arial" w:hAnsi="Arial"/>
          <w:b/>
          <w:color w:val="1F4E79"/>
          <w:sz w:val="28"/>
        </w:rPr>
        <w:t>BÖLÜM 6: SONUÇ</w:t>
      </w:r>
    </w:p>
    <w:p>
      <w:pPr>
        <w:spacing w:before="40" w:after="40"/>
      </w:pPr>
      <w:r>
        <w:rPr>
          <w:rFonts w:ascii="Arial" w:hAnsi="Arial"/>
          <w:b w:val="0"/>
          <w:sz w:val="20"/>
        </w:rPr>
        <w:t>2025 toplam emisyonu 1.614,31 tCO2e olarak hesaplanmistir. 2024'e gore ▼ %77 degisim gostermistir.</w:t>
      </w:r>
    </w:p>
    <w:p>
      <w:pPr>
        <w:spacing w:before="120" w:after="0"/>
      </w:pPr>
    </w:p>
    <w:p>
      <w:pPr>
        <w:spacing w:before="160" w:after="40"/>
      </w:pPr>
      <w:r>
        <w:rPr>
          <w:rFonts w:ascii="Arial" w:hAnsi="Arial"/>
          <w:b/>
          <w:color w:val="1F4E79"/>
          <w:sz w:val="18"/>
        </w:rPr>
        <w:t>Tablo 17. Emisyon Sonuc Tablosu</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2024</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2551"/>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1 — Dogrudan Emisyonlar</w:t>
            </w:r>
          </w:p>
        </w:tc>
        <w:tc>
          <w:tcPr>
            <w:tcW w:type="dxa" w:w="850"/>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tCO2e</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1.252,70</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739,53</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r>
      <w:tr>
        <w:tc>
          <w:tcPr>
            <w:tcW w:type="dxa" w:w="2551"/>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2 — Enerji Dolayli Emisyonlar</w:t>
            </w:r>
          </w:p>
        </w:tc>
        <w:tc>
          <w:tcPr>
            <w:tcW w:type="dxa" w:w="850"/>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tCO2e</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441,17</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454,26</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r>
      <w:tr>
        <w:tc>
          <w:tcPr>
            <w:tcW w:type="dxa" w:w="2551"/>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3 — Diger Dolayli Emisyonlar</w:t>
            </w:r>
          </w:p>
        </w:tc>
        <w:tc>
          <w:tcPr>
            <w:tcW w:type="dxa" w:w="850"/>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tCO2e</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1.454,56</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5.706,08</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r>
      <w:tr>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GENEL TOPLAM</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tCO2e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3.148,43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6.899,86</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1.614,31</w:t>
            </w:r>
          </w:p>
        </w:tc>
      </w:tr>
    </w:tbl>
    <w:p>
      <w:pPr>
        <w:spacing w:before="120" w:after="0"/>
      </w:pPr>
    </w:p>
    <w:p>
      <w:pPr>
        <w:spacing w:before="360" w:after="120"/>
        <w:pBdr>
          <w:bottom w:val="single" w:sz="6" w:space="1" w:color="2E75B6"/>
        </w:pBdr>
      </w:pPr>
      <w:r>
        <w:rPr>
          <w:rFonts w:ascii="Arial" w:hAnsi="Arial"/>
          <w:b/>
          <w:color w:val="1F4E79"/>
          <w:sz w:val="28"/>
        </w:rPr>
        <w:t>BOLUM 7: ONERILER</w:t>
      </w:r>
    </w:p>
    <w:p>
      <w:pPr>
        <w:spacing w:before="40" w:after="40"/>
      </w:pPr>
      <w:r>
        <w:rPr>
          <w:rFonts w:ascii="Arial" w:hAnsi="Arial"/>
          <w:b w:val="0"/>
          <w:sz w:val="20"/>
        </w:rPr>
        <w:t>Emisyon azaltimi icin asagidaki stratejik oncelikler belirlenmistir:</w:t>
      </w:r>
    </w:p>
    <w:p>
      <w:pPr>
        <w:spacing w:before="120" w:after="0"/>
      </w:pPr>
    </w:p>
    <w:p>
      <w:pPr>
        <w:spacing w:before="240" w:after="80"/>
      </w:pPr>
      <w:r>
        <w:rPr>
          <w:rFonts w:ascii="Arial" w:hAnsi="Arial"/>
          <w:b/>
          <w:color w:val="2E75B6"/>
          <w:sz w:val="24"/>
        </w:rPr>
        <w:t>7.1. Emisyon Azaltimi</w:t>
      </w:r>
    </w:p>
    <w:p>
      <w:pPr>
        <w:spacing w:after="100"/>
        <w:ind w:left="567"/>
      </w:pPr>
      <w:r>
        <w:rPr>
          <w:b/>
          <w:color w:val="2E75B6"/>
          <w:sz w:val="20"/>
        </w:rPr>
        <w:t xml:space="preserve">Hizmet Alimlari (4.5): </w:t>
      </w:r>
      <w:r>
        <w:rPr>
          <w:sz w:val="20"/>
        </w:rPr>
        <w:t>Dusuk/sifir emisyonlu tasimacilarin tercih edilmesi.</w:t>
      </w:r>
    </w:p>
    <w:p>
      <w:pPr>
        <w:spacing w:after="100"/>
        <w:ind w:left="567"/>
      </w:pPr>
      <w:r>
        <w:rPr>
          <w:b/>
          <w:color w:val="2E75B6"/>
          <w:sz w:val="20"/>
        </w:rPr>
        <w:t xml:space="preserve">Satin Alinan Urunler (4.1): </w:t>
      </w:r>
      <w:r>
        <w:rPr>
          <w:sz w:val="20"/>
        </w:rPr>
        <w:t>Geri donusturulmus icerikli urunlere yonelim.</w:t>
      </w:r>
    </w:p>
    <w:p>
      <w:pPr>
        <w:spacing w:after="100"/>
        <w:ind w:left="567"/>
      </w:pPr>
      <w:r>
        <w:rPr>
          <w:b/>
          <w:color w:val="2E75B6"/>
          <w:sz w:val="20"/>
        </w:rPr>
        <w:t xml:space="preserve">Mobil Yanma (1.2): </w:t>
      </w:r>
      <w:r>
        <w:rPr>
          <w:sz w:val="20"/>
        </w:rPr>
        <w:t>Arac filosunda hibrit/elektrikli modellerin tercihi.</w:t>
      </w:r>
    </w:p>
    <w:p>
      <w:pPr>
        <w:spacing w:after="100"/>
        <w:ind w:left="567"/>
      </w:pPr>
      <w:r>
        <w:rPr>
          <w:b/>
          <w:color w:val="2E75B6"/>
          <w:sz w:val="20"/>
        </w:rPr>
        <w:t xml:space="preserve">Elektrik (2.1): </w:t>
      </w:r>
      <w:r>
        <w:rPr>
          <w:sz w:val="20"/>
        </w:rPr>
        <w:t>LED donusumu, otomasyon ve cati GES projeleri.</w:t>
      </w:r>
    </w:p>
    <w:p>
      <w:pPr>
        <w:spacing w:before="240" w:after="80"/>
      </w:pPr>
      <w:r>
        <w:rPr>
          <w:rFonts w:ascii="Arial" w:hAnsi="Arial"/>
          <w:b/>
          <w:color w:val="2E75B6"/>
          <w:sz w:val="24"/>
        </w:rPr>
        <w:t>7.2. SBTi Uyumlu Hedefleme</w:t>
      </w:r>
    </w:p>
    <w:p>
      <w:pPr>
        <w:spacing w:after="60"/>
        <w:ind w:left="567"/>
      </w:pPr>
      <w:r>
        <w:rPr>
          <w:rFonts w:ascii="Arial" w:hAnsi="Arial"/>
          <w:sz w:val="20"/>
        </w:rPr>
        <w:t>• Kapsam 1-2: Yillik %4,2 azaltim (10 yilda %42)</w:t>
      </w:r>
    </w:p>
    <w:p>
      <w:pPr>
        <w:spacing w:after="60"/>
        <w:ind w:left="567"/>
      </w:pPr>
      <w:r>
        <w:rPr>
          <w:rFonts w:ascii="Arial" w:hAnsi="Arial"/>
          <w:sz w:val="20"/>
        </w:rPr>
        <w:t>• Kapsam 3: Yillik %2,5 azaltim (10 yilda %25)</w:t>
      </w:r>
    </w:p>
    <w:p>
      <w:pPr>
        <w:spacing w:after="60"/>
        <w:ind w:left="567"/>
      </w:pPr>
      <w:r>
        <w:rPr>
          <w:rFonts w:ascii="Arial" w:hAnsi="Arial"/>
          <w:sz w:val="20"/>
        </w:rPr>
        <w:t>• Yenilenebilir elektrik kullanimi: Her yil %10 artis</w:t>
      </w:r>
    </w:p>
    <w:p>
      <w:pPr>
        <w:spacing w:after="60"/>
        <w:ind w:left="567"/>
      </w:pPr>
      <w:r>
        <w:rPr>
          <w:rFonts w:ascii="Arial" w:hAnsi="Arial"/>
          <w:sz w:val="20"/>
        </w:rPr>
        <w:t>• Arac filosu elektrifikasyonu icin yillik hedefler</w:t>
      </w:r>
    </w:p>
    <w:p>
      <w:r>
        <w:br w:type="page"/>
      </w:r>
    </w:p>
    <w:p>
      <w:pPr>
        <w:spacing w:before="360" w:after="120"/>
        <w:pBdr>
          <w:bottom w:val="single" w:sz="6" w:space="1" w:color="2E75B6"/>
        </w:pBdr>
      </w:pPr>
      <w:r>
        <w:rPr>
          <w:rFonts w:ascii="Arial" w:hAnsi="Arial"/>
          <w:b/>
          <w:color w:val="1F4E79"/>
          <w:sz w:val="28"/>
        </w:rPr>
        <w:t>BOLUM 8: METODOLOJI VE REFERANS TABLOLAR</w:t>
      </w:r>
    </w:p>
    <w:p>
      <w:pPr>
        <w:spacing w:before="40" w:after="40"/>
      </w:pPr>
      <w:r>
        <w:rPr>
          <w:rFonts w:ascii="Arial" w:hAnsi="Arial"/>
          <w:b w:val="0"/>
          <w:sz w:val="20"/>
        </w:rPr>
        <w:t>Bu bolumde hesaplamalarda kullanilan tum emisyon faktorleri, net kalorifik degerler ve GWP degerleri bir arada sunulmaktadir.</w:t>
      </w:r>
    </w:p>
    <w:p>
      <w:pPr>
        <w:spacing w:before="240" w:after="80"/>
      </w:pPr>
      <w:r>
        <w:rPr>
          <w:rFonts w:ascii="Arial" w:hAnsi="Arial"/>
          <w:b/>
          <w:color w:val="2E75B6"/>
          <w:sz w:val="24"/>
        </w:rPr>
        <w:t>8.1. Kullanilan Kaynaklar</w:t>
      </w:r>
    </w:p>
    <w:tbl>
      <w:tblPr>
        <w:tblStyle w:val="TableGrid"/>
        <w:tblW w:type="auto" w:w="0"/>
        <w:jc w:val="left"/>
        <w:tblLook w:firstColumn="1" w:firstRow="1" w:lastColumn="0" w:lastRow="0" w:noHBand="0" w:noVBand="1" w:val="04A0"/>
      </w:tblPr>
      <w:tblGrid>
        <w:gridCol w:w="3024"/>
        <w:gridCol w:w="3024"/>
        <w:gridCol w:w="3024"/>
      </w:tblGrid>
      <w:tr>
        <w:tc>
          <w:tcPr>
            <w:tcW w:type="dxa" w:w="4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Konu</w:t>
            </w:r>
          </w:p>
        </w:tc>
        <w:tc>
          <w:tcPr>
            <w:tcW w:type="dxa" w:w="5953"/>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Kaynak</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Uluslararasi Standart</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TS EN ISO 14064-1:2019</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Metodoloji</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GHG Protocol Corporate Standard (WRI/WBCSD)</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Yakit EF &amp; NCV</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2006 Guidelines Vol.2, Table 2.2</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GWP Degerleri</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AR6 2021, Table 7.SM.7</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5</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Elektrik Grid EF</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TC ETKB EVCEN Emisyon Faktorleri</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Tasimacilk EF</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UK DEFRA GHG Conversion Factors</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7</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Tedarik Zinciri EF</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US EPA USEEIO v1.2 (NAICS-6, 2021 USD)</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8</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Sogutma Gazi GWP</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AR6, Tablo 7.SM.7</w:t>
            </w:r>
          </w:p>
        </w:tc>
      </w:tr>
    </w:tbl>
    <w:p>
      <w:pPr>
        <w:spacing w:before="240" w:after="80"/>
      </w:pPr>
      <w:r>
        <w:rPr>
          <w:rFonts w:ascii="Arial" w:hAnsi="Arial"/>
          <w:b/>
          <w:color w:val="2E75B6"/>
          <w:sz w:val="24"/>
        </w:rPr>
        <w:t>8.2. Emisyon Faktorleri Tablosu</w:t>
      </w:r>
    </w:p>
    <w:p>
      <w:pPr>
        <w:spacing w:before="160" w:after="40"/>
      </w:pPr>
      <w:r>
        <w:rPr>
          <w:rFonts w:ascii="Arial" w:hAnsi="Arial"/>
          <w:b/>
          <w:color w:val="1F4E79"/>
          <w:sz w:val="18"/>
        </w:rPr>
        <w:t>Tablo EF-1. Kapsam 1 &amp; 2 Emisyon Faktorleri</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Kaynagi</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CO2</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CH4</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EF N2O</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Kutle%</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Kaynak</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Dogalgaz (Sabit Yanma)</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Kg/TJ</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56.100</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5</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Mazot (Sabit Yanma)</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Kg/TJ</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74.100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0,6</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Mazot (Mobil Yanma)</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Kg/TJ</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74.100</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3,9</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3,9</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 (Sabit Yanma)</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Kg/TJ</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69.300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0,6</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 (Mobil Yanma)</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Kg/TJ</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69.300</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25</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8</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Klima Sog. Gazi (Sizinti)</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Klima Sog. Gazi (Sarj)</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100%</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Sebil/Buz Dolabi (Sizinti)</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0,5%</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Yangin Tupu (Desarj/Sarj)</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100%</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Yangin Sondurme (Sizinti)</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(Konum Temelli)</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tCO2/MWh</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0,434-0,442</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 ETKB EVCEN</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T&amp;D Kayiplari</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tCO2/MWh</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Pazar-Konum</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 ETKB EVCEN</w:t>
            </w:r>
          </w:p>
        </w:tc>
      </w:tr>
    </w:tbl>
    <w:p>
      <w:pPr>
        <w:spacing w:before="240" w:after="80"/>
      </w:pPr>
      <w:r>
        <w:rPr>
          <w:rFonts w:ascii="Arial" w:hAnsi="Arial"/>
          <w:b/>
          <w:color w:val="2E75B6"/>
          <w:sz w:val="24"/>
        </w:rPr>
        <w:t>8.3. Net Kalorifik Deger (NKD) Tablosu</w:t>
      </w:r>
    </w:p>
    <w:p>
      <w:pPr>
        <w:spacing w:before="160" w:after="40"/>
      </w:pPr>
      <w:r>
        <w:rPr>
          <w:rFonts w:ascii="Arial" w:hAnsi="Arial"/>
          <w:b/>
          <w:color w:val="1F4E79"/>
          <w:sz w:val="18"/>
        </w:rPr>
        <w:t>Tablo EF-2. Yakit NKD ve Yogunluk Degerleri (IPCC 2006 GL)</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Yakit</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NKD</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NKD Birimi</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Yogunluk</w:t>
            </w:r>
          </w:p>
        </w:tc>
        <w:tc>
          <w:tcPr>
            <w:tcW w:type="dxa" w:w="21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Yogunluk Birimi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Dogalgaz</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m3</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48,0</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0,000717</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ton/m3</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Dizel/Mazot</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43,0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0,000832</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ton/L</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44,3</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0,000745</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ton/L</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LPG</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47,3</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0,000540</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ton/L</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Fuel Oil</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40,4</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0,000890</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ton/L</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Komur</w:t>
            </w:r>
          </w:p>
        </w:tc>
        <w:tc>
          <w:tcPr>
            <w:tcW w:type="dxa" w:w="85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11,9</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TJ/Gg</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1,0</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ton/ton</w:t>
            </w:r>
          </w:p>
        </w:tc>
      </w:tr>
    </w:tbl>
    <w:p>
      <w:pPr>
        <w:spacing w:before="240" w:after="80"/>
      </w:pPr>
      <w:r>
        <w:rPr>
          <w:rFonts w:ascii="Arial" w:hAnsi="Arial"/>
          <w:b/>
          <w:color w:val="2E75B6"/>
          <w:sz w:val="24"/>
        </w:rPr>
        <w:t>8.4. GWP-100 Degerleri (IPCC AR6 2021)</w:t>
      </w:r>
    </w:p>
    <w:p>
      <w:pPr>
        <w:spacing w:before="160" w:after="40"/>
      </w:pPr>
      <w:r>
        <w:rPr>
          <w:rFonts w:ascii="Arial" w:hAnsi="Arial"/>
          <w:b/>
          <w:color w:val="1F4E79"/>
          <w:sz w:val="18"/>
        </w:rPr>
        <w:t>Tablo EF-3. Sogutma Gazi GWP-100 Degerleri</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Formul</w:t>
            </w:r>
          </w:p>
        </w:tc>
        <w:tc>
          <w:tcPr>
            <w:tcW w:type="dxa" w:w="3402"/>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Gaz Adi</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GWP-100</w:t>
            </w:r>
          </w:p>
        </w:tc>
        <w:tc>
          <w:tcPr>
            <w:tcW w:type="dxa" w:w="21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Kaynak</w:t>
            </w:r>
          </w:p>
        </w:tc>
      </w:tr>
      <w:tr>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R410A</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HFC-410A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2.088</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R407c</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HFC-407C</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1.774</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R134A</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HFC-134a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1.526</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R32</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HFC-32</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771</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HFC236fa</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HFC-236fa</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8.060</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FM200/HFC-227ea</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HFC-227ea</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3.220</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R600A</w:t>
            </w:r>
          </w:p>
        </w:tc>
        <w:tc>
          <w:tcPr>
            <w:tcW w:type="dxa" w:w="3402"/>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Izobutan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w:t>
            </w:r>
          </w:p>
        </w:tc>
        <w:tc>
          <w:tcPr>
            <w:tcW w:type="dxa" w:w="21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FK-5-1-12</w:t>
            </w:r>
          </w:p>
        </w:tc>
        <w:tc>
          <w:tcPr>
            <w:tcW w:type="dxa" w:w="3402"/>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Novec 1230</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&lt; 1</w:t>
            </w:r>
          </w:p>
        </w:tc>
        <w:tc>
          <w:tcPr>
            <w:tcW w:type="dxa" w:w="21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bl>
    <w:p>
      <w:pPr>
        <w:spacing w:before="360" w:after="120"/>
        <w:pBdr>
          <w:bottom w:val="single" w:sz="6" w:space="1" w:color="2E75B6"/>
        </w:pBdr>
      </w:pPr>
      <w:r>
        <w:rPr>
          <w:rFonts w:ascii="Arial" w:hAnsi="Arial"/>
          <w:b/>
          <w:color w:val="1F4E79"/>
          <w:sz w:val="28"/>
        </w:rPr>
        <w:t>BOLUM 9: KISALTMALAR VE TANIMLAR</w:t>
      </w:r>
    </w:p>
    <w:tbl>
      <w:tblPr>
        <w:tblStyle w:val="TableGrid"/>
        <w:tblW w:type="auto" w:w="0"/>
        <w:jc w:val="left"/>
        <w:tblLook w:firstColumn="1" w:firstRow="1" w:lastColumn="0" w:lastRow="0" w:noHBand="0" w:noVBand="1" w:val="04A0"/>
      </w:tblPr>
      <w:tblGrid>
        <w:gridCol w:w="4536"/>
        <w:gridCol w:w="4536"/>
      </w:tblGrid>
      <w:tr>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Kisaltma</w:t>
            </w:r>
          </w:p>
        </w:tc>
        <w:tc>
          <w:tcPr>
            <w:tcW w:type="dxa" w:w="754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Aciklama</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CO2e</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Karbon Dioksit Esdegeri</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GHG</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Sera Gazlari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GWP</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Kuresel Isinma Potansiyeli</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IPCC</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Hukumetlerarasi Iklim Paneli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DEFRA</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BK Cevre Bakanligi</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EPA</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ABD Cevre Koruma Ajansi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USEEIO</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ABD Cevre Ekonomik Girdi-Cikti Modeli</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EVCEN</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TC ETKB Enerji Verimliligi ve Cevre</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NCV/NKD</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Net Kalorifik Deger</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Hidroflorokarbon</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T&amp;D</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Iletim ve Dagitim</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SBTi</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Bilim Bazli Hedefler Girisimi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CAPEX</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Nitelikli Harcamalar</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tCO2e</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Ton CO2 Esdegeri</w:t>
            </w:r>
          </w:p>
        </w:tc>
      </w:tr>
      <w:tr>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EF</w:t>
            </w:r>
          </w:p>
        </w:tc>
        <w:tc>
          <w:tcPr>
            <w:tcW w:type="dxa" w:w="754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Emisyon Faktoru</w:t>
            </w:r>
          </w:p>
        </w:tc>
      </w:tr>
      <w:tr>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FV</w:t>
            </w:r>
          </w:p>
        </w:tc>
        <w:tc>
          <w:tcPr>
            <w:tcW w:type="dxa" w:w="754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Faaliyet Verisi</w:t>
            </w:r>
          </w:p>
        </w:tc>
      </w:tr>
    </w:tbl>
    <w:sectPr w:rsidR="00FC693F" w:rsidRPr="0006063C" w:rsidSect="00034616">
      <w:headerReference w:type="default" r:id="rId12"/>
      <w:footerReference w:type="default" r:id="rId13"/>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5B6"/>
      </w:pBdr>
    </w:pPr>
    <w:r>
      <w:rPr>
        <w:color w:val="595959"/>
        <w:sz w:val="16"/>
      </w:rPr>
      <w:t xml:space="preserve">TS EN ISO 14064-1:2019  |  GHG Protocol  |  UNSPED 2025  |  Sayfa </w:t>
    </w:r>
    <w:r>
      <w:rPr>
        <w:sz w:val="16"/>
      </w:rPr>
      <w:fldChar w:fldCharType="begin"/>
    </w:r>
    <w:r>
      <w:instrText>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5B6"/>
      </w:pBdr>
    </w:pPr>
    <w:r>
      <w:rPr>
        <w:b/>
        <w:color w:val="1F4E79"/>
        <w:sz w:val="18"/>
      </w:rPr>
      <w:t>UNSPED</w:t>
    </w:r>
    <w:r>
      <w:rPr>
        <w:color w:val="595959"/>
        <w:sz w:val="18"/>
      </w:rPr>
      <w:t xml:space="preserve">  |  Kurumsal Karbon Ayak Izi Envanter Raporu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