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pPr>
    </w:p>
    <w:p>
      <w:pPr>
        <w:spacing w:before="280" w:after="0"/>
      </w:pPr>
    </w:p>
    <w:p>
      <w:pPr>
        <w:spacing w:before="280" w:after="0"/>
      </w:pPr>
    </w:p>
    <w:p>
      <w:pPr>
        <w:spacing w:before="280" w:after="0"/>
      </w:pPr>
    </w:p>
    <w:p>
      <w:pPr>
        <w:spacing w:before="280" w:after="0"/>
      </w:pPr>
    </w:p>
    <w:p>
      <w:pPr>
        <w:spacing w:before="280" w:after="0"/>
      </w:pPr>
    </w:p>
    <w:p>
      <w:pPr>
        <w:spacing w:before="280" w:after="0"/>
      </w:pPr>
    </w:p>
    <w:p>
      <w:pPr>
        <w:spacing w:before="280" w:after="0"/>
      </w:pPr>
    </w:p>
    <w:p>
      <w:pPr>
        <w:jc w:val="center"/>
      </w:pPr>
      <w:r>
        <w:rPr>
          <w:rFonts w:ascii="Arial" w:hAnsi="Arial"/>
          <w:b/>
          <w:color w:val="1F4E79"/>
          <w:sz w:val="72"/>
        </w:rPr>
        <w:t>UNSPED</w:t>
      </w:r>
    </w:p>
    <w:p>
      <w:pPr>
        <w:jc w:val="center"/>
      </w:pPr>
      <w:r>
        <w:rPr>
          <w:rFonts w:ascii="Arial" w:hAnsi="Arial"/>
          <w:color w:val="2E75B6"/>
          <w:sz w:val="26"/>
        </w:rPr>
        <w:t>Gümrük Müşavirliği ve Lojistik Hizmetler A.Ş.</w:t>
      </w:r>
    </w:p>
    <w:p>
      <w:pPr>
        <w:spacing w:before="240" w:after="0"/>
      </w:pPr>
    </w:p>
    <w:p>
      <w:pPr>
        <w:jc w:val="center"/>
        <w:pBdr>
          <w:bottom w:val="single" w:sz="12" w:space="1" w:color="2E75B6"/>
        </w:pBdr>
      </w:pPr>
    </w:p>
    <w:p>
      <w:pPr>
        <w:spacing w:before="320" w:after="0"/>
      </w:pPr>
    </w:p>
    <w:p>
      <w:pPr>
        <w:spacing w:after="80"/>
        <w:jc w:val="center"/>
      </w:pPr>
      <w:r>
        <w:rPr>
          <w:rFonts w:ascii="Arial" w:hAnsi="Arial"/>
          <w:b/>
          <w:color w:val="1F4E79"/>
          <w:sz w:val="44"/>
        </w:rPr>
        <w:t>Kurumsal Karbon Ayak İzi</w:t>
      </w:r>
    </w:p>
    <w:p>
      <w:pPr>
        <w:spacing w:after="80"/>
        <w:jc w:val="center"/>
      </w:pPr>
      <w:r>
        <w:rPr>
          <w:rFonts w:ascii="Arial" w:hAnsi="Arial"/>
          <w:b/>
          <w:color w:val="2E75B6"/>
          <w:sz w:val="44"/>
        </w:rPr>
        <w:t>Envanter Raporu</w:t>
      </w:r>
    </w:p>
    <w:p>
      <w:pPr>
        <w:spacing w:before="320" w:after="0"/>
      </w:pPr>
    </w:p>
    <w:p>
      <w:pPr>
        <w:spacing w:after="60"/>
        <w:jc w:val="center"/>
      </w:pPr>
      <w:r>
        <w:rPr>
          <w:rFonts w:ascii="Arial" w:hAnsi="Arial"/>
          <w:i w:val="0"/>
          <w:color w:val="595959"/>
          <w:sz w:val="28"/>
        </w:rPr>
        <w:t>2025 Yılı</w:t>
      </w:r>
    </w:p>
    <w:p>
      <w:pPr>
        <w:spacing w:after="60"/>
        <w:jc w:val="center"/>
      </w:pPr>
      <w:r>
        <w:rPr>
          <w:rFonts w:ascii="Arial" w:hAnsi="Arial"/>
          <w:i/>
          <w:color w:val="595959"/>
          <w:sz w:val="20"/>
        </w:rPr>
        <w:t>TS EN ISO 14064-1:2019 Standardı Kapsamında</w:t>
      </w:r>
    </w:p>
    <w:p>
      <w:pPr>
        <w:spacing w:after="60"/>
        <w:jc w:val="center"/>
      </w:pPr>
      <w:r>
        <w:rPr>
          <w:rFonts w:ascii="Arial" w:hAnsi="Arial"/>
          <w:i w:val="0"/>
          <w:color w:val="595959"/>
          <w:sz w:val="20"/>
        </w:rPr>
        <w:t>Raporlama Dönemi: 2025</w:t>
      </w:r>
    </w:p>
    <w:p>
      <w:pPr>
        <w:spacing w:after="60"/>
        <w:jc w:val="center"/>
      </w:pPr>
      <w:r>
        <w:rPr>
          <w:rFonts w:ascii="Arial" w:hAnsi="Arial"/>
          <w:i w:val="0"/>
          <w:color w:val="595959"/>
          <w:sz w:val="18"/>
        </w:rPr>
        <w:t>Hazırlanma Tarihi: 13.04.2026</w:t>
      </w:r>
    </w:p>
    <w:p>
      <w:r>
        <w:br w:type="page"/>
      </w:r>
    </w:p>
    <w:p>
      <w:pPr>
        <w:spacing w:before="360" w:after="120"/>
        <w:pBdr>
          <w:bottom w:val="single" w:sz="6" w:space="1" w:color="2E75B6"/>
        </w:pBdr>
      </w:pPr>
      <w:r>
        <w:rPr>
          <w:rFonts w:ascii="Arial" w:hAnsi="Arial"/>
          <w:b/>
          <w:color w:val="1F4E79"/>
          <w:sz w:val="28"/>
        </w:rPr>
        <w:t>GİRİŞ</w:t>
      </w:r>
    </w:p>
    <w:p>
      <w:pPr>
        <w:spacing w:before="40" w:after="40"/>
      </w:pPr>
      <w:r>
        <w:rPr>
          <w:rFonts w:ascii="Arial" w:hAnsi="Arial"/>
          <w:b w:val="0"/>
          <w:sz w:val="20"/>
        </w:rPr>
        <w:t>UNSPED Gümrük Müşavirliği ve Lojistik Hizmetler A.Ş. kuruluşundan bu yana müşterilerin ihtiyaçlarına beklentilerinin üzerinde yanıt verecek şekilde sürekli olarak teknolojik altyapı ve yeniliklere öncelik vermiştir.</w:t>
      </w:r>
    </w:p>
    <w:p>
      <w:pPr>
        <w:spacing w:before="120" w:after="0"/>
      </w:pPr>
    </w:p>
    <w:p>
      <w:pPr>
        <w:spacing w:before="40" w:after="40"/>
      </w:pPr>
      <w:r>
        <w:rPr>
          <w:rFonts w:ascii="Arial" w:hAnsi="Arial"/>
          <w:b w:val="0"/>
          <w:sz w:val="20"/>
        </w:rPr>
        <w:t>UNSPED olarak, çevresel sürdürülebilirlik ve sorumluluk bilinciyle hareket etmek amacıyla karbon ayak izinin doğru hesaplanması ve yönetilmesi büyük önem taşımaktadır. Bu Kurumsal Karbon Ayak İzi Envanter Raporu, UNSPED Genel Merkezi sera gazı emisyonlarını detaylı bir şekilde ortaya koymak amacıyla hazırlanmıştır.</w:t>
      </w:r>
    </w:p>
    <w:p>
      <w:pPr>
        <w:spacing w:before="120" w:after="0"/>
      </w:pPr>
    </w:p>
    <w:p>
      <w:pPr>
        <w:spacing w:before="40" w:after="40"/>
      </w:pPr>
      <w:r>
        <w:rPr>
          <w:rFonts w:ascii="Arial" w:hAnsi="Arial"/>
          <w:b w:val="0"/>
          <w:sz w:val="20"/>
        </w:rPr>
        <w:t>Bu rapor, sera gazı ile ilgili bilgilerin doğru ve adil bir hesaplama olmasını sağlamak için uygunluk, bütünlük, tutarlılık, doğruluk ve şeffaflık ilkelerini uygulayarak oluşturulmuştur.</w:t>
      </w:r>
    </w:p>
    <w:p>
      <w:r>
        <w:br w:type="page"/>
      </w:r>
    </w:p>
    <w:p>
      <w:pPr>
        <w:spacing w:before="360" w:after="120"/>
        <w:pBdr>
          <w:bottom w:val="single" w:sz="6" w:space="1" w:color="2E75B6"/>
        </w:pBdr>
      </w:pPr>
      <w:r>
        <w:rPr>
          <w:rFonts w:ascii="Arial" w:hAnsi="Arial"/>
          <w:b/>
          <w:color w:val="1F4E79"/>
          <w:sz w:val="28"/>
        </w:rPr>
        <w:t>BÖLÜM 1: RAPORUN AMAÇLARI VE TEKNİK BİLGİLER</w:t>
      </w:r>
    </w:p>
    <w:p>
      <w:pPr>
        <w:spacing w:before="240" w:after="80"/>
      </w:pPr>
      <w:r>
        <w:rPr>
          <w:rFonts w:ascii="Arial" w:hAnsi="Arial"/>
          <w:b/>
          <w:color w:val="2E75B6"/>
          <w:sz w:val="24"/>
        </w:rPr>
        <w:t>1.1. Şirket Profili</w:t>
      </w:r>
    </w:p>
    <w:p>
      <w:pPr>
        <w:spacing w:before="40" w:after="40"/>
      </w:pPr>
      <w:r>
        <w:rPr>
          <w:rFonts w:ascii="Arial" w:hAnsi="Arial"/>
          <w:b w:val="0"/>
          <w:sz w:val="20"/>
        </w:rPr>
        <w:t>UNSPED Gümrük Müşavirliği ve Lojistik Hizmetler A.Ş., müşterilerinin dış ticaret ve gümrük işlemlerindeki durumlarını analiz ederek riskleri ölçmek, değerlendirmek ve yönetmektedir. Müşterilerin tüm lojistik ve gümrük ihtiyaçlarına entegre çözümler sunar.</w:t>
      </w:r>
    </w:p>
    <w:p>
      <w:pPr>
        <w:spacing w:before="240" w:after="80"/>
      </w:pPr>
      <w:r>
        <w:rPr>
          <w:rFonts w:ascii="Arial" w:hAnsi="Arial"/>
          <w:b/>
          <w:color w:val="2E75B6"/>
          <w:sz w:val="24"/>
        </w:rPr>
        <w:t>1.2. Raporun Amacı</w:t>
      </w:r>
    </w:p>
    <w:p>
      <w:pPr>
        <w:spacing w:before="40" w:after="40"/>
      </w:pPr>
      <w:r>
        <w:rPr>
          <w:rFonts w:ascii="Arial" w:hAnsi="Arial"/>
          <w:b w:val="0"/>
          <w:sz w:val="20"/>
        </w:rPr>
        <w:t>Bu rapor TS EN ISO 14064-1:2019 standardı şartlarını esas alarak hazırlanmıştır. Çevresel sürdürülebilirlik kapsamındaki sorumluluğun yerine getirilmesi amacıyla oluşturulmuştur.</w:t>
      </w:r>
    </w:p>
    <w:p>
      <w:pPr>
        <w:spacing w:before="240" w:after="80"/>
      </w:pPr>
      <w:r>
        <w:rPr>
          <w:rFonts w:ascii="Arial" w:hAnsi="Arial"/>
          <w:b/>
          <w:color w:val="2E75B6"/>
          <w:sz w:val="24"/>
        </w:rPr>
        <w:t>1.3. Raporlama Periyodu</w:t>
      </w:r>
    </w:p>
    <w:p>
      <w:pPr>
        <w:spacing w:before="40" w:after="40"/>
      </w:pPr>
      <w:r>
        <w:rPr>
          <w:rFonts w:ascii="Arial" w:hAnsi="Arial"/>
          <w:b w:val="0"/>
          <w:sz w:val="20"/>
        </w:rPr>
        <w:t>Bu rapor 2025 yılı sera gazı emisyonlarını kapsar. Raporlar her bir takvim yılını kapsayacak şekilde yıllık olarak hazırlanır.</w:t>
      </w:r>
    </w:p>
    <w:p>
      <w:pPr>
        <w:spacing w:before="240" w:after="80"/>
      </w:pPr>
      <w:r>
        <w:rPr>
          <w:rFonts w:ascii="Arial" w:hAnsi="Arial"/>
          <w:b/>
          <w:color w:val="2E75B6"/>
          <w:sz w:val="24"/>
        </w:rPr>
        <w:t>1.4. Temel Yıl</w:t>
      </w:r>
    </w:p>
    <w:p>
      <w:pPr>
        <w:spacing w:before="40" w:after="40"/>
      </w:pPr>
      <w:r>
        <w:rPr>
          <w:rFonts w:ascii="Arial" w:hAnsi="Arial"/>
          <w:b w:val="0"/>
          <w:sz w:val="20"/>
        </w:rPr>
        <w:t>TS EN ISO 14064-1:2019 standardı kapsamında temel yıl olarak 2025 yılı belirlenmiştir.</w:t>
      </w:r>
    </w:p>
    <w:p>
      <w:pPr>
        <w:spacing w:before="240" w:after="80"/>
      </w:pPr>
      <w:r>
        <w:rPr>
          <w:rFonts w:ascii="Arial" w:hAnsi="Arial"/>
          <w:b/>
          <w:color w:val="2E75B6"/>
          <w:sz w:val="24"/>
        </w:rPr>
        <w:t>1.5. Hesaplama Metodolojisi</w:t>
      </w:r>
    </w:p>
    <w:p>
      <w:pPr>
        <w:spacing w:before="40" w:after="40"/>
      </w:pPr>
      <w:r>
        <w:rPr>
          <w:rFonts w:ascii="Arial" w:hAnsi="Arial"/>
          <w:b w:val="0"/>
          <w:sz w:val="20"/>
        </w:rPr>
        <w:t>Bu raporda emisyon faktörleri bazlı hesaplama metodolojisi kullanılmıştır. Kullanılan emisyon faktörleri; IPCC Rehber Dokümanları, Birleşik Krallık Hükümeti DEFRA Emisyon Faktörleri ve ABD EPA USEEIO veri tabanından elde edilmiştir. GWP değerleri IPCC AR6 2021 raporundan alınmıştır.</w:t>
      </w:r>
    </w:p>
    <w:p>
      <w:pPr>
        <w:spacing w:before="120" w:after="0"/>
      </w:pPr>
    </w:p>
    <w:p>
      <w:pPr>
        <w:spacing w:before="160" w:after="40"/>
      </w:pPr>
      <w:r>
        <w:rPr>
          <w:rFonts w:ascii="Arial" w:hAnsi="Arial"/>
          <w:b/>
          <w:color w:val="1F4E79"/>
          <w:sz w:val="18"/>
        </w:rPr>
        <w:t>Tablo 1. Emisyon Faktörleri Özeti</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28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Emisyon Faktörü</w:t>
            </w:r>
          </w:p>
        </w:tc>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Kaynak</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Doğalgaz (Sabit Yanma)</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m³</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56.100 kg CO₂/TJ + CH₄ + N₂O</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Mazot/Motorin</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74.100 kg CO₂/TJ + CH₄ + N₂O</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Benzin (Mobil Yanma)</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69.300 kg CO₂/TJ + CH₄ + N₂O</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2006 GL</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Soğutucu Gaz (Sızıntı)</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GWP × Kaçak Miktar</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Tüpü (Şarj)</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GWP × Şarj Miktarı</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(Konum)</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tCO₂/MWh</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0,434–0,442</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 ETKB EVÇED</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T&amp;D Kayıpları</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tCO₂/MWh</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Pazar EF − Konum EF</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 ETKB EVÇED</w:t>
            </w:r>
          </w:p>
        </w:tc>
      </w:tr>
      <w:tr>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Taşımacılık</w:t>
            </w:r>
          </w:p>
        </w:tc>
        <w:tc>
          <w:tcPr>
            <w:tcW w:type="dxa" w:w="1020"/>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 CO₂e/tkm</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Araç tipine göre</w:t>
            </w:r>
          </w:p>
        </w:tc>
        <w:tc>
          <w:tcPr>
            <w:tcW w:type="dxa" w:w="198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DEFRA</w:t>
            </w:r>
          </w:p>
        </w:tc>
      </w:tr>
      <w:tr>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Satın Alınan Ürün/Hizmet</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kg CO₂e/USD</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Sektör bazlı</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EPA USEEIO v1.2</w:t>
            </w:r>
          </w:p>
        </w:tc>
      </w:tr>
    </w:tbl>
    <w:p>
      <w:r>
        <w:br w:type="page"/>
      </w:r>
    </w:p>
    <w:p>
      <w:pPr>
        <w:spacing w:before="360" w:after="120"/>
        <w:pBdr>
          <w:bottom w:val="single" w:sz="6" w:space="1" w:color="2E75B6"/>
        </w:pBdr>
      </w:pPr>
      <w:r>
        <w:rPr>
          <w:rFonts w:ascii="Arial" w:hAnsi="Arial"/>
          <w:b/>
          <w:color w:val="1F4E79"/>
          <w:sz w:val="28"/>
        </w:rPr>
        <w:t>BÖLÜM 2: KURULUŞ SINIRLARI VE RAPORLAMA</w:t>
      </w:r>
    </w:p>
    <w:p>
      <w:pPr>
        <w:spacing w:before="40" w:after="40"/>
      </w:pPr>
      <w:r>
        <w:rPr>
          <w:rFonts w:ascii="Arial" w:hAnsi="Arial"/>
          <w:b w:val="0"/>
          <w:sz w:val="20"/>
        </w:rPr>
        <w:t>UNSPED Genel Merkezi sera gazı envanteri için kuruluş sınırları Operasyonel Kontrol Yaklaşımı ile belirlenmiştir.</w:t>
      </w:r>
    </w:p>
    <w:p>
      <w:pPr>
        <w:spacing w:before="120" w:after="0"/>
      </w:pPr>
    </w:p>
    <w:p>
      <w:pPr>
        <w:spacing w:before="160" w:after="40"/>
      </w:pPr>
      <w:r>
        <w:rPr>
          <w:rFonts w:ascii="Arial" w:hAnsi="Arial"/>
          <w:b/>
          <w:color w:val="1F4E79"/>
          <w:sz w:val="18"/>
        </w:rPr>
        <w:t>Tablo 2. Envantere Dahil Edilen Tesis</w:t>
      </w:r>
    </w:p>
    <w:tbl>
      <w:tblPr>
        <w:tblStyle w:val="TableGrid"/>
        <w:tblW w:type="auto" w:w="0"/>
        <w:jc w:val="left"/>
        <w:tblLook w:firstColumn="1" w:firstRow="1" w:lastColumn="0" w:lastRow="0" w:noHBand="0" w:noVBand="1" w:val="04A0"/>
      </w:tblPr>
      <w:tblGrid>
        <w:gridCol w:w="4536"/>
        <w:gridCol w:w="4536"/>
      </w:tblGrid>
      <w:tr>
        <w:tc>
          <w:tcPr>
            <w:tcW w:type="dxa" w:w="45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Tesis Adı</w:t>
            </w:r>
          </w:p>
        </w:tc>
        <w:tc>
          <w:tcPr>
            <w:tcW w:type="dxa" w:w="3969"/>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Adres</w:t>
            </w:r>
          </w:p>
        </w:tc>
      </w:tr>
      <w:tr>
        <w:tc>
          <w:tcPr>
            <w:tcW w:type="dxa" w:w="45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UNSPED Gümrük Müşavirliği ve Lojistik Hizmetler A.Ş. Genel Merkezi</w:t>
            </w:r>
          </w:p>
        </w:tc>
        <w:tc>
          <w:tcPr>
            <w:tcW w:type="dxa" w:w="3969"/>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Mahmutbey Mahallesi 2655 Sokak No:1-3-21, Bağcılar, İstanbul</w:t>
            </w:r>
          </w:p>
        </w:tc>
      </w:tr>
    </w:tbl>
    <w:p>
      <w:pPr>
        <w:spacing w:before="360" w:after="120"/>
        <w:pBdr>
          <w:bottom w:val="single" w:sz="6" w:space="1" w:color="2E75B6"/>
        </w:pBdr>
      </w:pPr>
      <w:r>
        <w:rPr>
          <w:rFonts w:ascii="Arial" w:hAnsi="Arial"/>
          <w:b/>
          <w:color w:val="1F4E79"/>
          <w:sz w:val="28"/>
        </w:rPr>
        <w:t>BÖLÜM 3: RAPORLAMA SINIRLARI</w:t>
      </w:r>
    </w:p>
    <w:p>
      <w:pPr>
        <w:spacing w:before="40" w:after="40"/>
      </w:pPr>
      <w:r>
        <w:rPr>
          <w:rFonts w:ascii="Arial" w:hAnsi="Arial"/>
          <w:b w:val="0"/>
          <w:sz w:val="20"/>
        </w:rPr>
        <w:t>Raporlama sınırları TS EN ISO 14064-1 standardı kapsamında aşağıdaki emisyon kategorilerini içermektedir:</w:t>
      </w:r>
    </w:p>
    <w:p>
      <w:pPr>
        <w:spacing w:before="120" w:after="0"/>
      </w:pPr>
    </w:p>
    <w:p>
      <w:pPr>
        <w:spacing w:after="60"/>
        <w:ind w:left="567"/>
      </w:pPr>
      <w:r>
        <w:rPr>
          <w:b/>
          <w:color w:val="1F4E79"/>
          <w:sz w:val="20"/>
        </w:rPr>
        <w:t xml:space="preserve">Kapsam 1 (Sınıf 1): </w:t>
      </w:r>
      <w:r>
        <w:rPr>
          <w:sz w:val="20"/>
        </w:rPr>
        <w:t>Doğrudan emisyonlar: sabit yakma (doğalgaz, motorin), mobil yanma (benzin, dizel), soğutucu gaz ve yangın söndürme sızıntıları/şarjları</w:t>
      </w:r>
    </w:p>
    <w:p>
      <w:pPr>
        <w:spacing w:after="60"/>
        <w:ind w:left="567"/>
      </w:pPr>
      <w:r>
        <w:rPr>
          <w:b/>
          <w:color w:val="1F4E79"/>
          <w:sz w:val="20"/>
        </w:rPr>
        <w:t xml:space="preserve">Kapsam 2 (Sınıf 2): </w:t>
      </w:r>
      <w:r>
        <w:rPr>
          <w:sz w:val="20"/>
        </w:rPr>
        <w:t>Enerji dolaylı emisyonlar: satın alınan şebeke elektriği (konum temelli)</w:t>
      </w:r>
    </w:p>
    <w:p>
      <w:pPr>
        <w:spacing w:after="60"/>
        <w:ind w:left="567"/>
      </w:pPr>
      <w:r>
        <w:rPr>
          <w:b/>
          <w:color w:val="1F4E79"/>
          <w:sz w:val="20"/>
        </w:rPr>
        <w:t xml:space="preserve">Kapsam 3 (Sınıf 3): </w:t>
      </w:r>
      <w:r>
        <w:rPr>
          <w:sz w:val="20"/>
        </w:rPr>
        <w:t>Ulaşım kaynaklı dolaylı: personel işe gidiş-geliş (3.3), iş seyahatleri (3.5)</w:t>
      </w:r>
    </w:p>
    <w:p>
      <w:pPr>
        <w:spacing w:after="60"/>
        <w:ind w:left="567"/>
      </w:pPr>
      <w:r>
        <w:rPr>
          <w:b/>
          <w:color w:val="1F4E79"/>
          <w:sz w:val="20"/>
        </w:rPr>
        <w:t xml:space="preserve">Kapsam 3 (Sınıf 4): </w:t>
      </w:r>
      <w:r>
        <w:rPr>
          <w:sz w:val="20"/>
        </w:rPr>
        <w:t>Ürün kaynaklı dolaylı: satın alınan mallar (4.1), sermaye varlıkları (4.2), atık bertarafı (4.3), hizmet alımları (4.5)</w:t>
      </w:r>
    </w:p>
    <w:p>
      <w:pPr>
        <w:spacing w:after="60"/>
        <w:ind w:left="567"/>
      </w:pPr>
      <w:r>
        <w:rPr>
          <w:b/>
          <w:color w:val="1F4E79"/>
          <w:sz w:val="20"/>
        </w:rPr>
        <w:t xml:space="preserve">Kapsam 3 (Sınıf 6): </w:t>
      </w:r>
      <w:r>
        <w:rPr>
          <w:sz w:val="20"/>
        </w:rPr>
        <w:t>Elektrik iletim ve dağıtım kayıpları (6.1) — konum temelli</w:t>
      </w:r>
    </w:p>
    <w:p>
      <w:r>
        <w:br w:type="page"/>
      </w:r>
    </w:p>
    <w:p>
      <w:pPr>
        <w:spacing w:before="360" w:after="120"/>
        <w:pBdr>
          <w:bottom w:val="single" w:sz="6" w:space="1" w:color="2E75B6"/>
        </w:pBdr>
      </w:pPr>
      <w:r>
        <w:rPr>
          <w:rFonts w:ascii="Arial" w:hAnsi="Arial"/>
          <w:b/>
          <w:color w:val="1F4E79"/>
          <w:sz w:val="28"/>
        </w:rPr>
        <w:t>BÖLÜM 4: SERA GAZI EMİSYONLARI</w:t>
      </w:r>
    </w:p>
    <w:p>
      <w:pPr>
        <w:spacing w:before="240" w:after="80"/>
      </w:pPr>
      <w:r>
        <w:rPr>
          <w:rFonts w:ascii="Arial" w:hAnsi="Arial"/>
          <w:b/>
          <w:color w:val="2E75B6"/>
          <w:sz w:val="24"/>
        </w:rPr>
        <w:t>4.1. Kapsam 1: Doğrudan Sera Gazı Emisyonları</w:t>
      </w:r>
    </w:p>
    <w:p>
      <w:pPr>
        <w:spacing w:before="40" w:after="40"/>
      </w:pPr>
      <w:r>
        <w:rPr>
          <w:rFonts w:ascii="Arial" w:hAnsi="Arial"/>
          <w:b w:val="0"/>
          <w:sz w:val="20"/>
        </w:rPr>
        <w:t>Kapsam 1 emisyonları şirketin sahip olduğu veya kontrol ettiği kaynaklardan doğrudan salınan sera gazlarını kapsar.</w:t>
      </w:r>
    </w:p>
    <w:p>
      <w:pPr>
        <w:spacing w:before="120" w:after="0"/>
      </w:pPr>
    </w:p>
    <w:p>
      <w:pPr>
        <w:spacing w:before="160" w:after="40"/>
      </w:pPr>
      <w:r>
        <w:rPr>
          <w:rFonts w:ascii="Arial" w:hAnsi="Arial"/>
          <w:b/>
          <w:color w:val="1F4E79"/>
          <w:sz w:val="22"/>
        </w:rPr>
        <w:t>4.1.1. Kapsam 1.1 — Sabit Yanma</w:t>
      </w:r>
    </w:p>
    <w:p>
      <w:pPr>
        <w:spacing w:before="160" w:after="40"/>
      </w:pPr>
      <w:r>
        <w:rPr>
          <w:rFonts w:ascii="Arial" w:hAnsi="Arial"/>
          <w:b/>
          <w:color w:val="1F4E79"/>
          <w:sz w:val="18"/>
        </w:rPr>
        <w:t>Tablo 3. Kapsam 1.1 Sabit Yanma Emisyonları (ton CO₂e)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Kod</w:t>
            </w:r>
          </w:p>
        </w:tc>
        <w:tc>
          <w:tcPr>
            <w:tcW w:type="dxa" w:w="226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1.1.1</w:t>
            </w:r>
          </w:p>
        </w:tc>
        <w:tc>
          <w:tcPr>
            <w:tcW w:type="dxa" w:w="226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Kombi (Doğalgaz)</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m³</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1.1.2</w:t>
            </w:r>
          </w:p>
        </w:tc>
        <w:tc>
          <w:tcPr>
            <w:tcW w:type="dxa" w:w="226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Jeneratörler (Motorin)</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1.1.3</w:t>
            </w:r>
          </w:p>
        </w:tc>
        <w:tc>
          <w:tcPr>
            <w:tcW w:type="dxa" w:w="226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Tatbikatı (Motorin)</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1.1.4</w:t>
            </w:r>
          </w:p>
        </w:tc>
        <w:tc>
          <w:tcPr>
            <w:tcW w:type="dxa" w:w="226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Yangın Tatbikatı (Benzin)</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2268"/>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1.1 TOPLAM</w:t>
            </w:r>
          </w:p>
        </w:tc>
        <w:tc>
          <w:tcPr>
            <w:tcW w:type="dxa" w:w="113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27,84</w:t>
            </w:r>
          </w:p>
        </w:tc>
      </w:tr>
    </w:tbl>
    <w:p>
      <w:pPr>
        <w:spacing w:before="120" w:after="0"/>
      </w:pPr>
    </w:p>
    <w:p>
      <w:pPr>
        <w:spacing w:before="160" w:after="40"/>
      </w:pPr>
      <w:r>
        <w:rPr>
          <w:rFonts w:ascii="Arial" w:hAnsi="Arial"/>
          <w:b/>
          <w:color w:val="1F4E79"/>
          <w:sz w:val="22"/>
        </w:rPr>
        <w:t>4.1.2. Kapsam 1.2 — Mobil Yanma (Araç Yakıtları)</w:t>
      </w:r>
    </w:p>
    <w:p>
      <w:pPr>
        <w:spacing w:before="160" w:after="40"/>
      </w:pPr>
      <w:r>
        <w:rPr>
          <w:rFonts w:ascii="Arial" w:hAnsi="Arial"/>
          <w:b/>
          <w:color w:val="1F4E79"/>
          <w:sz w:val="18"/>
        </w:rPr>
        <w:t>Tablo 4. Kapsam 1.2 Mobil Yanma Emisyonları (ton CO₂e)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Kod</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Yakıt</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1.2.1</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Benzin</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1.2.2</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Binek Araçlar</w:t>
            </w:r>
          </w:p>
        </w:tc>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Dizel</w:t>
            </w:r>
          </w:p>
        </w:tc>
        <w:tc>
          <w:tcPr>
            <w:tcW w:type="dxa" w:w="141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2551"/>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1.2 TOPLAM</w:t>
            </w:r>
          </w:p>
        </w:tc>
        <w:tc>
          <w:tcPr>
            <w:tcW w:type="dxa" w:w="113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589,43</w:t>
            </w:r>
          </w:p>
        </w:tc>
      </w:tr>
    </w:tbl>
    <w:p>
      <w:pPr>
        <w:spacing w:before="120" w:after="0"/>
      </w:pPr>
    </w:p>
    <w:p>
      <w:pPr>
        <w:spacing w:before="160" w:after="40"/>
      </w:pPr>
      <w:r>
        <w:rPr>
          <w:rFonts w:ascii="Arial" w:hAnsi="Arial"/>
          <w:b/>
          <w:color w:val="1F4E79"/>
          <w:sz w:val="22"/>
        </w:rPr>
        <w:t>4.1.3. Kapsam 1.4 — Soğutucu Gazlar ve Yangın Söndürme Sistemleri</w:t>
      </w:r>
    </w:p>
    <w:p>
      <w:pPr>
        <w:spacing w:before="40" w:after="40"/>
      </w:pPr>
      <w:r>
        <w:rPr>
          <w:rFonts w:ascii="Arial" w:hAnsi="Arial"/>
          <w:b w:val="0"/>
          <w:sz w:val="20"/>
        </w:rPr>
        <w:t>GWP değerleri IPCC AR6 2021 raporundan alınmıştır.</w:t>
      </w:r>
    </w:p>
    <w:p>
      <w:pPr>
        <w:spacing w:before="120" w:after="0"/>
      </w:pPr>
    </w:p>
    <w:p>
      <w:pPr>
        <w:spacing w:before="160" w:after="40"/>
      </w:pPr>
      <w:r>
        <w:rPr>
          <w:rFonts w:ascii="Arial" w:hAnsi="Arial"/>
          <w:b/>
          <w:color w:val="1F4E79"/>
          <w:sz w:val="18"/>
        </w:rPr>
        <w:t>Tablo 5. GWP-100 Değerleri (IPCC AR6 2021)</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Formül</w:t>
            </w:r>
          </w:p>
        </w:tc>
        <w:tc>
          <w:tcPr>
            <w:tcW w:type="dxa" w:w="28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Gaz Adı</w:t>
            </w:r>
          </w:p>
        </w:tc>
        <w:tc>
          <w:tcPr>
            <w:tcW w:type="dxa" w:w="170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GWP-100</w:t>
            </w:r>
          </w:p>
        </w:tc>
        <w:tc>
          <w:tcPr>
            <w:tcW w:type="dxa" w:w="272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Kaynak</w:t>
            </w:r>
          </w:p>
        </w:tc>
      </w:tr>
      <w:tr>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R410A</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HFC-410A</w:t>
            </w:r>
          </w:p>
        </w:tc>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2.088</w:t>
            </w:r>
          </w:p>
        </w:tc>
        <w:tc>
          <w:tcPr>
            <w:tcW w:type="dxa" w:w="272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R407c</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HFC-407C</w:t>
            </w:r>
          </w:p>
        </w:tc>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1.774</w:t>
            </w:r>
          </w:p>
        </w:tc>
        <w:tc>
          <w:tcPr>
            <w:tcW w:type="dxa" w:w="272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R134A</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HFC-134a</w:t>
            </w:r>
          </w:p>
        </w:tc>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1.526</w:t>
            </w:r>
          </w:p>
        </w:tc>
        <w:tc>
          <w:tcPr>
            <w:tcW w:type="dxa" w:w="272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R32</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HFC-32</w:t>
            </w:r>
          </w:p>
        </w:tc>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771</w:t>
            </w:r>
          </w:p>
        </w:tc>
        <w:tc>
          <w:tcPr>
            <w:tcW w:type="dxa" w:w="272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HFC236fa</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HFC-236fa</w:t>
            </w:r>
          </w:p>
        </w:tc>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8.060</w:t>
            </w:r>
          </w:p>
        </w:tc>
        <w:tc>
          <w:tcPr>
            <w:tcW w:type="dxa" w:w="272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FM200</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HFC-227ea</w:t>
            </w:r>
          </w:p>
        </w:tc>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3.220</w:t>
            </w:r>
          </w:p>
        </w:tc>
        <w:tc>
          <w:tcPr>
            <w:tcW w:type="dxa" w:w="272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R600A</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İzobütan</w:t>
            </w:r>
          </w:p>
        </w:tc>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4</w:t>
            </w:r>
          </w:p>
        </w:tc>
        <w:tc>
          <w:tcPr>
            <w:tcW w:type="dxa" w:w="272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r>
        <w:tc>
          <w:tcPr>
            <w:tcW w:type="dxa" w:w="113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FK-5-1-12</w:t>
            </w:r>
          </w:p>
        </w:tc>
        <w:tc>
          <w:tcPr>
            <w:tcW w:type="dxa" w:w="2835"/>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Novec 1230</w:t>
            </w:r>
          </w:p>
        </w:tc>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&lt; 1</w:t>
            </w:r>
          </w:p>
        </w:tc>
        <w:tc>
          <w:tcPr>
            <w:tcW w:type="dxa" w:w="272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IPCC AR6</w:t>
            </w:r>
          </w:p>
        </w:tc>
      </w:tr>
    </w:tbl>
    <w:p>
      <w:r>
        <w:br w:type="page"/>
      </w:r>
    </w:p>
    <w:p>
      <w:pPr>
        <w:spacing w:before="240" w:after="80"/>
      </w:pPr>
      <w:r>
        <w:rPr>
          <w:rFonts w:ascii="Arial" w:hAnsi="Arial"/>
          <w:b/>
          <w:color w:val="2E75B6"/>
          <w:sz w:val="24"/>
        </w:rPr>
        <w:t>4.2. Kapsam 2: Enerji Dolaylı Sera Gazı Emisyonları</w:t>
      </w:r>
    </w:p>
    <w:p>
      <w:pPr>
        <w:spacing w:before="40" w:after="40"/>
      </w:pPr>
      <w:r>
        <w:rPr>
          <w:rFonts w:ascii="Arial" w:hAnsi="Arial"/>
          <w:b w:val="0"/>
          <w:sz w:val="20"/>
        </w:rPr>
        <w:t>Kapsam 2 emisyonları satın alınan elektrik tüketiminden kaynaklanan dolaylı sera gazı emisyonlarını içerir. TC Enerji ve Tabii Kaynaklar Bakanlığı EVÇED ulusal şebeke emisyon faktörü kullanılmıştır (konum temelli yöntem).</w:t>
      </w:r>
    </w:p>
    <w:p>
      <w:pPr>
        <w:spacing w:before="120" w:after="0"/>
      </w:pPr>
    </w:p>
    <w:p>
      <w:pPr>
        <w:spacing w:before="160" w:after="40"/>
      </w:pPr>
      <w:r>
        <w:rPr>
          <w:rFonts w:ascii="Arial" w:hAnsi="Arial"/>
          <w:b/>
          <w:color w:val="1F4E79"/>
          <w:sz w:val="18"/>
        </w:rPr>
        <w:t>Tablo 6. Kapsam 2.1 Elektrik Tüketimi Emisyonları (ton CO₂e)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Kategori</w:t>
            </w:r>
          </w:p>
        </w:tc>
        <w:tc>
          <w:tcPr>
            <w:tcW w:type="dxa" w:w="311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2.1</w:t>
            </w:r>
          </w:p>
        </w:tc>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Tüketimi (Konum Temelli)</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tCO₂e</w:t>
            </w:r>
          </w:p>
        </w:tc>
        <w:tc>
          <w:tcPr>
            <w:tcW w:type="dxa" w:w="141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r>
      <w:tr>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3118"/>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KAPSAM 2 TOPLAM</w:t>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41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664,22</w:t>
            </w:r>
          </w:p>
        </w:tc>
      </w:tr>
    </w:tbl>
    <w:p>
      <w:pPr>
        <w:spacing w:before="120" w:after="0"/>
      </w:pPr>
    </w:p>
    <w:p>
      <w:pPr>
        <w:spacing w:before="240" w:after="80"/>
      </w:pPr>
      <w:r>
        <w:rPr>
          <w:rFonts w:ascii="Arial" w:hAnsi="Arial"/>
          <w:b/>
          <w:color w:val="2E75B6"/>
          <w:sz w:val="24"/>
        </w:rPr>
        <w:t>4.3. Kapsam 3: Diğer Dolaylı Emisyonlar</w:t>
      </w:r>
    </w:p>
    <w:p>
      <w:pPr>
        <w:spacing w:before="40" w:after="40"/>
      </w:pPr>
      <w:r>
        <w:rPr>
          <w:rFonts w:ascii="Arial" w:hAnsi="Arial"/>
          <w:b w:val="0"/>
          <w:sz w:val="20"/>
        </w:rPr>
        <w:t>Önemlilik eşiği olarak %95 kuralı uygulanmıştır. Aşağıdaki kategoriler önemlilik eşiğini aşan emisyon kaynaklarını içermektedir.</w:t>
      </w:r>
    </w:p>
    <w:p>
      <w:pPr>
        <w:spacing w:before="120" w:after="0"/>
      </w:pPr>
    </w:p>
    <w:p>
      <w:pPr>
        <w:spacing w:before="160" w:after="40"/>
      </w:pPr>
      <w:r>
        <w:rPr>
          <w:rFonts w:ascii="Arial" w:hAnsi="Arial"/>
          <w:b/>
          <w:color w:val="1F4E79"/>
          <w:sz w:val="18"/>
        </w:rPr>
        <w:t>Tablo 7. Kapsam 3 Emisyon Kategorileri (ton CO₂e)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Sınıf</w:t>
            </w:r>
          </w:p>
        </w:tc>
        <w:tc>
          <w:tcPr>
            <w:tcW w:type="dxa" w:w="311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30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Kaynak</w:t>
            </w:r>
          </w:p>
        </w:tc>
        <w:tc>
          <w:tcPr>
            <w:tcW w:type="dxa" w:w="124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3.3</w:t>
            </w:r>
          </w:p>
        </w:tc>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Personelin İşe Gidiş-Gelişleri</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IPCC/DEFRA</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151,94</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3.5</w:t>
            </w:r>
          </w:p>
        </w:tc>
        <w:tc>
          <w:tcPr>
            <w:tcW w:type="dxa" w:w="311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İş Seyahatleri</w:t>
            </w:r>
          </w:p>
        </w:tc>
        <w:tc>
          <w:tcPr>
            <w:tcW w:type="dxa" w:w="130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EPA/DEFRA</w:t>
            </w:r>
          </w:p>
        </w:tc>
        <w:tc>
          <w:tcPr>
            <w:tcW w:type="dxa" w:w="124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0,08</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4.1</w:t>
            </w:r>
          </w:p>
        </w:tc>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Satın Alınan Ürün ve Malzemeler</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 USEEIO</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4.2</w:t>
            </w:r>
          </w:p>
        </w:tc>
        <w:tc>
          <w:tcPr>
            <w:tcW w:type="dxa" w:w="311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Sermaye Niteliğindeki Varlıklar</w:t>
            </w:r>
          </w:p>
        </w:tc>
        <w:tc>
          <w:tcPr>
            <w:tcW w:type="dxa" w:w="130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 USEEIO</w:t>
            </w:r>
          </w:p>
        </w:tc>
        <w:tc>
          <w:tcPr>
            <w:tcW w:type="dxa" w:w="124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4.3</w:t>
            </w:r>
          </w:p>
        </w:tc>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Atık Bertarafı</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DEFRA</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4.5</w:t>
            </w:r>
          </w:p>
        </w:tc>
        <w:tc>
          <w:tcPr>
            <w:tcW w:type="dxa" w:w="3118"/>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Hizmet Alımları</w:t>
            </w:r>
          </w:p>
        </w:tc>
        <w:tc>
          <w:tcPr>
            <w:tcW w:type="dxa" w:w="130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EPA USEEIO</w:t>
            </w:r>
          </w:p>
        </w:tc>
        <w:tc>
          <w:tcPr>
            <w:tcW w:type="dxa" w:w="124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6.1</w:t>
            </w:r>
          </w:p>
        </w:tc>
        <w:tc>
          <w:tcPr>
            <w:tcW w:type="dxa" w:w="3118"/>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Elektrik T&amp;D Kayıpları</w:t>
            </w:r>
          </w:p>
        </w:tc>
        <w:tc>
          <w:tcPr>
            <w:tcW w:type="dxa" w:w="130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 ETKB EVÇED</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r>
          </w:p>
        </w:tc>
        <w:tc>
          <w:tcPr>
            <w:tcW w:type="dxa" w:w="3118"/>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843C0C"/>
                <w:sz w:val="18"/>
              </w:rPr>
              <w:t>KAPSAM 3 TOPLAM</w:t>
            </w:r>
          </w:p>
        </w:tc>
        <w:tc>
          <w:tcPr>
            <w:tcW w:type="dxa" w:w="130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843C0C"/>
                <w:sz w:val="18"/>
              </w:rPr>
            </w:r>
          </w:p>
        </w:tc>
        <w:tc>
          <w:tcPr>
            <w:tcW w:type="dxa" w:w="124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843C0C"/>
                <w:sz w:val="18"/>
              </w:rPr>
              <w:t>152,01</w:t>
            </w:r>
          </w:p>
        </w:tc>
      </w:tr>
    </w:tbl>
    <w:p>
      <w:pPr>
        <w:spacing w:before="120" w:after="0"/>
      </w:pPr>
    </w:p>
    <w:p>
      <w:pPr>
        <w:spacing w:before="240" w:after="80"/>
      </w:pPr>
      <w:r>
        <w:rPr>
          <w:rFonts w:ascii="Arial" w:hAnsi="Arial"/>
          <w:b/>
          <w:color w:val="2E75B6"/>
          <w:sz w:val="24"/>
        </w:rPr>
        <w:t>4.4. Kapsamlara Göre Sera Gazı Emisyonları</w:t>
      </w:r>
    </w:p>
    <w:p>
      <w:pPr>
        <w:spacing w:before="40" w:after="40"/>
      </w:pPr>
      <w:r>
        <w:rPr>
          <w:rFonts w:ascii="Arial" w:hAnsi="Arial"/>
          <w:b w:val="0"/>
          <w:sz w:val="20"/>
        </w:rPr>
        <w:t>2025 yılı toplam sera gazı emisyonu 1.614,31 tCO₂e olarak hesaplanmıştır.</w:t>
      </w:r>
    </w:p>
    <w:p>
      <w:pPr>
        <w:spacing w:before="120" w:after="0"/>
      </w:pPr>
    </w:p>
    <w:p>
      <w:pPr>
        <w:spacing w:before="160" w:after="40"/>
      </w:pPr>
      <w:r>
        <w:rPr>
          <w:rFonts w:ascii="Arial" w:hAnsi="Arial"/>
          <w:b/>
          <w:color w:val="1F4E79"/>
          <w:sz w:val="18"/>
        </w:rPr>
        <w:t>Tablo 8. Yıllara Göre GHG Emisyon Özeti (ton CO₂e)</w:t>
      </w:r>
    </w:p>
    <w:tbl>
      <w:tblPr>
        <w:tblStyle w:val="TableGrid"/>
        <w:tblW w:type="auto" w:w="0"/>
        <w:jc w:val="left"/>
        <w:tblLook w:firstColumn="1" w:firstRow="1" w:lastColumn="0" w:lastRow="0" w:noHBand="0" w:noVBand="1" w:val="04A0"/>
      </w:tblPr>
      <w:tblGrid>
        <w:gridCol w:w="3024"/>
        <w:gridCol w:w="3024"/>
        <w:gridCol w:w="3024"/>
      </w:tblGrid>
      <w:tr>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Açıklama</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1</w:t>
            </w:r>
          </w:p>
        </w:tc>
        <w:tc>
          <w:tcPr>
            <w:tcW w:type="dxa" w:w="2551"/>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Kapsam 1 — Doğrudan Emisyonlar</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r>
      <w:tr>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2</w:t>
            </w:r>
          </w:p>
        </w:tc>
        <w:tc>
          <w:tcPr>
            <w:tcW w:type="dxa" w:w="2551"/>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Kapsam 2 — Enerji Dolaylı Emisyonlar</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r>
      <w:tr>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3</w:t>
            </w:r>
          </w:p>
        </w:tc>
        <w:tc>
          <w:tcPr>
            <w:tcW w:type="dxa" w:w="2551"/>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Kapsam 3 — Diğer Dolaylı Emisyonlar</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r>
      <w:tr>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GENEL TOPLAM</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 1+2+3</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1.614,31</w:t>
            </w:r>
          </w:p>
        </w:tc>
      </w:tr>
    </w:tbl>
    <w:p>
      <w:pPr>
        <w:spacing w:before="120" w:after="0"/>
      </w:pPr>
    </w:p>
    <w:p>
      <w:pPr>
        <w:spacing w:before="240" w:after="80"/>
      </w:pPr>
      <w:r>
        <w:rPr>
          <w:rFonts w:ascii="Arial" w:hAnsi="Arial"/>
          <w:b/>
          <w:color w:val="2E75B6"/>
          <w:sz w:val="24"/>
        </w:rPr>
        <w:t>4.5. Kapsam 3 Emisyon Analizi — %95 Önemlilik Eşiği</w:t>
      </w:r>
    </w:p>
    <w:p>
      <w:pPr>
        <w:spacing w:before="40" w:after="40"/>
      </w:pPr>
      <w:r>
        <w:rPr>
          <w:rFonts w:ascii="Arial" w:hAnsi="Arial"/>
          <w:b w:val="0"/>
          <w:sz w:val="20"/>
        </w:rPr>
        <w:t>2025 yılı Kapsam 3 emisyonlarının %95'ini oluşturan kritik kaynaklar öncelik sırasıyla aşağıda verilmiştir. Toplam Kapsam 3: 152,01 tCO₂e</w:t>
      </w:r>
    </w:p>
    <w:p>
      <w:pPr>
        <w:spacing w:before="120" w:after="0"/>
      </w:pPr>
    </w:p>
    <w:p>
      <w:pPr>
        <w:spacing w:before="160" w:after="40"/>
      </w:pPr>
      <w:r>
        <w:rPr>
          <w:rFonts w:ascii="Arial" w:hAnsi="Arial"/>
          <w:b/>
          <w:color w:val="1F4E79"/>
          <w:sz w:val="18"/>
        </w:rPr>
        <w:t>Tablo 9. 2025 Kapsam 3 Etki Analizi (ton CO₂e)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4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Sıra</w:t>
            </w:r>
          </w:p>
        </w:tc>
        <w:tc>
          <w:tcPr>
            <w:tcW w:type="dxa" w:w="2835"/>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Emisyon Kaynağı</w:t>
            </w:r>
          </w:p>
        </w:tc>
        <w:tc>
          <w:tcPr>
            <w:tcW w:type="dxa" w:w="124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CO₂e (ton)</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Pay (%)</w:t>
            </w:r>
          </w:p>
        </w:tc>
        <w:tc>
          <w:tcPr>
            <w:tcW w:type="dxa" w:w="124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Kümülatif (%)</w:t>
            </w:r>
          </w:p>
        </w:tc>
        <w:tc>
          <w:tcPr>
            <w:tcW w:type="dxa" w:w="158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Durum</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Personel Ulaşım</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151,94</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%99.9</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%99.9</w:t>
            </w:r>
          </w:p>
        </w:tc>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595959"/>
                <w:sz w:val="18"/>
              </w:rPr>
              <w:t>—</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w:t>
            </w:r>
          </w:p>
        </w:tc>
        <w:tc>
          <w:tcPr>
            <w:tcW w:type="dxa" w:w="2835"/>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Uçak &amp; Konaklama</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0,08</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%0.1</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%100.0</w:t>
            </w:r>
          </w:p>
        </w:tc>
        <w:tc>
          <w:tcPr>
            <w:tcW w:type="dxa" w:w="158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color w:val="595959"/>
                <w:sz w:val="18"/>
              </w:rPr>
              <w:t>—</w:t>
            </w:r>
          </w:p>
        </w:tc>
      </w:tr>
      <w:tr>
        <w:tc>
          <w:tcPr>
            <w:tcW w:type="dxa" w:w="454"/>
            <w:vAlign w:val="center"/>
            <w:shd w:val="clear" w:color="auto" w:fill="843C0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 %95 EŞİĞİ — Yukarıdaki kaynaklar Kapsam 3'ün %95'ini oluşturmaktadır</w:t>
            </w:r>
          </w:p>
        </w:tc>
        <w:tc>
          <w:tcPr>
            <w:tcW w:type="dxa" w:w="2835"/>
            <w:vAlign w:val="center"/>
            <w:shd w:val="clear" w:color="auto" w:fill="843C0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247"/>
            <w:vAlign w:val="center"/>
            <w:shd w:val="clear" w:color="auto" w:fill="843C0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020"/>
            <w:vAlign w:val="center"/>
            <w:shd w:val="clear" w:color="auto" w:fill="843C0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247"/>
            <w:vAlign w:val="center"/>
            <w:shd w:val="clear" w:color="auto" w:fill="843C0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c>
          <w:tcPr>
            <w:tcW w:type="dxa" w:w="1587"/>
            <w:vAlign w:val="center"/>
            <w:shd w:val="clear" w:color="auto" w:fill="843C0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r>
          </w:p>
        </w:tc>
      </w:tr>
    </w:tbl>
    <w:p>
      <w:pPr>
        <w:spacing w:before="120" w:after="0"/>
      </w:pPr>
    </w:p>
    <w:p>
      <w:pPr>
        <w:spacing w:before="40" w:after="40"/>
      </w:pPr>
      <w:r>
        <w:rPr>
          <w:rFonts w:ascii="Arial" w:hAnsi="Arial"/>
          <w:b w:val="0"/>
          <w:color w:val="595959"/>
          <w:sz w:val="20"/>
        </w:rPr>
        <w:t>Not: Turuncu zemin — Kapsam 3 emisyonlarının %95'ini oluşturan kritik kaynaklar.</w:t>
      </w:r>
    </w:p>
    <w:p>
      <w:r>
        <w:br w:type="page"/>
      </w:r>
    </w:p>
    <w:p>
      <w:pPr>
        <w:spacing w:before="240" w:after="80"/>
      </w:pPr>
      <w:r>
        <w:rPr>
          <w:rFonts w:ascii="Arial" w:hAnsi="Arial"/>
          <w:b/>
          <w:color w:val="2E75B6"/>
          <w:sz w:val="24"/>
        </w:rPr>
        <w:t>4.6. Kişi Bazlı Emisyon Yoğunluğu</w:t>
      </w:r>
    </w:p>
    <w:p>
      <w:pPr>
        <w:spacing w:before="40" w:after="40"/>
      </w:pPr>
      <w:r>
        <w:rPr>
          <w:rFonts w:ascii="Arial" w:hAnsi="Arial"/>
          <w:b w:val="0"/>
          <w:sz w:val="20"/>
        </w:rPr>
        <w:t>Emisyon yoğunluğu için spesifik metrik, 12 aylık ortalama çalışan sayısına göre kişi başına emisyon (ton CO₂e/kişi) olarak tanımlanmıştır.</w:t>
      </w:r>
    </w:p>
    <w:p>
      <w:pPr>
        <w:spacing w:before="120" w:after="0"/>
      </w:pPr>
    </w:p>
    <w:p>
      <w:pPr>
        <w:spacing w:before="160" w:after="40"/>
      </w:pPr>
      <w:r>
        <w:rPr>
          <w:rFonts w:ascii="Arial" w:hAnsi="Arial"/>
          <w:b/>
          <w:color w:val="1F4E79"/>
          <w:sz w:val="18"/>
        </w:rPr>
        <w:t>Tablo 10. Kişi Başına Emisyon Yoğunluğu (ton CO₂e/kişi)</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56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Yıl</w:t>
            </w:r>
          </w:p>
        </w:tc>
        <w:tc>
          <w:tcPr>
            <w:tcW w:type="dxa" w:w="198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Lokasyon</w:t>
            </w:r>
          </w:p>
        </w:tc>
        <w:tc>
          <w:tcPr>
            <w:tcW w:type="dxa" w:w="85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Personel</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 1</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 2</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Kapsam 3</w:t>
            </w:r>
          </w:p>
        </w:tc>
        <w:tc>
          <w:tcPr>
            <w:tcW w:type="dxa" w:w="124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Toplam (tCO₂e)</w:t>
            </w:r>
          </w:p>
        </w:tc>
        <w:tc>
          <w:tcPr>
            <w:tcW w:type="dxa" w:w="1020"/>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tCO₂e/Kişi</w:t>
            </w:r>
          </w:p>
        </w:tc>
      </w:tr>
      <w:tr>
        <w:tc>
          <w:tcPr>
            <w:tcW w:type="dxa" w:w="56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2025</w:t>
            </w:r>
          </w:p>
        </w:tc>
        <w:tc>
          <w:tcPr>
            <w:tcW w:type="dxa" w:w="198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Genel Müdürlük</w:t>
            </w:r>
          </w:p>
        </w:tc>
        <w:tc>
          <w:tcPr>
            <w:tcW w:type="dxa" w:w="85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756</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c>
          <w:tcPr>
            <w:tcW w:type="dxa" w:w="124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1.614,31</w:t>
            </w:r>
          </w:p>
        </w:tc>
        <w:tc>
          <w:tcPr>
            <w:tcW w:type="dxa" w:w="1020"/>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2,14</w:t>
            </w:r>
          </w:p>
        </w:tc>
      </w:tr>
      <w:tr>
        <w:tc>
          <w:tcPr>
            <w:tcW w:type="dxa" w:w="56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sz w:val="18"/>
              </w:rPr>
              <w:t>2025</w:t>
            </w:r>
          </w:p>
        </w:tc>
        <w:tc>
          <w:tcPr>
            <w:tcW w:type="dxa" w:w="1984"/>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ŞİRKET TOPLAMI (2025)</w:t>
            </w:r>
          </w:p>
        </w:tc>
        <w:tc>
          <w:tcPr>
            <w:tcW w:type="dxa" w:w="85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756</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c>
          <w:tcPr>
            <w:tcW w:type="dxa" w:w="1247"/>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1.614,31</w:t>
            </w:r>
          </w:p>
        </w:tc>
        <w:tc>
          <w:tcPr>
            <w:tcW w:type="dxa" w:w="1020"/>
            <w:vAlign w:val="center"/>
            <w:shd w:val="clear" w:color="auto" w:fill="FFF2CC"/>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sz w:val="18"/>
              </w:rPr>
              <w:t>2,14</w:t>
            </w:r>
          </w:p>
        </w:tc>
      </w:tr>
    </w:tbl>
    <w:p>
      <w:pPr>
        <w:spacing w:before="120" w:after="0"/>
      </w:pPr>
    </w:p>
    <w:p>
      <w:pPr>
        <w:spacing w:before="360" w:after="120"/>
        <w:pBdr>
          <w:bottom w:val="single" w:sz="6" w:space="1" w:color="2E75B6"/>
        </w:pBdr>
      </w:pPr>
      <w:r>
        <w:rPr>
          <w:rFonts w:ascii="Arial" w:hAnsi="Arial"/>
          <w:b/>
          <w:color w:val="1F4E79"/>
          <w:sz w:val="28"/>
        </w:rPr>
        <w:t>BÖLÜM 6: SONUÇ</w:t>
      </w:r>
    </w:p>
    <w:p>
      <w:pPr>
        <w:spacing w:before="40" w:after="40"/>
      </w:pPr>
      <w:r>
        <w:rPr>
          <w:rFonts w:ascii="Arial" w:hAnsi="Arial"/>
          <w:b w:val="0"/>
          <w:sz w:val="20"/>
        </w:rPr>
        <w:t>2025 toplam emisyonu 1.614,31 tCO₂e olarak hesaplanmıştır.</w:t>
      </w:r>
    </w:p>
    <w:p>
      <w:pPr>
        <w:spacing w:before="120" w:after="0"/>
      </w:pPr>
    </w:p>
    <w:p>
      <w:pPr>
        <w:spacing w:before="160" w:after="40"/>
      </w:pPr>
      <w:r>
        <w:rPr>
          <w:rFonts w:ascii="Arial" w:hAnsi="Arial"/>
          <w:b/>
          <w:color w:val="1F4E79"/>
          <w:sz w:val="18"/>
        </w:rPr>
        <w:t>Tablo 12. Emisyon Sonuç Tablosu</w:t>
      </w:r>
    </w:p>
    <w:tbl>
      <w:tblPr>
        <w:tblStyle w:val="TableGrid"/>
        <w:tblW w:type="auto" w:w="0"/>
        <w:jc w:val="left"/>
        <w:tblLook w:firstColumn="1" w:firstRow="1" w:lastColumn="0" w:lastRow="0" w:noHBand="0" w:noVBand="1" w:val="04A0"/>
      </w:tblPr>
      <w:tblGrid>
        <w:gridCol w:w="3024"/>
        <w:gridCol w:w="3024"/>
        <w:gridCol w:w="3024"/>
      </w:tblGrid>
      <w:tr>
        <w:tc>
          <w:tcPr>
            <w:tcW w:type="dxa" w:w="226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Kapsam</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Birim</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2025</w:t>
            </w:r>
          </w:p>
        </w:tc>
      </w:tr>
      <w:tr>
        <w:tc>
          <w:tcPr>
            <w:tcW w:type="dxa" w:w="2268"/>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1 — Doğrudan Emisyonlar</w:t>
            </w:r>
          </w:p>
        </w:tc>
        <w:tc>
          <w:tcPr>
            <w:tcW w:type="dxa" w:w="1134"/>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tCO₂e</w:t>
            </w:r>
          </w:p>
        </w:tc>
        <w:tc>
          <w:tcPr>
            <w:tcW w:type="dxa" w:w="1417"/>
            <w:vAlign w:val="center"/>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798,08</w:t>
            </w:r>
          </w:p>
        </w:tc>
      </w:tr>
      <w:tr>
        <w:tc>
          <w:tcPr>
            <w:tcW w:type="dxa" w:w="2268"/>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2 — Enerji Dolaylı Emisyonlar</w:t>
            </w:r>
          </w:p>
        </w:tc>
        <w:tc>
          <w:tcPr>
            <w:tcW w:type="dxa" w:w="1134"/>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tCO₂e</w:t>
            </w:r>
          </w:p>
        </w:tc>
        <w:tc>
          <w:tcPr>
            <w:tcW w:type="dxa" w:w="1417"/>
            <w:vAlign w:val="center"/>
            <w:shd w:val="clear" w:color="auto" w:fill="E2EFD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664,22</w:t>
            </w:r>
          </w:p>
        </w:tc>
      </w:tr>
      <w:tr>
        <w:tc>
          <w:tcPr>
            <w:tcW w:type="dxa" w:w="2268"/>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1F4E79"/>
                <w:sz w:val="18"/>
              </w:rPr>
              <w:t>Kapsam 3 — Diğer Dolaylı Emisyonlar</w:t>
            </w:r>
          </w:p>
        </w:tc>
        <w:tc>
          <w:tcPr>
            <w:tcW w:type="dxa" w:w="1134"/>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6"/>
              </w:rPr>
              <w:t>tCO₂e</w:t>
            </w:r>
          </w:p>
        </w:tc>
        <w:tc>
          <w:tcPr>
            <w:tcW w:type="dxa" w:w="1417"/>
            <w:vAlign w:val="center"/>
            <w:shd w:val="clear" w:color="auto" w:fill="FFF8EB"/>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val="0"/>
                <w:i w:val="0"/>
                <w:sz w:val="18"/>
              </w:rPr>
              <w:t>152,01</w:t>
            </w:r>
          </w:p>
        </w:tc>
      </w:tr>
      <w:tr>
        <w:tc>
          <w:tcPr>
            <w:tcW w:type="dxa" w:w="2268"/>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GENEL TOPLAM</w:t>
            </w:r>
          </w:p>
        </w:tc>
        <w:tc>
          <w:tcPr>
            <w:tcW w:type="dxa" w:w="113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tCO₂e</w:t>
            </w:r>
          </w:p>
        </w:tc>
        <w:tc>
          <w:tcPr>
            <w:tcW w:type="dxa" w:w="141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right"/>
            </w:pPr>
            <w:r>
              <w:rPr>
                <w:rFonts w:ascii="Arial" w:hAnsi="Arial"/>
                <w:b/>
                <w:i w:val="0"/>
                <w:color w:val="FFFFFF"/>
                <w:sz w:val="18"/>
              </w:rPr>
              <w:t>1.614,31</w:t>
            </w:r>
          </w:p>
        </w:tc>
      </w:tr>
    </w:tbl>
    <w:p>
      <w:pPr>
        <w:spacing w:before="120" w:after="0"/>
      </w:pPr>
    </w:p>
    <w:p>
      <w:pPr>
        <w:spacing w:before="360" w:after="120"/>
        <w:pBdr>
          <w:bottom w:val="single" w:sz="6" w:space="1" w:color="2E75B6"/>
        </w:pBdr>
      </w:pPr>
      <w:r>
        <w:rPr>
          <w:rFonts w:ascii="Arial" w:hAnsi="Arial"/>
          <w:b/>
          <w:color w:val="1F4E79"/>
          <w:sz w:val="28"/>
        </w:rPr>
        <w:t>BÖLÜM 7: ÖNERİLER</w:t>
      </w:r>
    </w:p>
    <w:p>
      <w:pPr>
        <w:spacing w:before="40" w:after="40"/>
      </w:pPr>
      <w:r>
        <w:rPr>
          <w:rFonts w:ascii="Arial" w:hAnsi="Arial"/>
          <w:b w:val="0"/>
          <w:sz w:val="20"/>
        </w:rPr>
        <w:t>Emisyon azaltımı için aşağıdaki stratejik öncelikler belirlenmiştir:</w:t>
      </w:r>
    </w:p>
    <w:p>
      <w:pPr>
        <w:spacing w:before="120" w:after="0"/>
      </w:pPr>
    </w:p>
    <w:p>
      <w:pPr>
        <w:spacing w:before="240" w:after="80"/>
      </w:pPr>
      <w:r>
        <w:rPr>
          <w:rFonts w:ascii="Arial" w:hAnsi="Arial"/>
          <w:b/>
          <w:color w:val="2E75B6"/>
          <w:sz w:val="24"/>
        </w:rPr>
        <w:t>7.1. Emisyon Azaltımı</w:t>
      </w:r>
    </w:p>
    <w:p>
      <w:pPr>
        <w:spacing w:after="80"/>
        <w:ind w:left="567"/>
      </w:pPr>
      <w:r>
        <w:rPr>
          <w:b/>
          <w:color w:val="2E75B6"/>
          <w:sz w:val="20"/>
        </w:rPr>
        <w:t xml:space="preserve">Hizmet Alımları (4.5): </w:t>
      </w:r>
      <w:r>
        <w:rPr>
          <w:sz w:val="20"/>
        </w:rPr>
        <w:t>Düşük/sıfır emisyonlu taşımacılık sağlayıcılarının tercih edilmesi. Doluluk oranı optimizasyonu ve karbonu hesaplayan firmalarla çalışılması.</w:t>
      </w:r>
    </w:p>
    <w:p>
      <w:pPr>
        <w:spacing w:after="80"/>
        <w:ind w:left="567"/>
      </w:pPr>
      <w:r>
        <w:rPr>
          <w:b/>
          <w:color w:val="2E75B6"/>
          <w:sz w:val="20"/>
        </w:rPr>
        <w:t xml:space="preserve">Satın Alınan Ürünler (4.1): </w:t>
      </w:r>
      <w:r>
        <w:rPr>
          <w:sz w:val="20"/>
        </w:rPr>
        <w:t>Geri dönüştürülmüş içerikli ürünlere yönelim. Gömülü emisyon verisi olan tedarikçilerle çalışılması.</w:t>
      </w:r>
    </w:p>
    <w:p>
      <w:pPr>
        <w:spacing w:after="80"/>
        <w:ind w:left="567"/>
      </w:pPr>
      <w:r>
        <w:rPr>
          <w:b/>
          <w:color w:val="2E75B6"/>
          <w:sz w:val="20"/>
        </w:rPr>
        <w:t xml:space="preserve">Mobil Yanma (1.2): </w:t>
      </w:r>
      <w:r>
        <w:rPr>
          <w:sz w:val="20"/>
        </w:rPr>
        <w:t>Araç filosunun yenilenmesinde hibrit/elektrikli modellerin tercih edilmesi. Telematik sistemlerle ekonomik sürüş takibi.</w:t>
      </w:r>
    </w:p>
    <w:p>
      <w:pPr>
        <w:spacing w:after="80"/>
        <w:ind w:left="567"/>
      </w:pPr>
      <w:r>
        <w:rPr>
          <w:b/>
          <w:color w:val="2E75B6"/>
          <w:sz w:val="20"/>
        </w:rPr>
        <w:t xml:space="preserve">Elektrik (2.1): </w:t>
      </w:r>
      <w:r>
        <w:rPr>
          <w:sz w:val="20"/>
        </w:rPr>
        <w:t>LED dönüşümü ve otomasyon sistemleri. Çatı GES projeleri ve yenilenebilir elektrik kullanımının artırılması.</w:t>
      </w:r>
    </w:p>
    <w:p>
      <w:pPr>
        <w:spacing w:before="240" w:after="80"/>
      </w:pPr>
      <w:r>
        <w:rPr>
          <w:rFonts w:ascii="Arial" w:hAnsi="Arial"/>
          <w:b/>
          <w:color w:val="2E75B6"/>
          <w:sz w:val="24"/>
        </w:rPr>
        <w:t>7.2. SBTi Uyumlu Hedefleme</w:t>
      </w:r>
    </w:p>
    <w:p>
      <w:pPr>
        <w:spacing w:after="60"/>
        <w:ind w:left="567"/>
      </w:pPr>
      <w:r>
        <w:rPr>
          <w:sz w:val="20"/>
        </w:rPr>
        <w:t>• Kapsam 1–2: Yıllık %4,2 azaltım (10 yılda %42)</w:t>
      </w:r>
    </w:p>
    <w:p>
      <w:pPr>
        <w:spacing w:after="60"/>
        <w:ind w:left="567"/>
      </w:pPr>
      <w:r>
        <w:rPr>
          <w:sz w:val="20"/>
        </w:rPr>
        <w:t>• Kapsam 3: Yıllık %2,5 azaltım (10 yılda %25)</w:t>
      </w:r>
    </w:p>
    <w:p>
      <w:pPr>
        <w:spacing w:after="60"/>
        <w:ind w:left="567"/>
      </w:pPr>
      <w:r>
        <w:rPr>
          <w:sz w:val="20"/>
        </w:rPr>
        <w:t>• Yenilenebilir elektrik kullanımı: Her yıl %10 artış</w:t>
      </w:r>
    </w:p>
    <w:p>
      <w:pPr>
        <w:spacing w:after="60"/>
        <w:ind w:left="567"/>
      </w:pPr>
      <w:r>
        <w:rPr>
          <w:sz w:val="20"/>
        </w:rPr>
        <w:t>• Araç filosu elektrifikasyonu için yıllık hedefler</w:t>
      </w:r>
    </w:p>
    <w:p>
      <w:r>
        <w:br w:type="page"/>
      </w:r>
    </w:p>
    <w:p>
      <w:pPr>
        <w:spacing w:before="360" w:after="120"/>
        <w:pBdr>
          <w:bottom w:val="single" w:sz="6" w:space="1" w:color="2E75B6"/>
        </w:pBdr>
      </w:pPr>
      <w:r>
        <w:rPr>
          <w:rFonts w:ascii="Arial" w:hAnsi="Arial"/>
          <w:b/>
          <w:color w:val="1F4E79"/>
          <w:sz w:val="28"/>
        </w:rPr>
        <w:t>BÖLÜM 8: METODOLOJİ VE KAYNAKLAR</w:t>
      </w:r>
    </w:p>
    <w:tbl>
      <w:tblPr>
        <w:tblStyle w:val="TableGrid"/>
        <w:tblW w:type="auto" w:w="0"/>
        <w:jc w:val="left"/>
        <w:tblLook w:firstColumn="1" w:firstRow="1" w:lastColumn="0" w:lastRow="0" w:noHBand="0" w:noVBand="1" w:val="04A0"/>
      </w:tblPr>
      <w:tblGrid>
        <w:gridCol w:w="3024"/>
        <w:gridCol w:w="3024"/>
        <w:gridCol w:w="3024"/>
      </w:tblGrid>
      <w:tr>
        <w:tc>
          <w:tcPr>
            <w:tcW w:type="dxa" w:w="454"/>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i w:val="0"/>
                <w:color w:val="FFFFFF"/>
                <w:sz w:val="18"/>
              </w:rPr>
              <w:t>#</w:t>
            </w:r>
          </w:p>
        </w:tc>
        <w:tc>
          <w:tcPr>
            <w:tcW w:type="dxa" w:w="255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Konu</w:t>
            </w:r>
          </w:p>
        </w:tc>
        <w:tc>
          <w:tcPr>
            <w:tcW w:type="dxa" w:w="5953"/>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Kaynak</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1</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Uluslararası Standart</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TS EN ISO 14064-1:2019 — Sera Gazı Envanteri (Kuruluş Düzeyi)</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2</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Metodoloji</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GHG Protocol Corporate Accounting and Reporting Standard (WRI/WBCSD)</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3</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Yakıt EF &amp; NCV</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IPCC 2006 Guidelines for National GHG Inventories, Volume 2, Table 2.2</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4</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GWP Değerleri</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IPCC AR6 2021, WGI Chapter 7 Supplementary Material, Table 7.SM.7</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5</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Elektrik Grid EF</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TC Enerji ve Tabii Kaynaklar Bakanlığı — EVÇED Emisyon Faktörleri</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6</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Taşımacılık EF</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UK DEFRA GHG Conversion Factors for Company Reporting</w:t>
            </w:r>
          </w:p>
        </w:tc>
      </w:tr>
      <w:tr>
        <w:tc>
          <w:tcPr>
            <w:tcW w:type="dxa" w:w="454"/>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7</w:t>
            </w:r>
          </w:p>
        </w:tc>
        <w:tc>
          <w:tcPr>
            <w:tcW w:type="dxa" w:w="255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Tedarik Zinciri EF</w:t>
            </w:r>
          </w:p>
        </w:tc>
        <w:tc>
          <w:tcPr>
            <w:tcW w:type="dxa" w:w="5953"/>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US EPA USEEIO Supply Chain GHG Emission Factors v1.2 (NAICS-6, 2021 USD)</w:t>
            </w:r>
          </w:p>
        </w:tc>
      </w:tr>
      <w:tr>
        <w:tc>
          <w:tcPr>
            <w:tcW w:type="dxa" w:w="454"/>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rFonts w:ascii="Arial" w:hAnsi="Arial"/>
                <w:b w:val="0"/>
                <w:i w:val="0"/>
                <w:sz w:val="18"/>
              </w:rPr>
              <w:t>8</w:t>
            </w:r>
          </w:p>
        </w:tc>
        <w:tc>
          <w:tcPr>
            <w:tcW w:type="dxa" w:w="255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Soğutucu Gaz GWP</w:t>
            </w:r>
          </w:p>
        </w:tc>
        <w:tc>
          <w:tcPr>
            <w:tcW w:type="dxa" w:w="5953"/>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IPCC AR6, Tablo 7.SM.7</w:t>
            </w:r>
          </w:p>
        </w:tc>
      </w:tr>
    </w:tbl>
    <w:p>
      <w:pPr>
        <w:spacing w:before="240" w:after="80"/>
      </w:pPr>
      <w:r>
        <w:rPr>
          <w:rFonts w:ascii="Arial" w:hAnsi="Arial"/>
          <w:b/>
          <w:color w:val="2E75B6"/>
          <w:sz w:val="24"/>
        </w:rPr>
        <w:t>9. KISALTMALAR VE TANIMLAR</w:t>
      </w:r>
    </w:p>
    <w:tbl>
      <w:tblPr>
        <w:tblStyle w:val="TableGrid"/>
        <w:tblW w:type="auto" w:w="0"/>
        <w:jc w:val="left"/>
        <w:tblLook w:firstColumn="1" w:firstRow="1" w:lastColumn="0" w:lastRow="0" w:noHBand="0" w:noVBand="1" w:val="04A0"/>
      </w:tblPr>
      <w:tblGrid>
        <w:gridCol w:w="4536"/>
        <w:gridCol w:w="4536"/>
      </w:tblGrid>
      <w:tr>
        <w:tc>
          <w:tcPr>
            <w:tcW w:type="dxa" w:w="1701"/>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Kısaltma</w:t>
            </w:r>
          </w:p>
        </w:tc>
        <w:tc>
          <w:tcPr>
            <w:tcW w:type="dxa" w:w="7257"/>
            <w:vAlign w:val="center"/>
            <w:shd w:val="clear" w:color="auto" w:fill="1F4E7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color w:val="FFFFFF"/>
                <w:sz w:val="18"/>
              </w:rPr>
              <w:t>Açıklama</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CO₂e</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Karbon Dioksit Eşdeğeri</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GHG</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Sera Gazları (Greenhouse Gases)</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GWP</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Küresel Isınma Potansiyeli (Global Warming Potential)</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IPCC</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Hükümetlerarası İklim Değişikliği Paneli</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DEFRA</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Birleşik Krallık Çevre, Gıda ve Kırsal İşler Bakanlığı</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EPA</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ABD Çevre Koruma Ajansı</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USEEIO</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ABD Çevre Ekonomik Girdi-Çıktı Modeli</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EVÇED</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TC ETKB Enerji Verimliliği ve Çevre Dairesi</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NCV</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Net Kalorifik Değer</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HFC</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Hidroflorokarbon</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T&amp;D</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İletim ve Dağıtım</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SBTi</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Bilim Bazlı Hedefler Girişimi</w:t>
            </w:r>
          </w:p>
        </w:tc>
      </w:tr>
      <w:tr>
        <w:tc>
          <w:tcPr>
            <w:tcW w:type="dxa" w:w="1701"/>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CAPEX</w:t>
            </w:r>
          </w:p>
        </w:tc>
        <w:tc>
          <w:tcPr>
            <w:tcW w:type="dxa" w:w="7257"/>
            <w:vAlign w:val="center"/>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Sermaye Niteliğindeki Harcamalar</w:t>
            </w:r>
          </w:p>
        </w:tc>
      </w:tr>
      <w:tr>
        <w:tc>
          <w:tcPr>
            <w:tcW w:type="dxa" w:w="1701"/>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i w:val="0"/>
                <w:sz w:val="18"/>
              </w:rPr>
              <w:t>tCO₂e</w:t>
            </w:r>
          </w:p>
        </w:tc>
        <w:tc>
          <w:tcPr>
            <w:tcW w:type="dxa" w:w="7257"/>
            <w:vAlign w:val="center"/>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left"/>
            </w:pPr>
            <w:r>
              <w:rPr>
                <w:rFonts w:ascii="Arial" w:hAnsi="Arial"/>
                <w:b w:val="0"/>
                <w:i w:val="0"/>
                <w:sz w:val="18"/>
              </w:rPr>
              <w:t>Ton Karbon Dioksit Eşdeğeri</w:t>
            </w:r>
          </w:p>
        </w:tc>
      </w:tr>
    </w:tbl>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5B6"/>
      </w:pBdr>
    </w:pPr>
    <w:r>
      <w:rPr>
        <w:color w:val="595959"/>
        <w:sz w:val="16"/>
      </w:rPr>
      <w:t xml:space="preserve">TS EN ISO 14064-1:2019  |  GHG Protocol Corporate Standard  |  © UNSPED 2025  |  Sayfa </w:t>
    </w:r>
    <w:r>
      <w:rPr>
        <w:sz w:val="16"/>
      </w:rP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5B6"/>
      </w:pBdr>
    </w:pPr>
    <w:r>
      <w:rPr>
        <w:b/>
        <w:color w:val="1F4E79"/>
        <w:sz w:val="18"/>
      </w:rPr>
      <w:t>UNSPED</w:t>
    </w:r>
    <w:r>
      <w:rPr>
        <w:color w:val="595959"/>
        <w:sz w:val="18"/>
      </w:rPr>
      <w:t xml:space="preserve">  |  Kurumsal Karbon Ayak İzi Envanter Raporu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