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44DF1" w:rsidRDefault="00000000">
      <w:pPr>
        <w:rPr>
          <w:b/>
          <w:bCs/>
          <w:sz w:val="36"/>
          <w:szCs w:val="36"/>
        </w:rPr>
      </w:pPr>
      <w:r>
        <w:rPr>
          <w:rFonts w:hint="eastAsia"/>
          <w:b/>
          <w:bCs/>
          <w:sz w:val="36"/>
          <w:szCs w:val="36"/>
        </w:rPr>
        <w:t>森林土壤有机碳组分高光谱建模及环境驱动解释行分析</w:t>
      </w:r>
    </w:p>
    <w:p w:rsidR="00D44DF1" w:rsidRDefault="00D44DF1"/>
    <w:p w:rsidR="00D44DF1" w:rsidRDefault="00D44DF1"/>
    <w:p w:rsidR="00D44DF1" w:rsidRDefault="00000000">
      <w:pPr>
        <w:pStyle w:val="a3"/>
        <w:widowControl/>
        <w:shd w:val="clear" w:color="auto" w:fill="FDFDFE"/>
        <w:spacing w:beforeAutospacing="0" w:afterAutospacing="0" w:line="26" w:lineRule="atLeast"/>
        <w:rPr>
          <w:rFonts w:ascii="Segoe UI" w:eastAsia="Segoe UI" w:hAnsi="Segoe UI" w:cs="Segoe UI"/>
          <w:color w:val="05073B"/>
          <w:sz w:val="22"/>
          <w:szCs w:val="22"/>
        </w:rPr>
      </w:pPr>
      <w:r>
        <w:rPr>
          <w:rStyle w:val="a4"/>
          <w:rFonts w:ascii="Segoe UI" w:eastAsia="Segoe UI" w:hAnsi="Segoe UI" w:cs="Segoe UI"/>
          <w:bCs/>
          <w:color w:val="05073B"/>
          <w:sz w:val="22"/>
          <w:szCs w:val="22"/>
          <w:shd w:val="clear" w:color="auto" w:fill="FDFDFE"/>
        </w:rPr>
        <w:t>前言</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rPr>
      </w:pPr>
      <w:r>
        <w:rPr>
          <w:rFonts w:ascii="Segoe UI" w:eastAsia="Segoe UI" w:hAnsi="Segoe UI" w:cs="Segoe UI"/>
          <w:color w:val="05073B"/>
          <w:sz w:val="22"/>
          <w:szCs w:val="22"/>
          <w:shd w:val="clear" w:color="auto" w:fill="FDFDFE"/>
        </w:rPr>
        <w:t>森林土壤有机碳（SOC）是森林生态系统中的重要组成部分，对碳循环、土壤肥力和生物多样性具有深远影响。随着遥感技术和数据分析方法的不断进步，高光谱技术因其能够提供丰富的地表信息，已成为森林土壤属性研究的重要手段之一。近年来，森林土壤有机碳高光谱建模领域取得了显著进展，但这一领域的研究仍处于发展阶段，面临着诸多挑战和机遇。</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rPr>
      </w:pPr>
      <w:r>
        <w:rPr>
          <w:rFonts w:ascii="Segoe UI" w:eastAsia="Segoe UI" w:hAnsi="Segoe UI" w:cs="Segoe UI"/>
          <w:color w:val="05073B"/>
          <w:sz w:val="22"/>
          <w:szCs w:val="22"/>
          <w:shd w:val="clear" w:color="auto" w:fill="FDFDFE"/>
        </w:rPr>
        <w:t>在前人的研究中，多种建模方法已被应用于森林土壤有机碳的高光谱估算。例如，张娟娟等（2009）利用BP神经网络模型，结合光谱反射率数据，反演了中国东部和中部地区的土壤有机质含量。沈润平等（未提供年份）则采用多元逐步回归模型和人工神经网络模型进行土壤有机质含量的估算，发现神经网络模型效果更佳。此外，纪文君等（2012）对比了支持向量机、人工神经网络和随机森林三种非线性模型与偏最小二乘回归（PLSR）模型，发现非线性模型在预测精度上表现出色。这些研究不仅验证了高光谱技术在土壤有机碳估算中的潜力，也展示了不同建模方法在不同场景下的适用性。</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rPr>
      </w:pPr>
      <w:r>
        <w:rPr>
          <w:rFonts w:ascii="Segoe UI" w:eastAsia="Segoe UI" w:hAnsi="Segoe UI" w:cs="Segoe UI"/>
          <w:color w:val="05073B"/>
          <w:sz w:val="22"/>
          <w:szCs w:val="22"/>
          <w:shd w:val="clear" w:color="auto" w:fill="FDFDFE"/>
        </w:rPr>
        <w:t>然而，土壤属性的光谱建模过程并非孤立存在，环境因子的影响不容忽视。例如，土壤有机质高光谱估算建模受到土壤水分、土壤质地、测试环境等诸多因素的制约，不同研究对象所选取的最佳建模方法往往因环境因子的差异而有所不同。因此，在建模过程中充分考虑环境因子的影响，是提高模型预测精度和适用性的关键。Yang等（2016）通过结合地形数据、遥感植被指数和土壤VNIR数据，利用随机森林算法研究了不同深度下环境因子与SOC分布的关系，为SOC三维数字建模和制图提供了重要数据支撑。这一研究强调了在土壤属性光谱建模中加入环境因子的重要性。</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rPr>
      </w:pPr>
      <w:r>
        <w:rPr>
          <w:rFonts w:ascii="Segoe UI" w:eastAsia="Segoe UI" w:hAnsi="Segoe UI" w:cs="Segoe UI"/>
          <w:color w:val="05073B"/>
          <w:sz w:val="22"/>
          <w:szCs w:val="22"/>
          <w:shd w:val="clear" w:color="auto" w:fill="FDFDFE"/>
        </w:rPr>
        <w:t>在模型建立后，对模型内部机制的理解以及对模型结果的解释同样重要。这涉及到模型的可解释性，即模型中哪些特征最为重要，以及哪些特征对预测结果产生显著影响。传统的线性模型虽然可解释性较强，但在处理复杂数据时效果有限。而现代机器学习模型，如SVR、神经网络等，虽然预测效果优异，但往往被视为“黑盒”模型，难以解释特征重要性。因此，打开“黑盒”模型，解释其内部机制，成为了当前研究的重要课题。SHAP（</w:t>
      </w:r>
      <w:proofErr w:type="spellStart"/>
      <w:r>
        <w:rPr>
          <w:rFonts w:ascii="Segoe UI" w:eastAsia="Segoe UI" w:hAnsi="Segoe UI" w:cs="Segoe UI"/>
          <w:color w:val="05073B"/>
          <w:sz w:val="22"/>
          <w:szCs w:val="22"/>
          <w:shd w:val="clear" w:color="auto" w:fill="FDFDFE"/>
        </w:rPr>
        <w:t>SHapley</w:t>
      </w:r>
      <w:proofErr w:type="spellEnd"/>
      <w:r>
        <w:rPr>
          <w:rFonts w:ascii="Segoe UI" w:eastAsia="Segoe UI" w:hAnsi="Segoe UI" w:cs="Segoe UI"/>
          <w:color w:val="05073B"/>
          <w:sz w:val="22"/>
          <w:szCs w:val="22"/>
          <w:shd w:val="clear" w:color="auto" w:fill="FDFDFE"/>
        </w:rPr>
        <w:t xml:space="preserve"> Additive </w:t>
      </w:r>
      <w:proofErr w:type="spellStart"/>
      <w:r>
        <w:rPr>
          <w:rFonts w:ascii="Segoe UI" w:eastAsia="Segoe UI" w:hAnsi="Segoe UI" w:cs="Segoe UI"/>
          <w:color w:val="05073B"/>
          <w:sz w:val="22"/>
          <w:szCs w:val="22"/>
          <w:shd w:val="clear" w:color="auto" w:fill="FDFDFE"/>
        </w:rPr>
        <w:t>exPlanations</w:t>
      </w:r>
      <w:proofErr w:type="spellEnd"/>
      <w:r>
        <w:rPr>
          <w:rFonts w:ascii="Segoe UI" w:eastAsia="Segoe UI" w:hAnsi="Segoe UI" w:cs="Segoe UI"/>
          <w:color w:val="05073B"/>
          <w:sz w:val="22"/>
          <w:szCs w:val="22"/>
          <w:shd w:val="clear" w:color="auto" w:fill="FDFDFE"/>
        </w:rPr>
        <w:t>）作为一种经典的事后解释框架，通过计算每个特征变量的Shapley Value，可以实现对模型预测结果的有效解释。这种方法不仅提高了模型的可解释性，也为进一步优化模型提供了重要依据。</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综上所述，森林土壤有机碳高光谱建模领域已取得了显著进展，但仍需不断探索和完善。在建模过程中充分考虑环境因子的影响，以及利用SHAP等方法解释模型内部机制，将是未来研究的重要方向。本文旨在通过深入分析森林土壤有机碳的高光谱建模方法及其环境驱动因素，探讨提高模型预测精度和适用性的有效途径，并为相关领域的研究提供有益参考。</w:t>
      </w: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000000">
      <w:pPr>
        <w:pStyle w:val="a3"/>
        <w:widowControl/>
        <w:shd w:val="clear" w:color="auto" w:fill="FDFDFE"/>
        <w:spacing w:before="210" w:beforeAutospacing="0" w:afterAutospacing="0" w:line="26" w:lineRule="atLeast"/>
        <w:rPr>
          <w:rFonts w:ascii="宋体" w:eastAsia="宋体" w:hAnsi="宋体" w:cs="宋体"/>
          <w:color w:val="0000FF"/>
        </w:rPr>
      </w:pPr>
      <w:r>
        <w:rPr>
          <w:rFonts w:ascii="宋体" w:eastAsia="宋体" w:hAnsi="宋体" w:cs="宋体"/>
          <w:color w:val="0000FF"/>
        </w:rPr>
        <w:t>请详细阐述材料与方法部分包括：</w:t>
      </w:r>
    </w:p>
    <w:p w:rsidR="00D44DF1" w:rsidRDefault="00000000">
      <w:pPr>
        <w:pStyle w:val="3"/>
        <w:widowControl/>
        <w:shd w:val="clear" w:color="auto" w:fill="FFFFFF"/>
        <w:spacing w:beforeAutospacing="0" w:after="60" w:afterAutospacing="0" w:line="330" w:lineRule="atLeast"/>
        <w:rPr>
          <w:rFonts w:cs="宋体" w:hint="default"/>
          <w:color w:val="0000FF"/>
          <w:sz w:val="24"/>
          <w:szCs w:val="24"/>
        </w:rPr>
      </w:pPr>
      <w:r>
        <w:rPr>
          <w:rFonts w:cs="宋体" w:hint="default"/>
          <w:b w:val="0"/>
          <w:bCs w:val="0"/>
          <w:color w:val="0000FF"/>
          <w:sz w:val="24"/>
          <w:szCs w:val="24"/>
          <w:lang w:bidi="ar"/>
        </w:rPr>
        <w:t>1.数据来源。</w:t>
      </w:r>
      <w:r>
        <w:rPr>
          <w:rFonts w:cs="宋体"/>
          <w:b w:val="0"/>
          <w:bCs w:val="0"/>
          <w:color w:val="0000FF"/>
          <w:sz w:val="24"/>
          <w:szCs w:val="24"/>
          <w:lang w:bidi="ar"/>
        </w:rPr>
        <w:t xml:space="preserve">森林土壤数据共278个样点，由广西国有高峰林场采集，土壤采集后通过ASD </w:t>
      </w:r>
      <w:hyperlink r:id="rId5" w:tgtFrame="https://www.so.com/_blank" w:history="1">
        <w:r>
          <w:rPr>
            <w:rFonts w:cs="宋体" w:hint="default"/>
            <w:b w:val="0"/>
            <w:bCs w:val="0"/>
            <w:color w:val="0000FF"/>
            <w:sz w:val="24"/>
            <w:szCs w:val="24"/>
            <w:lang w:bidi="ar"/>
          </w:rPr>
          <w:t>FieldSpec</w:t>
        </w:r>
        <w:r>
          <w:rPr>
            <w:rFonts w:cs="宋体"/>
            <w:b w:val="0"/>
            <w:bCs w:val="0"/>
            <w:color w:val="0000FF"/>
            <w:sz w:val="24"/>
            <w:szCs w:val="24"/>
            <w:lang w:bidi="ar"/>
          </w:rPr>
          <w:t xml:space="preserve"> </w:t>
        </w:r>
        <w:r>
          <w:rPr>
            <w:rFonts w:cs="宋体" w:hint="default"/>
            <w:b w:val="0"/>
            <w:bCs w:val="0"/>
            <w:color w:val="0000FF"/>
            <w:sz w:val="24"/>
            <w:szCs w:val="24"/>
            <w:lang w:bidi="ar"/>
          </w:rPr>
          <w:t>4地物光谱仪</w:t>
        </w:r>
      </w:hyperlink>
      <w:r>
        <w:rPr>
          <w:rFonts w:cs="宋体"/>
          <w:b w:val="0"/>
          <w:bCs w:val="0"/>
          <w:color w:val="0000FF"/>
          <w:sz w:val="24"/>
          <w:szCs w:val="24"/>
          <w:lang w:bidi="ar"/>
        </w:rPr>
        <w:t>获取土壤高光谱数据（请详细阐述采集过程），</w:t>
      </w:r>
    </w:p>
    <w:p w:rsidR="00D44DF1" w:rsidRDefault="00000000">
      <w:pPr>
        <w:pStyle w:val="a3"/>
        <w:widowControl/>
        <w:shd w:val="clear" w:color="auto" w:fill="FDFDFE"/>
        <w:spacing w:before="210" w:beforeAutospacing="0" w:afterAutospacing="0" w:line="26" w:lineRule="atLeast"/>
        <w:rPr>
          <w:rFonts w:ascii="宋体" w:eastAsia="宋体" w:hAnsi="宋体" w:cs="宋体"/>
          <w:color w:val="0000FF"/>
        </w:rPr>
      </w:pPr>
      <w:r>
        <w:rPr>
          <w:rFonts w:ascii="宋体" w:eastAsia="宋体" w:hAnsi="宋体" w:cs="宋体"/>
          <w:color w:val="0000FF"/>
        </w:rPr>
        <w:t>2.高光谱数据预处理。利用SG滤波降噪（SGD）和一阶微分（DR）变换组合的预处理方式，请详细阐述这两种方法。</w:t>
      </w:r>
    </w:p>
    <w:p w:rsidR="00D44DF1" w:rsidRDefault="00000000">
      <w:pPr>
        <w:pStyle w:val="a3"/>
        <w:widowControl/>
        <w:shd w:val="clear" w:color="auto" w:fill="FDFDFE"/>
        <w:spacing w:before="210" w:beforeAutospacing="0" w:afterAutospacing="0" w:line="26" w:lineRule="atLeast"/>
        <w:rPr>
          <w:rFonts w:ascii="宋体" w:eastAsia="宋体" w:hAnsi="宋体" w:cs="宋体"/>
          <w:color w:val="0000FF"/>
        </w:rPr>
      </w:pPr>
      <w:r>
        <w:rPr>
          <w:rFonts w:ascii="宋体" w:eastAsia="宋体" w:hAnsi="宋体" w:cs="宋体"/>
          <w:color w:val="0000FF"/>
        </w:rPr>
        <w:t>3.建模方法。</w:t>
      </w:r>
      <w:r>
        <w:rPr>
          <w:rFonts w:ascii="宋体" w:eastAsia="宋体" w:hAnsi="宋体" w:cs="宋体" w:hint="eastAsia"/>
          <w:color w:val="0000FF"/>
        </w:rPr>
        <w:t>（暂时未定）</w:t>
      </w:r>
    </w:p>
    <w:p w:rsidR="00D44DF1" w:rsidRDefault="00000000">
      <w:pPr>
        <w:pStyle w:val="a3"/>
        <w:widowControl/>
        <w:shd w:val="clear" w:color="auto" w:fill="FDFDFE"/>
        <w:spacing w:before="210" w:beforeAutospacing="0" w:afterAutospacing="0" w:line="26" w:lineRule="atLeast"/>
        <w:rPr>
          <w:rFonts w:ascii="宋体" w:eastAsia="宋体" w:hAnsi="宋体" w:cs="宋体"/>
          <w:color w:val="0000FF"/>
        </w:rPr>
      </w:pPr>
      <w:r>
        <w:rPr>
          <w:rFonts w:ascii="宋体" w:eastAsia="宋体" w:hAnsi="宋体" w:cs="宋体"/>
          <w:color w:val="0000FF"/>
        </w:rPr>
        <w:t>4.SHAP模型可解释性分析</w:t>
      </w:r>
      <w:r>
        <w:rPr>
          <w:rFonts w:ascii="宋体" w:eastAsia="宋体" w:hAnsi="宋体" w:cs="宋体" w:hint="eastAsia"/>
          <w:color w:val="0000FF"/>
        </w:rPr>
        <w:t>（请详细阐述过程，用python实现）</w:t>
      </w:r>
    </w:p>
    <w:p w:rsidR="00D44DF1" w:rsidRDefault="00D44DF1">
      <w:pPr>
        <w:pStyle w:val="a3"/>
        <w:widowControl/>
        <w:shd w:val="clear" w:color="auto" w:fill="FDFDFE"/>
        <w:spacing w:before="210" w:beforeAutospacing="0" w:afterAutospacing="0" w:line="26" w:lineRule="atLeast"/>
        <w:rPr>
          <w:rFonts w:ascii="宋体" w:eastAsia="宋体" w:hAnsi="宋体" w:cs="宋体"/>
          <w:color w:val="0000FF"/>
        </w:rPr>
      </w:pPr>
    </w:p>
    <w:p w:rsidR="00D44DF1" w:rsidRDefault="00000000">
      <w:pPr>
        <w:rPr>
          <w:rFonts w:ascii="宋体" w:eastAsia="宋体" w:hAnsi="宋体" w:cs="宋体"/>
          <w:color w:val="0000FF"/>
          <w:sz w:val="24"/>
        </w:rPr>
      </w:pPr>
      <w:r>
        <w:rPr>
          <w:rFonts w:ascii="宋体" w:eastAsia="宋体" w:hAnsi="宋体" w:cs="宋体"/>
          <w:color w:val="0000FF"/>
          <w:sz w:val="24"/>
        </w:rPr>
        <w:t>该论文的实现过程：第一步，通过SGD+DR变换对高光谱数据进行预处理，加入环境因子，组建原始”R“、”R+环境“、”SGD-DR“、”SGD-DR+环境“4个数据集；第二步，4个数据集分别与土壤有机碳、水溶性有机碳、易氧化有机碳三个指标进行反演建模，建模方法有传统机器学习算法（RF、SVR和PLSR）和深度学习算法，两种类型建模结果对比，选择最优；第三步，利用SHAP模型解释第二步最优模型的结果，分析出3有机碳高光谱建模的环境驱动因子。</w:t>
      </w:r>
    </w:p>
    <w:p w:rsidR="00D44DF1" w:rsidRDefault="00D44DF1">
      <w:pPr>
        <w:rPr>
          <w:rFonts w:ascii="宋体" w:eastAsia="宋体" w:hAnsi="宋体" w:cs="宋体"/>
          <w:color w:val="0000FF"/>
          <w:sz w:val="24"/>
        </w:rPr>
      </w:pPr>
    </w:p>
    <w:p w:rsidR="00D44DF1" w:rsidRDefault="00000000">
      <w:pPr>
        <w:pStyle w:val="a3"/>
        <w:widowControl/>
        <w:shd w:val="clear" w:color="auto" w:fill="FDFDFE"/>
        <w:spacing w:beforeAutospacing="0" w:afterAutospacing="0" w:line="26" w:lineRule="atLeast"/>
        <w:rPr>
          <w:rFonts w:ascii="Segoe UI" w:eastAsia="Segoe UI" w:hAnsi="Segoe UI" w:cs="Segoe UI"/>
          <w:color w:val="05073B"/>
          <w:sz w:val="22"/>
          <w:szCs w:val="22"/>
        </w:rPr>
      </w:pPr>
      <w:r>
        <w:rPr>
          <w:rStyle w:val="a4"/>
          <w:rFonts w:ascii="Segoe UI" w:eastAsia="宋体" w:hAnsi="Segoe UI" w:cs="Segoe UI" w:hint="eastAsia"/>
          <w:bCs/>
          <w:color w:val="05073B"/>
          <w:sz w:val="22"/>
          <w:szCs w:val="22"/>
          <w:shd w:val="clear" w:color="auto" w:fill="FDFDFE"/>
        </w:rPr>
        <w:t>1.</w:t>
      </w:r>
      <w:r>
        <w:rPr>
          <w:rStyle w:val="a4"/>
          <w:rFonts w:ascii="Segoe UI" w:eastAsia="Segoe UI" w:hAnsi="Segoe UI" w:cs="Segoe UI"/>
          <w:bCs/>
          <w:color w:val="05073B"/>
          <w:sz w:val="22"/>
          <w:szCs w:val="22"/>
          <w:shd w:val="clear" w:color="auto" w:fill="FDFDFE"/>
        </w:rPr>
        <w:t>材料与方法</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rPr>
      </w:pPr>
      <w:r>
        <w:rPr>
          <w:rStyle w:val="a4"/>
          <w:rFonts w:ascii="Segoe UI" w:eastAsia="宋体" w:hAnsi="Segoe UI" w:cs="Segoe UI" w:hint="eastAsia"/>
          <w:bCs/>
          <w:color w:val="05073B"/>
          <w:sz w:val="22"/>
          <w:szCs w:val="22"/>
          <w:shd w:val="clear" w:color="auto" w:fill="FDFDFE"/>
        </w:rPr>
        <w:t>1.</w:t>
      </w:r>
      <w:r>
        <w:rPr>
          <w:rStyle w:val="a4"/>
          <w:rFonts w:ascii="Segoe UI" w:eastAsia="Segoe UI" w:hAnsi="Segoe UI" w:cs="Segoe UI"/>
          <w:bCs/>
          <w:color w:val="05073B"/>
          <w:sz w:val="22"/>
          <w:szCs w:val="22"/>
          <w:shd w:val="clear" w:color="auto" w:fill="FDFDFE"/>
        </w:rPr>
        <w:t>1</w:t>
      </w:r>
      <w:r>
        <w:rPr>
          <w:rStyle w:val="a4"/>
          <w:rFonts w:ascii="Segoe UI" w:eastAsia="宋体" w:hAnsi="Segoe UI" w:cs="Segoe UI" w:hint="eastAsia"/>
          <w:bCs/>
          <w:color w:val="05073B"/>
          <w:sz w:val="22"/>
          <w:szCs w:val="22"/>
          <w:shd w:val="clear" w:color="auto" w:fill="FDFDFE"/>
        </w:rPr>
        <w:t xml:space="preserve"> </w:t>
      </w:r>
      <w:r>
        <w:rPr>
          <w:rStyle w:val="a4"/>
          <w:rFonts w:ascii="Segoe UI" w:eastAsia="Segoe UI" w:hAnsi="Segoe UI" w:cs="Segoe UI"/>
          <w:bCs/>
          <w:color w:val="05073B"/>
          <w:sz w:val="22"/>
          <w:szCs w:val="22"/>
          <w:shd w:val="clear" w:color="auto" w:fill="FDFDFE"/>
        </w:rPr>
        <w:t>数据来源</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本研究的数据主要来源于广西国有高峰林场，共采集了278个森林土壤样点。土壤样点的采集严格按照随机多点取样原则进行，以确保数据的代表性和广泛性。采集后的土壤样品经过自然风干、去除杂物、研磨并过筛后，用于后续的光谱数据获取。</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 xml:space="preserve">土壤高光谱数据通过ASD </w:t>
      </w:r>
      <w:proofErr w:type="spellStart"/>
      <w:r>
        <w:rPr>
          <w:rFonts w:ascii="Segoe UI" w:eastAsia="Segoe UI" w:hAnsi="Segoe UI" w:cs="Segoe UI"/>
          <w:color w:val="05073B"/>
          <w:sz w:val="22"/>
          <w:szCs w:val="22"/>
          <w:shd w:val="clear" w:color="auto" w:fill="FDFDFE"/>
        </w:rPr>
        <w:t>FieldSpec</w:t>
      </w:r>
      <w:proofErr w:type="spellEnd"/>
      <w:r>
        <w:rPr>
          <w:rFonts w:ascii="Segoe UI" w:eastAsia="Segoe UI" w:hAnsi="Segoe UI" w:cs="Segoe UI"/>
          <w:color w:val="05073B"/>
          <w:sz w:val="22"/>
          <w:szCs w:val="22"/>
          <w:shd w:val="clear" w:color="auto" w:fill="FDFDFE"/>
        </w:rPr>
        <w:t xml:space="preserve"> 4地物光谱仪进行采集。具体采集过程如下：</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 xml:space="preserve">仪器设置：ASD </w:t>
      </w:r>
      <w:proofErr w:type="spellStart"/>
      <w:r>
        <w:rPr>
          <w:rFonts w:ascii="Segoe UI" w:eastAsia="Segoe UI" w:hAnsi="Segoe UI" w:cs="Segoe UI"/>
          <w:color w:val="05073B"/>
          <w:sz w:val="22"/>
          <w:szCs w:val="22"/>
          <w:shd w:val="clear" w:color="auto" w:fill="FDFDFE"/>
        </w:rPr>
        <w:t>FieldSpec</w:t>
      </w:r>
      <w:proofErr w:type="spellEnd"/>
      <w:r>
        <w:rPr>
          <w:rFonts w:ascii="Segoe UI" w:eastAsia="Segoe UI" w:hAnsi="Segoe UI" w:cs="Segoe UI"/>
          <w:color w:val="05073B"/>
          <w:sz w:val="22"/>
          <w:szCs w:val="22"/>
          <w:shd w:val="clear" w:color="auto" w:fill="FDFDFE"/>
        </w:rPr>
        <w:t xml:space="preserve"> 4地物光谱仪波长范围设定为350-2500nm，在350-1000nm范围内采样间隔为1.4nm，光谱分辨率为3nm。输出波段数为2150，重采样间隔为1nm。</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测量环境：测量时，光谱仪的传感器置于离土壤样本表面约0.3m的垂直上方，视场角设置为8°。同时，设置一个1000W的卤光灯，距土壤表面0.5天顶角15°，以提供几乎平行的光线。</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测量步骤：在每次测量前，均进行白板定标，以消除仪器自身误差。每个土壤样本连续测定5次，去除异常光谱曲线后进行断点修正，再进行算术平均运算，最后导出ASCII格式文件，得到该样本的光谱反射率数据。</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宋体" w:hAnsi="Segoe UI" w:cs="Segoe UI" w:hint="eastAsia"/>
          <w:color w:val="05073B"/>
          <w:sz w:val="22"/>
          <w:szCs w:val="22"/>
          <w:shd w:val="clear" w:color="auto" w:fill="FDFDFE"/>
        </w:rPr>
        <w:t>1.</w:t>
      </w:r>
      <w:r>
        <w:rPr>
          <w:rFonts w:ascii="Segoe UI" w:eastAsia="Segoe UI" w:hAnsi="Segoe UI" w:cs="Segoe UI"/>
          <w:color w:val="05073B"/>
          <w:sz w:val="22"/>
          <w:szCs w:val="22"/>
          <w:shd w:val="clear" w:color="auto" w:fill="FDFDFE"/>
        </w:rPr>
        <w:t>2</w:t>
      </w:r>
      <w:r>
        <w:rPr>
          <w:rFonts w:ascii="Segoe UI" w:eastAsia="宋体" w:hAnsi="Segoe UI" w:cs="Segoe UI" w:hint="eastAsia"/>
          <w:color w:val="05073B"/>
          <w:sz w:val="22"/>
          <w:szCs w:val="22"/>
          <w:shd w:val="clear" w:color="auto" w:fill="FDFDFE"/>
        </w:rPr>
        <w:t xml:space="preserve"> </w:t>
      </w:r>
      <w:r>
        <w:rPr>
          <w:rFonts w:ascii="Segoe UI" w:eastAsia="Segoe UI" w:hAnsi="Segoe UI" w:cs="Segoe UI"/>
          <w:color w:val="05073B"/>
          <w:sz w:val="22"/>
          <w:szCs w:val="22"/>
          <w:shd w:val="clear" w:color="auto" w:fill="FDFDFE"/>
        </w:rPr>
        <w:t>高光谱数据预处理</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为提高光谱数据的质量和模型的预测精度，本研究采用SG滤波降噪（SGD）和一阶微分（DR）变换组合的预处理方式。</w:t>
      </w: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lastRenderedPageBreak/>
        <w:t>SG滤波降噪（SGD）：</w:t>
      </w:r>
      <w:proofErr w:type="spellStart"/>
      <w:r>
        <w:rPr>
          <w:rFonts w:ascii="Segoe UI" w:eastAsia="Segoe UI" w:hAnsi="Segoe UI" w:cs="Segoe UI"/>
          <w:color w:val="05073B"/>
          <w:sz w:val="22"/>
          <w:szCs w:val="22"/>
          <w:shd w:val="clear" w:color="auto" w:fill="FDFDFE"/>
        </w:rPr>
        <w:t>Savitzky-Golay</w:t>
      </w:r>
      <w:proofErr w:type="spellEnd"/>
      <w:r>
        <w:rPr>
          <w:rFonts w:ascii="Segoe UI" w:eastAsia="Segoe UI" w:hAnsi="Segoe UI" w:cs="Segoe UI"/>
          <w:color w:val="05073B"/>
          <w:sz w:val="22"/>
          <w:szCs w:val="22"/>
          <w:shd w:val="clear" w:color="auto" w:fill="FDFDFE"/>
        </w:rPr>
        <w:t>滤波是一种基于最小二乘原理的平滑滤波方法，通过多项式拟合对光谱数据进行平滑处理，以消除高频噪音，同时保留数据的极值等特性。在预处理过程中，选择适当的窗口大小和多项式阶数进行SGD处理，可以有效降低噪声对光谱数据的影响。</w:t>
      </w: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一阶微分（DR）变换：一阶微分变换可以突出光谱数据中的微小变化，提高光谱分辨率和灵敏度。通过对光谱数据进行一阶微分处理，可以消除背景漂移造成的干扰，提高数据的信噪比。在预处理过程中，对SGD处理后的光谱数据进行一阶微分变换，以进一步增强光谱数据的特征信息。</w:t>
      </w: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宋体" w:hAnsi="Segoe UI" w:cs="Segoe UI" w:hint="eastAsia"/>
          <w:color w:val="05073B"/>
          <w:sz w:val="22"/>
          <w:szCs w:val="22"/>
          <w:shd w:val="clear" w:color="auto" w:fill="FDFDFE"/>
        </w:rPr>
        <w:t>1.</w:t>
      </w:r>
      <w:r>
        <w:rPr>
          <w:rFonts w:ascii="Segoe UI" w:eastAsia="Segoe UI" w:hAnsi="Segoe UI" w:cs="Segoe UI"/>
          <w:color w:val="05073B"/>
          <w:sz w:val="22"/>
          <w:szCs w:val="22"/>
          <w:shd w:val="clear" w:color="auto" w:fill="FDFDFE"/>
        </w:rPr>
        <w:t>3</w:t>
      </w:r>
      <w:r>
        <w:rPr>
          <w:rFonts w:ascii="Segoe UI" w:eastAsia="宋体" w:hAnsi="Segoe UI" w:cs="Segoe UI" w:hint="eastAsia"/>
          <w:color w:val="05073B"/>
          <w:sz w:val="22"/>
          <w:szCs w:val="22"/>
          <w:shd w:val="clear" w:color="auto" w:fill="FDFDFE"/>
        </w:rPr>
        <w:t xml:space="preserve"> </w:t>
      </w:r>
      <w:r>
        <w:rPr>
          <w:rFonts w:ascii="Segoe UI" w:eastAsia="Segoe UI" w:hAnsi="Segoe UI" w:cs="Segoe UI"/>
          <w:color w:val="05073B"/>
          <w:sz w:val="22"/>
          <w:szCs w:val="22"/>
          <w:shd w:val="clear" w:color="auto" w:fill="FDFDFE"/>
        </w:rPr>
        <w:t>建模方法</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（暂时未定）</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宋体" w:hAnsi="Segoe UI" w:cs="Segoe UI" w:hint="eastAsia"/>
          <w:color w:val="05073B"/>
          <w:sz w:val="22"/>
          <w:szCs w:val="22"/>
          <w:shd w:val="clear" w:color="auto" w:fill="FDFDFE"/>
        </w:rPr>
        <w:t>1.</w:t>
      </w:r>
      <w:r>
        <w:rPr>
          <w:rFonts w:ascii="Segoe UI" w:eastAsia="Segoe UI" w:hAnsi="Segoe UI" w:cs="Segoe UI"/>
          <w:color w:val="05073B"/>
          <w:sz w:val="22"/>
          <w:szCs w:val="22"/>
          <w:shd w:val="clear" w:color="auto" w:fill="FDFDFE"/>
        </w:rPr>
        <w:t>4</w:t>
      </w:r>
      <w:r>
        <w:rPr>
          <w:rFonts w:ascii="Segoe UI" w:eastAsia="宋体" w:hAnsi="Segoe UI" w:cs="Segoe UI" w:hint="eastAsia"/>
          <w:color w:val="05073B"/>
          <w:sz w:val="22"/>
          <w:szCs w:val="22"/>
          <w:shd w:val="clear" w:color="auto" w:fill="FDFDFE"/>
        </w:rPr>
        <w:t xml:space="preserve"> </w:t>
      </w:r>
      <w:r>
        <w:rPr>
          <w:rFonts w:ascii="Segoe UI" w:eastAsia="Segoe UI" w:hAnsi="Segoe UI" w:cs="Segoe UI"/>
          <w:color w:val="05073B"/>
          <w:sz w:val="22"/>
          <w:szCs w:val="22"/>
          <w:shd w:val="clear" w:color="auto" w:fill="FDFDFE"/>
        </w:rPr>
        <w:t>SHAP模型可解释性分析</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SHAP（</w:t>
      </w:r>
      <w:proofErr w:type="spellStart"/>
      <w:r>
        <w:rPr>
          <w:rFonts w:ascii="Segoe UI" w:eastAsia="Segoe UI" w:hAnsi="Segoe UI" w:cs="Segoe UI"/>
          <w:color w:val="05073B"/>
          <w:sz w:val="22"/>
          <w:szCs w:val="22"/>
          <w:shd w:val="clear" w:color="auto" w:fill="FDFDFE"/>
        </w:rPr>
        <w:t>SHapley</w:t>
      </w:r>
      <w:proofErr w:type="spellEnd"/>
      <w:r>
        <w:rPr>
          <w:rFonts w:ascii="Segoe UI" w:eastAsia="Segoe UI" w:hAnsi="Segoe UI" w:cs="Segoe UI"/>
          <w:color w:val="05073B"/>
          <w:sz w:val="22"/>
          <w:szCs w:val="22"/>
          <w:shd w:val="clear" w:color="auto" w:fill="FDFDFE"/>
        </w:rPr>
        <w:t xml:space="preserve"> Additive </w:t>
      </w:r>
      <w:proofErr w:type="spellStart"/>
      <w:r>
        <w:rPr>
          <w:rFonts w:ascii="Segoe UI" w:eastAsia="Segoe UI" w:hAnsi="Segoe UI" w:cs="Segoe UI"/>
          <w:color w:val="05073B"/>
          <w:sz w:val="22"/>
          <w:szCs w:val="22"/>
          <w:shd w:val="clear" w:color="auto" w:fill="FDFDFE"/>
        </w:rPr>
        <w:t>exPlanations</w:t>
      </w:r>
      <w:proofErr w:type="spellEnd"/>
      <w:r>
        <w:rPr>
          <w:rFonts w:ascii="Segoe UI" w:eastAsia="Segoe UI" w:hAnsi="Segoe UI" w:cs="Segoe UI"/>
          <w:color w:val="05073B"/>
          <w:sz w:val="22"/>
          <w:szCs w:val="22"/>
          <w:shd w:val="clear" w:color="auto" w:fill="FDFDFE"/>
        </w:rPr>
        <w:t>）是一种基于合作博弈论的方法，用于解释机器学习模型的预测结果。通过计算每个特征对模型输出的边际贡献，SHAP能够揭示模型内部的工作原理，提高模型的可解释性。</w:t>
      </w: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具体实现过程如下：首先，利用所选建模方法训练得到预测模型；然后，将测试数据集输入模型，得到预测结果；接着，利用SHAP库计算每个样本的SHAP值，SHAP值表示了每个特征对预测结果的贡献；最后，通过可视化手段（如SHAP值条形图、SHAP值摘要图等）展示SHAP值，分析每个特征对预测结果的影响程度和方向。</w:t>
      </w: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000000">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r>
        <w:rPr>
          <w:rFonts w:ascii="Segoe UI" w:eastAsia="Segoe UI" w:hAnsi="Segoe UI" w:cs="Segoe UI"/>
          <w:color w:val="05073B"/>
          <w:sz w:val="22"/>
          <w:szCs w:val="22"/>
          <w:shd w:val="clear" w:color="auto" w:fill="FDFDFE"/>
        </w:rPr>
        <w:t>通过SHAP模型可解释性分析，可以深入了解模型的工作原理，识别出对预测结果起关键作用的特征，为模型的优化和决策提供依据。同时，也有助于提高模型的透明度和可信度，促进模型在实际应用中的推广和应用。</w:t>
      </w:r>
    </w:p>
    <w:p w:rsidR="00D44DF1" w:rsidRDefault="00D44DF1">
      <w:pPr>
        <w:pStyle w:val="a3"/>
        <w:widowControl/>
        <w:shd w:val="clear" w:color="auto" w:fill="FDFDFE"/>
        <w:spacing w:before="210" w:beforeAutospacing="0" w:afterAutospacing="0" w:line="26" w:lineRule="atLeast"/>
        <w:rPr>
          <w:rFonts w:ascii="Segoe UI" w:eastAsia="Segoe UI" w:hAnsi="Segoe UI" w:cs="Segoe UI"/>
          <w:color w:val="05073B"/>
          <w:sz w:val="22"/>
          <w:szCs w:val="22"/>
          <w:shd w:val="clear" w:color="auto" w:fill="FDFDFE"/>
        </w:rPr>
      </w:pPr>
    </w:p>
    <w:p w:rsidR="00D44DF1" w:rsidRDefault="00000000">
      <w:pPr>
        <w:rPr>
          <w:vertAlign w:val="superscript"/>
        </w:rPr>
      </w:pPr>
      <w:r>
        <w:rPr>
          <w:rFonts w:hint="eastAsia"/>
        </w:rPr>
        <w:t>g</w:t>
      </w:r>
      <w:r>
        <w:rPr>
          <w:rFonts w:ascii="微软雅黑" w:eastAsia="微软雅黑" w:hAnsi="微软雅黑" w:cs="微软雅黑" w:hint="eastAsia"/>
        </w:rPr>
        <w:t>·</w:t>
      </w:r>
      <w:r>
        <w:rPr>
          <w:rFonts w:hint="eastAsia"/>
        </w:rPr>
        <w:t>kg</w:t>
      </w:r>
      <w:r>
        <w:rPr>
          <w:rFonts w:hint="eastAsia"/>
          <w:vertAlign w:val="superscript"/>
        </w:rPr>
        <w:t>-1</w:t>
      </w:r>
    </w:p>
    <w:p w:rsidR="00D44DF1" w:rsidRDefault="00000000">
      <w:pPr>
        <w:pStyle w:val="a3"/>
        <w:widowControl/>
        <w:numPr>
          <w:ilvl w:val="0"/>
          <w:numId w:val="1"/>
        </w:numPr>
        <w:shd w:val="clear" w:color="auto" w:fill="FDFDFE"/>
        <w:spacing w:beforeAutospacing="0" w:afterAutospacing="0" w:line="26" w:lineRule="atLeast"/>
        <w:rPr>
          <w:rStyle w:val="a4"/>
          <w:rFonts w:ascii="Segoe UI" w:eastAsia="Segoe UI" w:hAnsi="Segoe UI" w:cs="Segoe UI"/>
          <w:bCs/>
          <w:color w:val="05073B"/>
          <w:sz w:val="22"/>
          <w:szCs w:val="22"/>
          <w:shd w:val="clear" w:color="auto" w:fill="FDFDFE"/>
        </w:rPr>
      </w:pPr>
      <w:r>
        <w:rPr>
          <w:rStyle w:val="a4"/>
          <w:rFonts w:ascii="Segoe UI" w:eastAsia="Segoe UI" w:hAnsi="Segoe UI" w:cs="Segoe UI" w:hint="eastAsia"/>
          <w:bCs/>
          <w:color w:val="05073B"/>
          <w:sz w:val="22"/>
          <w:szCs w:val="22"/>
          <w:shd w:val="clear" w:color="auto" w:fill="FDFDFE"/>
        </w:rPr>
        <w:t>结果与分析</w:t>
      </w:r>
    </w:p>
    <w:p w:rsidR="00D44DF1" w:rsidRDefault="00000000">
      <w:pPr>
        <w:widowControl/>
        <w:jc w:val="left"/>
        <w:rPr>
          <w:rStyle w:val="a4"/>
          <w:rFonts w:ascii="Segoe UI" w:eastAsia="Segoe UI" w:hAnsi="Segoe UI" w:cs="Segoe UI"/>
          <w:bCs/>
          <w:color w:val="05073B"/>
          <w:sz w:val="22"/>
          <w:szCs w:val="22"/>
          <w:shd w:val="clear" w:color="auto" w:fill="FDFDFE"/>
        </w:rPr>
      </w:pPr>
      <w:r>
        <w:rPr>
          <w:rStyle w:val="a4"/>
          <w:rFonts w:ascii="Segoe UI" w:eastAsia="Segoe UI" w:hAnsi="Segoe UI" w:cs="Segoe UI" w:hint="eastAsia"/>
          <w:bCs/>
          <w:color w:val="05073B"/>
          <w:sz w:val="22"/>
          <w:szCs w:val="22"/>
          <w:shd w:val="clear" w:color="auto" w:fill="FDFDFE"/>
        </w:rPr>
        <w:t>2.1不同土壤有机碳组分的统计特征和光谱特性</w:t>
      </w:r>
    </w:p>
    <w:p w:rsidR="00243C09" w:rsidRDefault="00243C09">
      <w:pPr>
        <w:widowControl/>
        <w:jc w:val="left"/>
        <w:rPr>
          <w:rFonts w:ascii="方正黑体_GBK" w:eastAsia="方正黑体_GBK" w:hAnsi="方正黑体_GBK" w:cs="方正黑体_GBK" w:hint="eastAsia"/>
          <w:color w:val="000000"/>
          <w:kern w:val="0"/>
          <w:sz w:val="16"/>
          <w:szCs w:val="16"/>
          <w:lang w:bidi="ar"/>
        </w:rPr>
      </w:pPr>
      <w:r>
        <w:rPr>
          <w:rFonts w:ascii="方正黑体_GBK" w:eastAsia="方正黑体_GBK" w:hAnsi="方正黑体_GBK" w:cs="方正黑体_GBK"/>
          <w:noProof/>
          <w:color w:val="000000"/>
          <w:kern w:val="0"/>
          <w:sz w:val="16"/>
          <w:szCs w:val="16"/>
          <w:lang w:bidi="ar"/>
        </w:rPr>
        <w:lastRenderedPageBreak/>
        <w:drawing>
          <wp:inline distT="0" distB="0" distL="0" distR="0">
            <wp:extent cx="5274310" cy="2637155"/>
            <wp:effectExtent l="0" t="0" r="0" b="4445"/>
            <wp:docPr id="1193644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4776" name="图片 1193644776"/>
                    <pic:cNvPicPr/>
                  </pic:nvPicPr>
                  <pic:blipFill>
                    <a:blip r:embed="rId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ascii="方正黑体_GBK" w:eastAsia="方正黑体_GBK" w:hAnsi="方正黑体_GBK" w:cs="方正黑体_GBK"/>
          <w:color w:val="000000"/>
          <w:kern w:val="0"/>
          <w:sz w:val="16"/>
          <w:szCs w:val="16"/>
          <w:lang w:bidi="ar"/>
        </w:rPr>
        <w:br/>
      </w:r>
      <w:r>
        <w:rPr>
          <w:rFonts w:ascii="方正黑体_GBK" w:eastAsia="方正黑体_GBK" w:hAnsi="方正黑体_GBK" w:cs="方正黑体_GBK" w:hint="eastAsia"/>
          <w:color w:val="000000"/>
          <w:kern w:val="0"/>
          <w:sz w:val="16"/>
          <w:szCs w:val="16"/>
          <w:lang w:bidi="ar"/>
        </w:rPr>
        <w:t>各种碳之间的相关性曲线图</w:t>
      </w:r>
      <w:r>
        <w:rPr>
          <w:rFonts w:ascii="方正黑体_GBK" w:eastAsia="方正黑体_GBK" w:hAnsi="方正黑体_GBK" w:cs="方正黑体_GBK"/>
          <w:noProof/>
          <w:color w:val="000000"/>
          <w:kern w:val="0"/>
          <w:sz w:val="16"/>
          <w:szCs w:val="16"/>
          <w:lang w:bidi="ar"/>
        </w:rPr>
        <w:drawing>
          <wp:inline distT="0" distB="0" distL="0" distR="0">
            <wp:extent cx="5274310" cy="2637155"/>
            <wp:effectExtent l="0" t="0" r="0" b="4445"/>
            <wp:docPr id="505222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2394" name="图片 505222394"/>
                    <pic:cNvPicPr/>
                  </pic:nvPicPr>
                  <pic:blipFill>
                    <a:blip r:embed="rId7">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ascii="方正黑体_GBK" w:eastAsia="方正黑体_GBK" w:hAnsi="方正黑体_GBK" w:cs="方正黑体_GBK"/>
          <w:color w:val="000000"/>
          <w:kern w:val="0"/>
          <w:sz w:val="16"/>
          <w:szCs w:val="16"/>
          <w:lang w:bidi="ar"/>
        </w:rPr>
        <w:br/>
      </w:r>
      <w:r>
        <w:rPr>
          <w:rFonts w:ascii="方正黑体_GBK" w:eastAsia="方正黑体_GBK" w:hAnsi="方正黑体_GBK" w:cs="方正黑体_GBK" w:hint="eastAsia"/>
          <w:color w:val="000000"/>
          <w:kern w:val="0"/>
          <w:sz w:val="16"/>
          <w:szCs w:val="16"/>
          <w:lang w:bidi="ar"/>
        </w:rPr>
        <w:t>原始数据中有机碳与环境因素，光谱波段之间的相关性</w:t>
      </w:r>
    </w:p>
    <w:p w:rsidR="00D44DF1" w:rsidRPr="00C2758F" w:rsidRDefault="00243C09">
      <w:pPr>
        <w:widowControl/>
        <w:jc w:val="left"/>
        <w:rPr>
          <w:rFonts w:ascii="方正黑体_GBK" w:eastAsia="方正黑体_GBK" w:hAnsi="方正黑体_GBK" w:cs="方正黑体_GBK" w:hint="eastAsia"/>
          <w:color w:val="000000"/>
          <w:kern w:val="0"/>
          <w:sz w:val="16"/>
          <w:szCs w:val="16"/>
          <w:lang w:bidi="ar"/>
        </w:rPr>
      </w:pPr>
      <w:r>
        <w:rPr>
          <w:rFonts w:ascii="方正黑体_GBK" w:eastAsia="方正黑体_GBK" w:hAnsi="方正黑体_GBK" w:cs="方正黑体_GBK"/>
          <w:color w:val="000000"/>
          <w:kern w:val="0"/>
          <w:sz w:val="16"/>
          <w:szCs w:val="16"/>
          <w:lang w:bidi="ar"/>
        </w:rPr>
        <w:br/>
      </w:r>
      <w:r>
        <w:rPr>
          <w:rFonts w:ascii="方正黑体_GBK" w:eastAsia="方正黑体_GBK" w:hAnsi="方正黑体_GBK" w:cs="方正黑体_GBK"/>
          <w:noProof/>
          <w:color w:val="000000"/>
          <w:kern w:val="0"/>
          <w:sz w:val="16"/>
          <w:szCs w:val="16"/>
          <w:lang w:bidi="ar"/>
        </w:rPr>
        <w:drawing>
          <wp:inline distT="0" distB="0" distL="0" distR="0">
            <wp:extent cx="5274310" cy="2637155"/>
            <wp:effectExtent l="0" t="0" r="0" b="4445"/>
            <wp:docPr id="7067256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5638" name="图片 706725638"/>
                    <pic:cNvPicPr/>
                  </pic:nvPicPr>
                  <pic:blipFill>
                    <a:blip r:embed="rId8">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ascii="方正黑体_GBK" w:eastAsia="方正黑体_GBK" w:hAnsi="方正黑体_GBK" w:cs="方正黑体_GBK"/>
          <w:color w:val="000000"/>
          <w:kern w:val="0"/>
          <w:sz w:val="16"/>
          <w:szCs w:val="16"/>
          <w:lang w:bidi="ar"/>
        </w:rPr>
        <w:br/>
      </w:r>
      <w:r>
        <w:rPr>
          <w:rFonts w:ascii="方正黑体_GBK" w:eastAsia="方正黑体_GBK" w:hAnsi="方正黑体_GBK" w:cs="方正黑体_GBK" w:hint="eastAsia"/>
          <w:color w:val="000000"/>
          <w:kern w:val="0"/>
          <w:sz w:val="16"/>
          <w:szCs w:val="16"/>
          <w:lang w:bidi="ar"/>
        </w:rPr>
        <w:lastRenderedPageBreak/>
        <w:t>经过 SGD+DR 预处理以后的有机碳含量与</w:t>
      </w:r>
      <w:r w:rsidR="00C2758F">
        <w:rPr>
          <w:rFonts w:ascii="方正黑体_GBK" w:eastAsia="方正黑体_GBK" w:hAnsi="方正黑体_GBK" w:cs="方正黑体_GBK" w:hint="eastAsia"/>
          <w:color w:val="000000"/>
          <w:kern w:val="0"/>
          <w:sz w:val="16"/>
          <w:szCs w:val="16"/>
          <w:lang w:bidi="ar"/>
        </w:rPr>
        <w:t>环境因素和光谱波段之间的相关性曲线</w:t>
      </w:r>
      <w:r>
        <w:rPr>
          <w:rFonts w:ascii="方正黑体_GBK" w:eastAsia="方正黑体_GBK" w:hAnsi="方正黑体_GBK" w:cs="方正黑体_GBK" w:hint="eastAsia"/>
          <w:noProof/>
          <w:color w:val="000000"/>
          <w:kern w:val="0"/>
          <w:sz w:val="16"/>
          <w:szCs w:val="16"/>
          <w:lang w:bidi="ar"/>
        </w:rPr>
        <w:drawing>
          <wp:inline distT="0" distB="0" distL="0" distR="0">
            <wp:extent cx="5274310" cy="3956050"/>
            <wp:effectExtent l="0" t="0" r="0" b="6350"/>
            <wp:docPr id="4820818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81826" name="图片 4820818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C2758F">
        <w:rPr>
          <w:rFonts w:ascii="方正黑体_GBK" w:eastAsia="方正黑体_GBK" w:hAnsi="方正黑体_GBK" w:cs="方正黑体_GBK"/>
          <w:color w:val="000000"/>
          <w:kern w:val="0"/>
          <w:sz w:val="16"/>
          <w:szCs w:val="16"/>
          <w:lang w:bidi="ar"/>
        </w:rPr>
        <w:br/>
      </w:r>
      <w:r w:rsidR="00C2758F">
        <w:rPr>
          <w:rFonts w:ascii="方正黑体_GBK" w:eastAsia="方正黑体_GBK" w:hAnsi="方正黑体_GBK" w:cs="方正黑体_GBK" w:hint="eastAsia"/>
          <w:color w:val="000000"/>
          <w:kern w:val="0"/>
          <w:sz w:val="16"/>
          <w:szCs w:val="16"/>
          <w:lang w:bidi="ar"/>
        </w:rPr>
        <w:t>土壤养分</w:t>
      </w:r>
      <w:r w:rsidR="00380936">
        <w:rPr>
          <w:rFonts w:ascii="方正黑体_GBK" w:eastAsia="方正黑体_GBK" w:hAnsi="方正黑体_GBK" w:cs="方正黑体_GBK" w:hint="eastAsia"/>
          <w:color w:val="000000"/>
          <w:kern w:val="0"/>
          <w:sz w:val="16"/>
          <w:szCs w:val="16"/>
          <w:lang w:bidi="ar"/>
        </w:rPr>
        <w:t>与</w:t>
      </w:r>
      <w:r w:rsidR="00C2758F">
        <w:rPr>
          <w:rFonts w:ascii="方正黑体_GBK" w:eastAsia="方正黑体_GBK" w:hAnsi="方正黑体_GBK" w:cs="方正黑体_GBK" w:hint="eastAsia"/>
          <w:color w:val="000000"/>
          <w:kern w:val="0"/>
          <w:sz w:val="16"/>
          <w:szCs w:val="16"/>
          <w:lang w:bidi="ar"/>
        </w:rPr>
        <w:t>环境因素之间的相关性矩阵</w:t>
      </w:r>
    </w:p>
    <w:p w:rsidR="00D44DF1" w:rsidRDefault="00000000">
      <w:pPr>
        <w:widowControl/>
        <w:jc w:val="left"/>
        <w:rPr>
          <w:rFonts w:ascii="方正黑体_GBK" w:eastAsia="方正黑体_GBK" w:hAnsi="方正黑体_GBK" w:cs="方正黑体_GBK"/>
          <w:color w:val="000000"/>
          <w:kern w:val="0"/>
          <w:sz w:val="16"/>
          <w:szCs w:val="16"/>
          <w:lang w:bidi="ar"/>
        </w:rPr>
      </w:pPr>
      <w:r>
        <w:rPr>
          <w:rFonts w:ascii="方正黑体_GBK" w:eastAsia="方正黑体_GBK" w:hAnsi="方正黑体_GBK" w:cs="方正黑体_GBK"/>
          <w:noProof/>
          <w:color w:val="000000"/>
          <w:kern w:val="0"/>
          <w:sz w:val="16"/>
          <w:szCs w:val="16"/>
          <w:lang w:bidi="ar"/>
        </w:rPr>
        <w:lastRenderedPageBreak/>
        <w:drawing>
          <wp:inline distT="0" distB="0" distL="114300" distR="114300">
            <wp:extent cx="3237865" cy="2478405"/>
            <wp:effectExtent l="0" t="0" r="635" b="17145"/>
            <wp:docPr id="1" name="图片 1" descr="易氧化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易氧化碳"/>
                    <pic:cNvPicPr>
                      <a:picLocks noChangeAspect="1"/>
                    </pic:cNvPicPr>
                  </pic:nvPicPr>
                  <pic:blipFill>
                    <a:blip r:embed="rId10"/>
                    <a:stretch>
                      <a:fillRect/>
                    </a:stretch>
                  </pic:blipFill>
                  <pic:spPr>
                    <a:xfrm>
                      <a:off x="0" y="0"/>
                      <a:ext cx="3237865" cy="2478405"/>
                    </a:xfrm>
                    <a:prstGeom prst="rect">
                      <a:avLst/>
                    </a:prstGeom>
                  </pic:spPr>
                </pic:pic>
              </a:graphicData>
            </a:graphic>
          </wp:inline>
        </w:drawing>
      </w:r>
      <w:r>
        <w:rPr>
          <w:rFonts w:ascii="方正黑体_GBK" w:eastAsia="方正黑体_GBK" w:hAnsi="方正黑体_GBK" w:cs="方正黑体_GBK"/>
          <w:noProof/>
          <w:color w:val="000000"/>
          <w:kern w:val="0"/>
          <w:sz w:val="16"/>
          <w:szCs w:val="16"/>
          <w:lang w:bidi="ar"/>
        </w:rPr>
        <w:drawing>
          <wp:inline distT="0" distB="0" distL="114300" distR="114300">
            <wp:extent cx="3253740" cy="2490470"/>
            <wp:effectExtent l="0" t="0" r="3810" b="5080"/>
            <wp:docPr id="2" name="图片 2" descr="水溶性有机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水溶性有机碳"/>
                    <pic:cNvPicPr>
                      <a:picLocks noChangeAspect="1"/>
                    </pic:cNvPicPr>
                  </pic:nvPicPr>
                  <pic:blipFill>
                    <a:blip r:embed="rId11"/>
                    <a:stretch>
                      <a:fillRect/>
                    </a:stretch>
                  </pic:blipFill>
                  <pic:spPr>
                    <a:xfrm>
                      <a:off x="0" y="0"/>
                      <a:ext cx="3253740" cy="2490470"/>
                    </a:xfrm>
                    <a:prstGeom prst="rect">
                      <a:avLst/>
                    </a:prstGeom>
                  </pic:spPr>
                </pic:pic>
              </a:graphicData>
            </a:graphic>
          </wp:inline>
        </w:drawing>
      </w:r>
      <w:r>
        <w:rPr>
          <w:rFonts w:ascii="方正黑体_GBK" w:eastAsia="方正黑体_GBK" w:hAnsi="方正黑体_GBK" w:cs="方正黑体_GBK"/>
          <w:noProof/>
          <w:color w:val="000000"/>
          <w:kern w:val="0"/>
          <w:sz w:val="16"/>
          <w:szCs w:val="16"/>
          <w:lang w:bidi="ar"/>
        </w:rPr>
        <w:drawing>
          <wp:inline distT="0" distB="0" distL="114300" distR="114300">
            <wp:extent cx="3321685" cy="2541905"/>
            <wp:effectExtent l="0" t="0" r="12065" b="10795"/>
            <wp:docPr id="3" name="图片 3" descr="有机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有机碳"/>
                    <pic:cNvPicPr>
                      <a:picLocks noChangeAspect="1"/>
                    </pic:cNvPicPr>
                  </pic:nvPicPr>
                  <pic:blipFill>
                    <a:blip r:embed="rId12"/>
                    <a:stretch>
                      <a:fillRect/>
                    </a:stretch>
                  </pic:blipFill>
                  <pic:spPr>
                    <a:xfrm>
                      <a:off x="0" y="0"/>
                      <a:ext cx="3321685" cy="2541905"/>
                    </a:xfrm>
                    <a:prstGeom prst="rect">
                      <a:avLst/>
                    </a:prstGeom>
                  </pic:spPr>
                </pic:pic>
              </a:graphicData>
            </a:graphic>
          </wp:inline>
        </w:drawing>
      </w:r>
    </w:p>
    <w:p w:rsidR="00D44DF1" w:rsidRDefault="00D44DF1">
      <w:pPr>
        <w:widowControl/>
        <w:jc w:val="left"/>
        <w:rPr>
          <w:rFonts w:ascii="方正黑体_GBK" w:eastAsia="方正黑体_GBK" w:hAnsi="方正黑体_GBK" w:cs="方正黑体_GBK"/>
          <w:color w:val="000000"/>
          <w:kern w:val="0"/>
          <w:sz w:val="16"/>
          <w:szCs w:val="16"/>
          <w:lang w:bidi="ar"/>
        </w:rPr>
      </w:pPr>
    </w:p>
    <w:p w:rsidR="00D44DF1" w:rsidRDefault="00000000">
      <w:pPr>
        <w:widowControl/>
        <w:jc w:val="left"/>
        <w:rPr>
          <w:rStyle w:val="a4"/>
          <w:rFonts w:ascii="Segoe UI" w:eastAsia="Segoe UI" w:hAnsi="Segoe UI" w:cs="Segoe UI"/>
          <w:bCs/>
          <w:color w:val="05073B"/>
          <w:sz w:val="22"/>
          <w:szCs w:val="22"/>
          <w:shd w:val="clear" w:color="auto" w:fill="FDFDFE"/>
        </w:rPr>
      </w:pPr>
      <w:r>
        <w:rPr>
          <w:rStyle w:val="a4"/>
          <w:rFonts w:ascii="Segoe UI" w:eastAsia="Segoe UI" w:hAnsi="Segoe UI" w:cs="Segoe UI" w:hint="eastAsia"/>
          <w:bCs/>
          <w:color w:val="05073B"/>
          <w:sz w:val="22"/>
          <w:szCs w:val="22"/>
          <w:shd w:val="clear" w:color="auto" w:fill="FDFDFE"/>
        </w:rPr>
        <w:t>2.2不同预处理之后的相关性分析</w:t>
      </w:r>
    </w:p>
    <w:p w:rsidR="00D44DF1" w:rsidRDefault="00661CB2">
      <w:pPr>
        <w:widowControl/>
        <w:jc w:val="left"/>
        <w:rPr>
          <w:rStyle w:val="a4"/>
          <w:rFonts w:ascii="Segoe UI" w:eastAsia="Segoe UI" w:hAnsi="Segoe UI" w:cs="Segoe UI"/>
          <w:bCs/>
          <w:color w:val="05073B"/>
          <w:sz w:val="22"/>
          <w:szCs w:val="22"/>
          <w:shd w:val="clear" w:color="auto" w:fill="FDFDFE"/>
        </w:rPr>
      </w:pPr>
      <w:r>
        <w:rPr>
          <w:rStyle w:val="a4"/>
          <w:rFonts w:ascii="微软雅黑" w:eastAsia="微软雅黑" w:hAnsi="微软雅黑" w:cs="微软雅黑" w:hint="eastAsia"/>
          <w:bCs/>
          <w:color w:val="05073B"/>
          <w:sz w:val="22"/>
          <w:szCs w:val="22"/>
          <w:shd w:val="clear" w:color="auto" w:fill="FDFDFE"/>
        </w:rPr>
        <w:t>参考上面的图</w:t>
      </w:r>
    </w:p>
    <w:p w:rsidR="00D44DF1" w:rsidRDefault="00D44DF1">
      <w:pPr>
        <w:widowControl/>
        <w:jc w:val="left"/>
        <w:rPr>
          <w:rStyle w:val="a4"/>
          <w:rFonts w:ascii="Segoe UI" w:eastAsia="Segoe UI" w:hAnsi="Segoe UI" w:cs="Segoe UI"/>
          <w:bCs/>
          <w:color w:val="05073B"/>
          <w:sz w:val="22"/>
          <w:szCs w:val="22"/>
          <w:shd w:val="clear" w:color="auto" w:fill="FDFDFE"/>
        </w:rPr>
      </w:pPr>
    </w:p>
    <w:p w:rsidR="00D44DF1" w:rsidRDefault="00D44DF1">
      <w:pPr>
        <w:widowControl/>
        <w:jc w:val="left"/>
        <w:rPr>
          <w:rStyle w:val="a4"/>
          <w:rFonts w:ascii="Segoe UI" w:eastAsia="Segoe UI" w:hAnsi="Segoe UI" w:cs="Segoe UI"/>
          <w:bCs/>
          <w:color w:val="05073B"/>
          <w:sz w:val="22"/>
          <w:szCs w:val="22"/>
          <w:shd w:val="clear" w:color="auto" w:fill="FDFDFE"/>
        </w:rPr>
      </w:pPr>
    </w:p>
    <w:p w:rsidR="00D44DF1" w:rsidRDefault="00D44DF1">
      <w:pPr>
        <w:widowControl/>
        <w:jc w:val="left"/>
        <w:rPr>
          <w:rStyle w:val="a4"/>
          <w:rFonts w:ascii="Segoe UI" w:eastAsia="Segoe UI" w:hAnsi="Segoe UI" w:cs="Segoe UI"/>
          <w:bCs/>
          <w:color w:val="05073B"/>
          <w:sz w:val="22"/>
          <w:szCs w:val="22"/>
          <w:shd w:val="clear" w:color="auto" w:fill="FDFDFE"/>
        </w:rPr>
      </w:pPr>
    </w:p>
    <w:p w:rsidR="00D44DF1" w:rsidRDefault="00000000">
      <w:pPr>
        <w:widowControl/>
        <w:jc w:val="left"/>
        <w:rPr>
          <w:rStyle w:val="a4"/>
          <w:rFonts w:ascii="Segoe UI" w:eastAsia="Segoe UI" w:hAnsi="Segoe UI" w:cs="Segoe UI"/>
          <w:bCs/>
          <w:color w:val="05073B"/>
          <w:sz w:val="22"/>
          <w:szCs w:val="22"/>
          <w:shd w:val="clear" w:color="auto" w:fill="FDFDFE"/>
        </w:rPr>
      </w:pPr>
      <w:r>
        <w:rPr>
          <w:rStyle w:val="a4"/>
          <w:rFonts w:ascii="Segoe UI" w:eastAsia="Segoe UI" w:hAnsi="Segoe UI" w:cs="Segoe UI" w:hint="eastAsia"/>
          <w:bCs/>
          <w:color w:val="05073B"/>
          <w:sz w:val="22"/>
          <w:szCs w:val="22"/>
          <w:shd w:val="clear" w:color="auto" w:fill="FDFDFE"/>
        </w:rPr>
        <w:t>2.3 机器学习和深度学习建模比较</w:t>
      </w:r>
    </w:p>
    <w:p w:rsidR="00D44DF1" w:rsidRDefault="00661CB2">
      <w:pPr>
        <w:widowControl/>
        <w:jc w:val="left"/>
        <w:rPr>
          <w:rFonts w:ascii="方正黑体_GBK" w:eastAsia="方正黑体_GBK" w:hAnsi="方正黑体_GBK" w:cs="方正黑体_GBK"/>
          <w:color w:val="000000"/>
          <w:kern w:val="0"/>
          <w:sz w:val="16"/>
          <w:szCs w:val="16"/>
          <w:lang w:bidi="ar"/>
        </w:rPr>
      </w:pPr>
      <w:r>
        <w:rPr>
          <w:rFonts w:ascii="方正黑体_GBK" w:eastAsia="方正黑体_GBK" w:hAnsi="方正黑体_GBK" w:cs="方正黑体_GBK" w:hint="eastAsia"/>
          <w:color w:val="000000"/>
          <w:kern w:val="0"/>
          <w:sz w:val="16"/>
          <w:szCs w:val="16"/>
          <w:lang w:bidi="ar"/>
        </w:rPr>
        <w:t>机器学习【RF，GD，XGB，PLSR，SVM】，可以直接参考师兄的论文讲述。</w:t>
      </w:r>
    </w:p>
    <w:p w:rsidR="00661CB2" w:rsidRDefault="00661CB2">
      <w:pPr>
        <w:widowControl/>
        <w:jc w:val="left"/>
        <w:rPr>
          <w:rFonts w:ascii="方正黑体_GBK" w:eastAsia="方正黑体_GBK" w:hAnsi="方正黑体_GBK" w:cs="方正黑体_GBK"/>
          <w:color w:val="000000"/>
          <w:kern w:val="0"/>
          <w:sz w:val="16"/>
          <w:szCs w:val="16"/>
          <w:lang w:bidi="ar"/>
        </w:rPr>
      </w:pPr>
    </w:p>
    <w:p w:rsidR="00661CB2" w:rsidRDefault="00A25B17">
      <w:pPr>
        <w:widowControl/>
        <w:jc w:val="left"/>
        <w:rPr>
          <w:rFonts w:ascii="方正黑体_GBK" w:eastAsia="方正黑体_GBK" w:hAnsi="方正黑体_GBK" w:cs="方正黑体_GBK" w:hint="eastAsia"/>
          <w:color w:val="000000"/>
          <w:kern w:val="0"/>
          <w:sz w:val="16"/>
          <w:szCs w:val="16"/>
          <w:lang w:bidi="ar"/>
        </w:rPr>
      </w:pPr>
      <w:r w:rsidRPr="00661CB2">
        <w:rPr>
          <w:rFonts w:ascii="方正黑体_GBK" w:eastAsia="方正黑体_GBK" w:hAnsi="方正黑体_GBK" w:cs="方正黑体_GBK"/>
          <w:noProof/>
          <w:color w:val="000000"/>
          <w:kern w:val="0"/>
          <w:sz w:val="16"/>
          <w:szCs w:val="16"/>
          <w:lang w:bidi="ar"/>
        </w:rPr>
        <w:object w:dxaOrig="9560" w:dyaOrig="28300" w14:anchorId="633F3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9.8pt;height:1212.5pt;mso-width-percent:0;mso-height-percent:0;mso-width-percent:0;mso-height-percent:0" o:ole="">
            <v:imagedata r:id="rId13" o:title=""/>
          </v:shape>
          <o:OLEObject Type="Embed" ProgID="Excel.Sheet.12" ShapeID="_x0000_i1025" DrawAspect="Content" ObjectID="_1795866445" r:id="rId14"/>
        </w:object>
      </w:r>
    </w:p>
    <w:p w:rsidR="00D44DF1" w:rsidRDefault="00661CB2">
      <w:pPr>
        <w:widowControl/>
        <w:jc w:val="left"/>
        <w:rPr>
          <w:rStyle w:val="a4"/>
          <w:rFonts w:ascii="微软雅黑" w:eastAsia="微软雅黑" w:hAnsi="微软雅黑" w:cs="微软雅黑" w:hint="eastAsia"/>
          <w:bCs/>
          <w:color w:val="05073B"/>
          <w:sz w:val="22"/>
          <w:szCs w:val="22"/>
          <w:shd w:val="clear" w:color="auto" w:fill="FDFDFE"/>
        </w:rPr>
      </w:pPr>
      <w:r>
        <w:rPr>
          <w:rStyle w:val="a4"/>
          <w:rFonts w:ascii="微软雅黑" w:eastAsia="微软雅黑" w:hAnsi="微软雅黑" w:cs="微软雅黑" w:hint="eastAsia"/>
          <w:bCs/>
          <w:color w:val="05073B"/>
          <w:sz w:val="22"/>
          <w:szCs w:val="22"/>
          <w:shd w:val="clear" w:color="auto" w:fill="FDFDFE"/>
        </w:rPr>
        <w:lastRenderedPageBreak/>
        <w:t>深度学习【SE-CNN，ECA-CNN，CBAM-CNN】</w:t>
      </w:r>
    </w:p>
    <w:p w:rsidR="00661CB2" w:rsidRPr="00661CB2" w:rsidRDefault="00661CB2" w:rsidP="00661CB2">
      <w:pPr>
        <w:widowControl/>
        <w:jc w:val="left"/>
        <w:rPr>
          <w:rStyle w:val="a4"/>
          <w:rFonts w:ascii="Segoe UI" w:eastAsia="Segoe UI" w:hAnsi="Segoe UI" w:cs="Segoe UI"/>
          <w:bCs/>
          <w:color w:val="05073B"/>
          <w:sz w:val="22"/>
          <w:szCs w:val="22"/>
          <w:shd w:val="clear" w:color="auto" w:fill="FDFDFE"/>
        </w:rPr>
      </w:pPr>
      <w:r w:rsidRPr="00661CB2">
        <w:rPr>
          <w:rStyle w:val="a4"/>
          <w:rFonts w:ascii="Segoe UI" w:eastAsia="Segoe UI" w:hAnsi="Segoe UI" w:cs="Segoe UI"/>
          <w:bCs/>
          <w:color w:val="05073B"/>
          <w:sz w:val="22"/>
          <w:szCs w:val="22"/>
          <w:shd w:val="clear" w:color="auto" w:fill="FDFDFE"/>
        </w:rPr>
        <w:t>SE - CNN</w:t>
      </w:r>
    </w:p>
    <w:p w:rsidR="00661CB2" w:rsidRPr="00661CB2" w:rsidRDefault="00661CB2" w:rsidP="00661CB2">
      <w:pPr>
        <w:widowControl/>
        <w:jc w:val="left"/>
        <w:rPr>
          <w:rStyle w:val="a4"/>
          <w:rFonts w:ascii="Segoe UI" w:eastAsia="Segoe UI" w:hAnsi="Segoe UI" w:cs="Segoe UI" w:hint="eastAsia"/>
          <w:bCs/>
          <w:color w:val="05073B"/>
          <w:sz w:val="22"/>
          <w:szCs w:val="22"/>
          <w:shd w:val="clear" w:color="auto" w:fill="FDFDFE"/>
        </w:rPr>
      </w:pPr>
      <w:r w:rsidRPr="00661CB2">
        <w:rPr>
          <w:rStyle w:val="a4"/>
          <w:rFonts w:ascii="微软雅黑" w:eastAsia="微软雅黑" w:hAnsi="微软雅黑" w:cs="微软雅黑" w:hint="eastAsia"/>
          <w:bCs/>
          <w:color w:val="05073B"/>
          <w:sz w:val="22"/>
          <w:szCs w:val="22"/>
          <w:shd w:val="clear" w:color="auto" w:fill="FDFDFE"/>
        </w:rPr>
        <w:t>有挤压和激励操作，重校通道特征。</w:t>
      </w:r>
    </w:p>
    <w:p w:rsidR="00661CB2" w:rsidRPr="00661CB2" w:rsidRDefault="00661CB2" w:rsidP="00661CB2">
      <w:pPr>
        <w:widowControl/>
        <w:jc w:val="left"/>
        <w:rPr>
          <w:rStyle w:val="a4"/>
          <w:rFonts w:ascii="Segoe UI" w:eastAsia="Segoe UI" w:hAnsi="Segoe UI" w:cs="Segoe UI"/>
          <w:bCs/>
          <w:color w:val="05073B"/>
          <w:sz w:val="22"/>
          <w:szCs w:val="22"/>
          <w:shd w:val="clear" w:color="auto" w:fill="FDFDFE"/>
        </w:rPr>
      </w:pPr>
      <w:r w:rsidRPr="00661CB2">
        <w:rPr>
          <w:rStyle w:val="a4"/>
          <w:rFonts w:ascii="Segoe UI" w:eastAsia="Segoe UI" w:hAnsi="Segoe UI" w:cs="Segoe UI"/>
          <w:bCs/>
          <w:color w:val="05073B"/>
          <w:sz w:val="22"/>
          <w:szCs w:val="22"/>
          <w:shd w:val="clear" w:color="auto" w:fill="FDFDFE"/>
        </w:rPr>
        <w:t>ECA - CNN</w:t>
      </w:r>
    </w:p>
    <w:p w:rsidR="00661CB2" w:rsidRPr="00661CB2" w:rsidRDefault="00661CB2" w:rsidP="00661CB2">
      <w:pPr>
        <w:widowControl/>
        <w:jc w:val="left"/>
        <w:rPr>
          <w:rStyle w:val="a4"/>
          <w:rFonts w:ascii="Segoe UI" w:eastAsia="Segoe UI" w:hAnsi="Segoe UI" w:cs="Segoe UI" w:hint="eastAsia"/>
          <w:bCs/>
          <w:color w:val="05073B"/>
          <w:sz w:val="22"/>
          <w:szCs w:val="22"/>
          <w:shd w:val="clear" w:color="auto" w:fill="FDFDFE"/>
        </w:rPr>
      </w:pPr>
      <w:r w:rsidRPr="00661CB2">
        <w:rPr>
          <w:rStyle w:val="a4"/>
          <w:rFonts w:ascii="微软雅黑" w:eastAsia="微软雅黑" w:hAnsi="微软雅黑" w:cs="微软雅黑" w:hint="eastAsia"/>
          <w:bCs/>
          <w:color w:val="05073B"/>
          <w:sz w:val="22"/>
          <w:szCs w:val="22"/>
          <w:shd w:val="clear" w:color="auto" w:fill="FDFDFE"/>
        </w:rPr>
        <w:t>用一维卷积实现高效通道注意力机制。</w:t>
      </w:r>
    </w:p>
    <w:p w:rsidR="00661CB2" w:rsidRPr="00661CB2" w:rsidRDefault="00661CB2" w:rsidP="00661CB2">
      <w:pPr>
        <w:widowControl/>
        <w:jc w:val="left"/>
        <w:rPr>
          <w:rStyle w:val="a4"/>
          <w:rFonts w:ascii="Segoe UI" w:eastAsia="Segoe UI" w:hAnsi="Segoe UI" w:cs="Segoe UI"/>
          <w:bCs/>
          <w:color w:val="05073B"/>
          <w:sz w:val="22"/>
          <w:szCs w:val="22"/>
          <w:shd w:val="clear" w:color="auto" w:fill="FDFDFE"/>
        </w:rPr>
      </w:pPr>
      <w:r w:rsidRPr="00661CB2">
        <w:rPr>
          <w:rStyle w:val="a4"/>
          <w:rFonts w:ascii="Segoe UI" w:eastAsia="Segoe UI" w:hAnsi="Segoe UI" w:cs="Segoe UI"/>
          <w:bCs/>
          <w:color w:val="05073B"/>
          <w:sz w:val="22"/>
          <w:szCs w:val="22"/>
          <w:shd w:val="clear" w:color="auto" w:fill="FDFDFE"/>
        </w:rPr>
        <w:t>CBAM - CNN</w:t>
      </w:r>
    </w:p>
    <w:p w:rsidR="00661CB2" w:rsidRPr="00661CB2" w:rsidRDefault="00661CB2" w:rsidP="00661CB2">
      <w:pPr>
        <w:widowControl/>
        <w:jc w:val="left"/>
        <w:rPr>
          <w:rStyle w:val="a4"/>
          <w:rFonts w:ascii="Segoe UI" w:eastAsia="Segoe UI" w:hAnsi="Segoe UI" w:cs="Segoe UI" w:hint="eastAsia"/>
          <w:bCs/>
          <w:color w:val="05073B"/>
          <w:sz w:val="22"/>
          <w:szCs w:val="22"/>
          <w:shd w:val="clear" w:color="auto" w:fill="FDFDFE"/>
        </w:rPr>
      </w:pPr>
      <w:r w:rsidRPr="00661CB2">
        <w:rPr>
          <w:rStyle w:val="a4"/>
          <w:rFonts w:ascii="微软雅黑" w:eastAsia="微软雅黑" w:hAnsi="微软雅黑" w:cs="微软雅黑" w:hint="eastAsia"/>
          <w:bCs/>
          <w:color w:val="05073B"/>
          <w:sz w:val="22"/>
          <w:szCs w:val="22"/>
          <w:shd w:val="clear" w:color="auto" w:fill="FDFDFE"/>
        </w:rPr>
        <w:t>含通道和空间注意力模块提升精度。</w:t>
      </w:r>
    </w:p>
    <w:p w:rsidR="00661CB2" w:rsidRDefault="00661CB2" w:rsidP="00661CB2">
      <w:pPr>
        <w:widowControl/>
        <w:jc w:val="left"/>
        <w:rPr>
          <w:rStyle w:val="a4"/>
          <w:rFonts w:ascii="微软雅黑" w:eastAsia="微软雅黑" w:hAnsi="微软雅黑" w:cs="微软雅黑"/>
          <w:bCs/>
          <w:color w:val="05073B"/>
          <w:sz w:val="22"/>
          <w:szCs w:val="22"/>
          <w:shd w:val="clear" w:color="auto" w:fill="FDFDFE"/>
        </w:rPr>
      </w:pPr>
    </w:p>
    <w:p w:rsidR="001F00F4" w:rsidRDefault="00661CB2" w:rsidP="00661CB2">
      <w:pPr>
        <w:widowControl/>
        <w:jc w:val="left"/>
        <w:rPr>
          <w:rStyle w:val="a4"/>
          <w:rFonts w:ascii="微软雅黑" w:eastAsia="微软雅黑" w:hAnsi="微软雅黑" w:cs="微软雅黑"/>
          <w:bCs/>
          <w:color w:val="05073B"/>
          <w:sz w:val="22"/>
          <w:szCs w:val="22"/>
          <w:shd w:val="clear" w:color="auto" w:fill="FDFDFE"/>
        </w:rPr>
      </w:pPr>
      <w:r>
        <w:rPr>
          <w:rStyle w:val="a4"/>
          <w:rFonts w:ascii="Segoe UI" w:eastAsia="Segoe UI" w:hAnsi="Segoe UI" w:cs="Segoe UI" w:hint="eastAsia"/>
          <w:bCs/>
          <w:color w:val="05073B"/>
          <w:sz w:val="22"/>
          <w:szCs w:val="22"/>
          <w:shd w:val="clear" w:color="auto" w:fill="FDFDFE"/>
        </w:rPr>
        <w:t>CNN</w:t>
      </w:r>
      <w:r>
        <w:rPr>
          <w:rStyle w:val="a4"/>
          <w:rFonts w:ascii="微软雅黑" w:eastAsia="微软雅黑" w:hAnsi="微软雅黑" w:cs="微软雅黑" w:hint="eastAsia"/>
          <w:bCs/>
          <w:color w:val="05073B"/>
          <w:sz w:val="22"/>
          <w:szCs w:val="22"/>
          <w:shd w:val="clear" w:color="auto" w:fill="FDFDFE"/>
        </w:rPr>
        <w:t>网络架构：</w:t>
      </w:r>
    </w:p>
    <w:p w:rsidR="00661CB2" w:rsidRPr="001F00F4" w:rsidRDefault="001F00F4" w:rsidP="001F00F4">
      <w:pPr>
        <w:rPr>
          <w:rStyle w:val="a4"/>
          <w:rFonts w:ascii="微软雅黑" w:eastAsia="微软雅黑" w:hAnsi="微软雅黑" w:cs="微软雅黑" w:hint="eastAsia"/>
          <w:bCs/>
          <w:color w:val="05073B"/>
          <w:sz w:val="22"/>
          <w:szCs w:val="22"/>
          <w:shd w:val="clear" w:color="auto" w:fill="FDFDFE"/>
        </w:rPr>
      </w:pPr>
      <w:r w:rsidRPr="001F00F4">
        <w:rPr>
          <w:rStyle w:val="a4"/>
          <w:rFonts w:ascii="微软雅黑" w:eastAsia="微软雅黑" w:hAnsi="微软雅黑" w:cs="微软雅黑" w:hint="eastAsia"/>
          <w:bCs/>
          <w:color w:val="05073B"/>
          <w:sz w:val="22"/>
          <w:szCs w:val="22"/>
          <w:shd w:val="clear" w:color="auto" w:fill="FDFDFE"/>
        </w:rPr>
        <w:t>提出了一种结合多种深度学习模型和注意力机制的框架，通过在不同模型中引入注意力机制，增强了特征提取能力，从而提高了模型性能。实验结果验证了我们方法的有效性。</w:t>
      </w:r>
      <w:r w:rsidR="00661CB2">
        <w:rPr>
          <w:rStyle w:val="a4"/>
          <w:rFonts w:ascii="微软雅黑" w:eastAsia="微软雅黑" w:hAnsi="微软雅黑" w:cs="微软雅黑"/>
          <w:bCs/>
          <w:color w:val="05073B"/>
          <w:sz w:val="22"/>
          <w:szCs w:val="22"/>
          <w:shd w:val="clear" w:color="auto" w:fill="FDFDFE"/>
        </w:rPr>
        <w:br/>
      </w:r>
      <w:r w:rsidR="00661CB2" w:rsidRPr="00661CB2">
        <w:rPr>
          <w:rStyle w:val="a4"/>
          <w:rFonts w:ascii="微软雅黑" w:eastAsia="微软雅黑" w:hAnsi="微软雅黑" w:cs="微软雅黑" w:hint="eastAsia"/>
          <w:b w:val="0"/>
          <w:color w:val="05073B"/>
          <w:sz w:val="18"/>
          <w:szCs w:val="18"/>
          <w:shd w:val="clear" w:color="auto" w:fill="FDFDFE"/>
        </w:rPr>
        <w:t>卷积层和批归一化层：</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conv1 到 conv5 是五个卷积层，每个卷积层后面跟着一个批归一化层（Batch Normalization）。</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每个卷积层的输出通道数分别为 64, 128, 256, 512 和 1024。</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注意力机制：</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 xml:space="preserve">根据 </w:t>
      </w:r>
      <w:proofErr w:type="spellStart"/>
      <w:r w:rsidRPr="00661CB2">
        <w:rPr>
          <w:rStyle w:val="a4"/>
          <w:rFonts w:ascii="微软雅黑" w:eastAsia="微软雅黑" w:hAnsi="微软雅黑" w:cs="微软雅黑" w:hint="eastAsia"/>
          <w:b w:val="0"/>
          <w:color w:val="05073B"/>
          <w:sz w:val="18"/>
          <w:szCs w:val="18"/>
          <w:shd w:val="clear" w:color="auto" w:fill="FDFDFE"/>
        </w:rPr>
        <w:t>attention_type</w:t>
      </w:r>
      <w:proofErr w:type="spellEnd"/>
      <w:r w:rsidRPr="00661CB2">
        <w:rPr>
          <w:rStyle w:val="a4"/>
          <w:rFonts w:ascii="微软雅黑" w:eastAsia="微软雅黑" w:hAnsi="微软雅黑" w:cs="微软雅黑" w:hint="eastAsia"/>
          <w:b w:val="0"/>
          <w:color w:val="05073B"/>
          <w:sz w:val="18"/>
          <w:szCs w:val="18"/>
          <w:shd w:val="clear" w:color="auto" w:fill="FDFDFE"/>
        </w:rPr>
        <w:t xml:space="preserve"> 的不同，选择不同的注意力机制，包括 </w:t>
      </w:r>
      <w:proofErr w:type="spellStart"/>
      <w:r w:rsidRPr="00661CB2">
        <w:rPr>
          <w:rStyle w:val="a4"/>
          <w:rFonts w:ascii="微软雅黑" w:eastAsia="微软雅黑" w:hAnsi="微软雅黑" w:cs="微软雅黑" w:hint="eastAsia"/>
          <w:b w:val="0"/>
          <w:color w:val="05073B"/>
          <w:sz w:val="18"/>
          <w:szCs w:val="18"/>
          <w:shd w:val="clear" w:color="auto" w:fill="FDFDFE"/>
        </w:rPr>
        <w:t>SEBlock</w:t>
      </w:r>
      <w:proofErr w:type="spellEnd"/>
      <w:r w:rsidRPr="00661CB2">
        <w:rPr>
          <w:rStyle w:val="a4"/>
          <w:rFonts w:ascii="微软雅黑" w:eastAsia="微软雅黑" w:hAnsi="微软雅黑" w:cs="微软雅黑" w:hint="eastAsia"/>
          <w:b w:val="0"/>
          <w:color w:val="05073B"/>
          <w:sz w:val="18"/>
          <w:szCs w:val="18"/>
          <w:shd w:val="clear" w:color="auto" w:fill="FDFDFE"/>
        </w:rPr>
        <w:t xml:space="preserve">, </w:t>
      </w:r>
      <w:proofErr w:type="spellStart"/>
      <w:r w:rsidRPr="00661CB2">
        <w:rPr>
          <w:rStyle w:val="a4"/>
          <w:rFonts w:ascii="微软雅黑" w:eastAsia="微软雅黑" w:hAnsi="微软雅黑" w:cs="微软雅黑" w:hint="eastAsia"/>
          <w:b w:val="0"/>
          <w:color w:val="05073B"/>
          <w:sz w:val="18"/>
          <w:szCs w:val="18"/>
          <w:shd w:val="clear" w:color="auto" w:fill="FDFDFE"/>
        </w:rPr>
        <w:t>ECABlock</w:t>
      </w:r>
      <w:proofErr w:type="spellEnd"/>
      <w:r w:rsidRPr="00661CB2">
        <w:rPr>
          <w:rStyle w:val="a4"/>
          <w:rFonts w:ascii="微软雅黑" w:eastAsia="微软雅黑" w:hAnsi="微软雅黑" w:cs="微软雅黑" w:hint="eastAsia"/>
          <w:b w:val="0"/>
          <w:color w:val="05073B"/>
          <w:sz w:val="18"/>
          <w:szCs w:val="18"/>
          <w:shd w:val="clear" w:color="auto" w:fill="FDFDFE"/>
        </w:rPr>
        <w:t xml:space="preserve">, </w:t>
      </w:r>
      <w:proofErr w:type="spellStart"/>
      <w:r w:rsidRPr="00661CB2">
        <w:rPr>
          <w:rStyle w:val="a4"/>
          <w:rFonts w:ascii="微软雅黑" w:eastAsia="微软雅黑" w:hAnsi="微软雅黑" w:cs="微软雅黑" w:hint="eastAsia"/>
          <w:b w:val="0"/>
          <w:color w:val="05073B"/>
          <w:sz w:val="18"/>
          <w:szCs w:val="18"/>
          <w:shd w:val="clear" w:color="auto" w:fill="FDFDFE"/>
        </w:rPr>
        <w:t>CBAMBlock</w:t>
      </w:r>
      <w:proofErr w:type="spellEnd"/>
      <w:r w:rsidRPr="00661CB2">
        <w:rPr>
          <w:rStyle w:val="a4"/>
          <w:rFonts w:ascii="微软雅黑" w:eastAsia="微软雅黑" w:hAnsi="微软雅黑" w:cs="微软雅黑" w:hint="eastAsia"/>
          <w:b w:val="0"/>
          <w:color w:val="05073B"/>
          <w:sz w:val="18"/>
          <w:szCs w:val="18"/>
          <w:shd w:val="clear" w:color="auto" w:fill="FDFDFE"/>
        </w:rPr>
        <w:t>。</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每个卷积层后面都可以选择性地添加一个注意力机制模块。</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全连接层：</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fc1 到 fc5 是五个全连接层，分别将特征维度从 1024 降到 1。</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 xml:space="preserve">使用 </w:t>
      </w:r>
      <w:proofErr w:type="spellStart"/>
      <w:r w:rsidRPr="00661CB2">
        <w:rPr>
          <w:rStyle w:val="a4"/>
          <w:rFonts w:ascii="微软雅黑" w:eastAsia="微软雅黑" w:hAnsi="微软雅黑" w:cs="微软雅黑" w:hint="eastAsia"/>
          <w:b w:val="0"/>
          <w:color w:val="05073B"/>
          <w:sz w:val="18"/>
          <w:szCs w:val="18"/>
          <w:shd w:val="clear" w:color="auto" w:fill="FDFDFE"/>
        </w:rPr>
        <w:t>ReLU</w:t>
      </w:r>
      <w:proofErr w:type="spellEnd"/>
      <w:r w:rsidRPr="00661CB2">
        <w:rPr>
          <w:rStyle w:val="a4"/>
          <w:rFonts w:ascii="微软雅黑" w:eastAsia="微软雅黑" w:hAnsi="微软雅黑" w:cs="微软雅黑" w:hint="eastAsia"/>
          <w:b w:val="0"/>
          <w:color w:val="05073B"/>
          <w:sz w:val="18"/>
          <w:szCs w:val="18"/>
          <w:shd w:val="clear" w:color="auto" w:fill="FDFDFE"/>
        </w:rPr>
        <w:t xml:space="preserve">, </w:t>
      </w:r>
      <w:proofErr w:type="spellStart"/>
      <w:r w:rsidRPr="00661CB2">
        <w:rPr>
          <w:rStyle w:val="a4"/>
          <w:rFonts w:ascii="微软雅黑" w:eastAsia="微软雅黑" w:hAnsi="微软雅黑" w:cs="微软雅黑" w:hint="eastAsia"/>
          <w:b w:val="0"/>
          <w:color w:val="05073B"/>
          <w:sz w:val="18"/>
          <w:szCs w:val="18"/>
          <w:shd w:val="clear" w:color="auto" w:fill="FDFDFE"/>
        </w:rPr>
        <w:t>LeakyReLU</w:t>
      </w:r>
      <w:proofErr w:type="spellEnd"/>
      <w:r w:rsidRPr="00661CB2">
        <w:rPr>
          <w:rStyle w:val="a4"/>
          <w:rFonts w:ascii="微软雅黑" w:eastAsia="微软雅黑" w:hAnsi="微软雅黑" w:cs="微软雅黑" w:hint="eastAsia"/>
          <w:b w:val="0"/>
          <w:color w:val="05073B"/>
          <w:sz w:val="18"/>
          <w:szCs w:val="18"/>
          <w:shd w:val="clear" w:color="auto" w:fill="FDFDFE"/>
        </w:rPr>
        <w:t xml:space="preserve"> 和 ELU 作为激活函数。</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池化层：</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使用最大池化层（Max Pooling）和自适应池化层（Adaptive Pooling）来减少特征图的尺寸。</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前向传播：</w:t>
      </w:r>
    </w:p>
    <w:p w:rsidR="00661CB2" w:rsidRPr="00661CB2" w:rsidRDefault="00661CB2" w:rsidP="00661CB2">
      <w:pPr>
        <w:widowControl/>
        <w:jc w:val="left"/>
        <w:rPr>
          <w:rStyle w:val="a4"/>
          <w:rFonts w:ascii="微软雅黑" w:eastAsia="微软雅黑" w:hAnsi="微软雅黑" w:cs="微软雅黑" w:hint="eastAsia"/>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在前向传播过程中，输入数据依次通过卷积层、批归一化层、激活函数、池化层和注意力机制模块。</w:t>
      </w:r>
    </w:p>
    <w:p w:rsidR="00661CB2" w:rsidRDefault="00661CB2" w:rsidP="00661CB2">
      <w:pPr>
        <w:widowControl/>
        <w:jc w:val="left"/>
        <w:rPr>
          <w:rStyle w:val="a4"/>
          <w:rFonts w:ascii="微软雅黑" w:eastAsia="微软雅黑" w:hAnsi="微软雅黑" w:cs="微软雅黑"/>
          <w:b w:val="0"/>
          <w:color w:val="05073B"/>
          <w:sz w:val="18"/>
          <w:szCs w:val="18"/>
          <w:shd w:val="clear" w:color="auto" w:fill="FDFDFE"/>
        </w:rPr>
      </w:pPr>
      <w:r w:rsidRPr="00661CB2">
        <w:rPr>
          <w:rStyle w:val="a4"/>
          <w:rFonts w:ascii="微软雅黑" w:eastAsia="微软雅黑" w:hAnsi="微软雅黑" w:cs="微软雅黑" w:hint="eastAsia"/>
          <w:b w:val="0"/>
          <w:color w:val="05073B"/>
          <w:sz w:val="18"/>
          <w:szCs w:val="18"/>
          <w:shd w:val="clear" w:color="auto" w:fill="FDFDFE"/>
        </w:rPr>
        <w:t>最后，通过全连接层进行分类。</w:t>
      </w:r>
      <w:r w:rsidR="001F00F4">
        <w:rPr>
          <w:rStyle w:val="a4"/>
          <w:rFonts w:ascii="微软雅黑" w:eastAsia="微软雅黑" w:hAnsi="微软雅黑" w:cs="微软雅黑"/>
          <w:b w:val="0"/>
          <w:color w:val="05073B"/>
          <w:sz w:val="18"/>
          <w:szCs w:val="18"/>
          <w:shd w:val="clear" w:color="auto" w:fill="FDFDFE"/>
        </w:rPr>
        <w:br/>
      </w:r>
    </w:p>
    <w:p w:rsidR="001F00F4" w:rsidRDefault="001F00F4" w:rsidP="00661CB2">
      <w:pPr>
        <w:widowControl/>
        <w:jc w:val="left"/>
        <w:rPr>
          <w:rStyle w:val="a4"/>
          <w:rFonts w:ascii="微软雅黑" w:eastAsia="微软雅黑" w:hAnsi="微软雅黑" w:cs="微软雅黑" w:hint="eastAsia"/>
          <w:b w:val="0"/>
          <w:color w:val="05073B"/>
          <w:sz w:val="18"/>
          <w:szCs w:val="18"/>
          <w:shd w:val="clear" w:color="auto" w:fill="FDFDFE"/>
        </w:rPr>
      </w:pPr>
      <w:proofErr w:type="spellStart"/>
      <w:r>
        <w:rPr>
          <w:rStyle w:val="a4"/>
          <w:rFonts w:ascii="微软雅黑" w:eastAsia="微软雅黑" w:hAnsi="微软雅黑" w:cs="微软雅黑"/>
          <w:b w:val="0"/>
          <w:color w:val="05073B"/>
          <w:sz w:val="18"/>
          <w:szCs w:val="18"/>
          <w:shd w:val="clear" w:color="auto" w:fill="FDFDFE"/>
        </w:rPr>
        <w:t>T</w:t>
      </w:r>
      <w:r>
        <w:rPr>
          <w:rStyle w:val="a4"/>
          <w:rFonts w:ascii="微软雅黑" w:eastAsia="微软雅黑" w:hAnsi="微软雅黑" w:cs="微软雅黑" w:hint="eastAsia"/>
          <w:b w:val="0"/>
          <w:color w:val="05073B"/>
          <w:sz w:val="18"/>
          <w:szCs w:val="18"/>
          <w:shd w:val="clear" w:color="auto" w:fill="FDFDFE"/>
        </w:rPr>
        <w:t>rain</w:t>
      </w:r>
      <w:r>
        <w:rPr>
          <w:rStyle w:val="a4"/>
          <w:rFonts w:ascii="微软雅黑" w:eastAsia="微软雅黑" w:hAnsi="微软雅黑" w:cs="微软雅黑"/>
          <w:b w:val="0"/>
          <w:color w:val="05073B"/>
          <w:sz w:val="18"/>
          <w:szCs w:val="18"/>
          <w:shd w:val="clear" w:color="auto" w:fill="FDFDFE"/>
        </w:rPr>
        <w:t>_model</w:t>
      </w:r>
      <w:proofErr w:type="spellEnd"/>
      <w:r>
        <w:rPr>
          <w:rStyle w:val="a4"/>
          <w:rFonts w:ascii="微软雅黑" w:eastAsia="微软雅黑" w:hAnsi="微软雅黑" w:cs="微软雅黑" w:hint="eastAsia"/>
          <w:b w:val="0"/>
          <w:color w:val="05073B"/>
          <w:sz w:val="18"/>
          <w:szCs w:val="18"/>
          <w:shd w:val="clear" w:color="auto" w:fill="FDFDFE"/>
        </w:rPr>
        <w:t>：</w:t>
      </w: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学习率（Learning Rate）：控制模型权重更新的步长。较高的学习率可能导致训练不稳定，而较低的学习率可能导致训练速度过慢。</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优化器（Optimizer）：用于更新模型权重的算法。常用的优化器包括随机梯度下降（SGD）、Adam、RMSprop 等。</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损失函数（Loss Function）：衡量模型预测值与真实值之间差异的函数。常用的损失函数包括均方误差（MSE）、交叉熵损失（Cross-Entropy Loss）等。</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lastRenderedPageBreak/>
        <w:t>批量大小（Batch Size）：每次迭代中用于训练模型的样本数量。较大的批量大小可以提高训练速度，但需要更多的内存。</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训练轮数（Epochs）：整个训练数据集被用于训练模型的次数。更多的训练轮数可以提高模型的性能，但也可能导致过拟合。</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 xml:space="preserve">学习率调度器（Learning Rate Scheduler）：动态调整学习率的策略。常用的调度器包括 </w:t>
      </w:r>
      <w:proofErr w:type="spellStart"/>
      <w:r w:rsidRPr="00D34FF1">
        <w:rPr>
          <w:rStyle w:val="a4"/>
          <w:rFonts w:ascii="微软雅黑" w:eastAsia="微软雅黑" w:hAnsi="微软雅黑" w:cs="微软雅黑" w:hint="eastAsia"/>
          <w:b w:val="0"/>
          <w:color w:val="05073B"/>
          <w:sz w:val="18"/>
          <w:szCs w:val="18"/>
          <w:shd w:val="clear" w:color="auto" w:fill="FDFDFE"/>
        </w:rPr>
        <w:t>ReduceLROnPlateau</w:t>
      </w:r>
      <w:proofErr w:type="spellEnd"/>
      <w:r w:rsidRPr="00D34FF1">
        <w:rPr>
          <w:rStyle w:val="a4"/>
          <w:rFonts w:ascii="微软雅黑" w:eastAsia="微软雅黑" w:hAnsi="微软雅黑" w:cs="微软雅黑" w:hint="eastAsia"/>
          <w:b w:val="0"/>
          <w:color w:val="05073B"/>
          <w:sz w:val="18"/>
          <w:szCs w:val="18"/>
          <w:shd w:val="clear" w:color="auto" w:fill="FDFDFE"/>
        </w:rPr>
        <w:t>、</w:t>
      </w:r>
      <w:proofErr w:type="spellStart"/>
      <w:r w:rsidRPr="00D34FF1">
        <w:rPr>
          <w:rStyle w:val="a4"/>
          <w:rFonts w:ascii="微软雅黑" w:eastAsia="微软雅黑" w:hAnsi="微软雅黑" w:cs="微软雅黑" w:hint="eastAsia"/>
          <w:b w:val="0"/>
          <w:color w:val="05073B"/>
          <w:sz w:val="18"/>
          <w:szCs w:val="18"/>
          <w:shd w:val="clear" w:color="auto" w:fill="FDFDFE"/>
        </w:rPr>
        <w:t>StepLR</w:t>
      </w:r>
      <w:proofErr w:type="spellEnd"/>
      <w:r w:rsidRPr="00D34FF1">
        <w:rPr>
          <w:rStyle w:val="a4"/>
          <w:rFonts w:ascii="微软雅黑" w:eastAsia="微软雅黑" w:hAnsi="微软雅黑" w:cs="微软雅黑" w:hint="eastAsia"/>
          <w:b w:val="0"/>
          <w:color w:val="05073B"/>
          <w:sz w:val="18"/>
          <w:szCs w:val="18"/>
          <w:shd w:val="clear" w:color="auto" w:fill="FDFDFE"/>
        </w:rPr>
        <w:t xml:space="preserve"> 等。</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正则化参数（Regularization Parameters）：用于防止过拟合的技术，如权重衰减（Weight Decay）、Dropout 等。</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早停（Early Stopping）：在验证集性能不再提升时提前停止训练，以防止过拟合。</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Pr="00D34FF1" w:rsidRDefault="00D34FF1" w:rsidP="00D34FF1">
      <w:pPr>
        <w:widowControl/>
        <w:jc w:val="left"/>
        <w:rPr>
          <w:rStyle w:val="a4"/>
          <w:rFonts w:ascii="微软雅黑" w:eastAsia="微软雅黑" w:hAnsi="微软雅黑" w:cs="微软雅黑" w:hint="eastAsia"/>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数据增强（Data Augmentation）：通过对训练数据进行随机变换（如旋转、缩放、翻转等）来增加数据多样性，从而提高模型的泛化能力。</w:t>
      </w:r>
    </w:p>
    <w:p w:rsidR="00D34FF1" w:rsidRP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p>
    <w:p w:rsidR="00D34FF1" w:rsidRDefault="00D34FF1" w:rsidP="00D34FF1">
      <w:pPr>
        <w:widowControl/>
        <w:jc w:val="left"/>
        <w:rPr>
          <w:rStyle w:val="a4"/>
          <w:rFonts w:ascii="微软雅黑" w:eastAsia="微软雅黑" w:hAnsi="微软雅黑" w:cs="微软雅黑"/>
          <w:b w:val="0"/>
          <w:color w:val="05073B"/>
          <w:sz w:val="18"/>
          <w:szCs w:val="18"/>
          <w:shd w:val="clear" w:color="auto" w:fill="FDFDFE"/>
        </w:rPr>
      </w:pPr>
      <w:r w:rsidRPr="00D34FF1">
        <w:rPr>
          <w:rStyle w:val="a4"/>
          <w:rFonts w:ascii="微软雅黑" w:eastAsia="微软雅黑" w:hAnsi="微软雅黑" w:cs="微软雅黑" w:hint="eastAsia"/>
          <w:b w:val="0"/>
          <w:color w:val="05073B"/>
          <w:sz w:val="18"/>
          <w:szCs w:val="18"/>
          <w:shd w:val="clear" w:color="auto" w:fill="FDFDFE"/>
        </w:rPr>
        <w:t>K 折交叉验证（K-Fold Cross-Validation）：将数据集分成 K 个子集，进行 K 次训练和验证，每次使用一个不同的子集作为验证集，其余子集作为训练集，以评估模型的泛化性能。</w:t>
      </w:r>
    </w:p>
    <w:p w:rsidR="00D44DF1" w:rsidRDefault="00000000" w:rsidP="00D34FF1">
      <w:pPr>
        <w:widowControl/>
        <w:jc w:val="left"/>
        <w:rPr>
          <w:rStyle w:val="a4"/>
          <w:rFonts w:ascii="Segoe UI" w:eastAsia="Segoe UI" w:hAnsi="Segoe UI" w:cs="Segoe UI"/>
          <w:bCs/>
          <w:color w:val="05073B"/>
          <w:sz w:val="22"/>
          <w:szCs w:val="22"/>
          <w:shd w:val="clear" w:color="auto" w:fill="FDFDFE"/>
        </w:rPr>
      </w:pPr>
      <w:r>
        <w:rPr>
          <w:rStyle w:val="a4"/>
          <w:rFonts w:ascii="Segoe UI" w:eastAsia="Segoe UI" w:hAnsi="Segoe UI" w:cs="Segoe UI" w:hint="eastAsia"/>
          <w:bCs/>
          <w:color w:val="05073B"/>
          <w:sz w:val="22"/>
          <w:szCs w:val="22"/>
          <w:shd w:val="clear" w:color="auto" w:fill="FDFDFE"/>
        </w:rPr>
        <w:t>2.4 模型解释性分析</w:t>
      </w:r>
    </w:p>
    <w:p w:rsidR="00D44DF1" w:rsidRDefault="00D44DF1">
      <w:pPr>
        <w:widowControl/>
        <w:jc w:val="left"/>
        <w:rPr>
          <w:rFonts w:ascii="方正黑体_GBK" w:eastAsia="方正黑体_GBK" w:hAnsi="方正黑体_GBK" w:cs="方正黑体_GBK"/>
          <w:color w:val="000000"/>
          <w:kern w:val="0"/>
          <w:sz w:val="16"/>
          <w:szCs w:val="16"/>
          <w:lang w:bidi="ar"/>
        </w:rPr>
      </w:pPr>
    </w:p>
    <w:p w:rsidR="00D34FF1" w:rsidRPr="00D34FF1" w:rsidRDefault="00D34FF1" w:rsidP="00D34FF1">
      <w:pPr>
        <w:widowControl/>
        <w:jc w:val="left"/>
        <w:rPr>
          <w:rFonts w:ascii="方正黑体_GBK" w:eastAsia="方正黑体_GBK" w:hAnsi="方正黑体_GBK" w:cs="方正黑体_GBK"/>
          <w:color w:val="000000"/>
          <w:kern w:val="0"/>
          <w:sz w:val="16"/>
          <w:szCs w:val="16"/>
          <w:lang w:bidi="ar"/>
        </w:rPr>
      </w:pPr>
      <w:r w:rsidRPr="00D34FF1">
        <w:rPr>
          <w:rFonts w:ascii="方正黑体_GBK" w:eastAsia="方正黑体_GBK" w:hAnsi="方正黑体_GBK" w:cs="方正黑体_GBK"/>
          <w:color w:val="000000"/>
          <w:kern w:val="0"/>
          <w:sz w:val="16"/>
          <w:szCs w:val="16"/>
          <w:lang w:bidi="ar"/>
        </w:rPr>
        <w:t>SHAP (</w:t>
      </w:r>
      <w:proofErr w:type="spellStart"/>
      <w:r w:rsidRPr="00D34FF1">
        <w:rPr>
          <w:rFonts w:ascii="方正黑体_GBK" w:eastAsia="方正黑体_GBK" w:hAnsi="方正黑体_GBK" w:cs="方正黑体_GBK"/>
          <w:color w:val="000000"/>
          <w:kern w:val="0"/>
          <w:sz w:val="16"/>
          <w:szCs w:val="16"/>
          <w:lang w:bidi="ar"/>
        </w:rPr>
        <w:t>SHapley</w:t>
      </w:r>
      <w:proofErr w:type="spellEnd"/>
      <w:r w:rsidRPr="00D34FF1">
        <w:rPr>
          <w:rFonts w:ascii="方正黑体_GBK" w:eastAsia="方正黑体_GBK" w:hAnsi="方正黑体_GBK" w:cs="方正黑体_GBK"/>
          <w:color w:val="000000"/>
          <w:kern w:val="0"/>
          <w:sz w:val="16"/>
          <w:szCs w:val="16"/>
          <w:lang w:bidi="ar"/>
        </w:rPr>
        <w:t xml:space="preserve"> Additive </w:t>
      </w:r>
      <w:proofErr w:type="spellStart"/>
      <w:r w:rsidRPr="00D34FF1">
        <w:rPr>
          <w:rFonts w:ascii="方正黑体_GBK" w:eastAsia="方正黑体_GBK" w:hAnsi="方正黑体_GBK" w:cs="方正黑体_GBK"/>
          <w:color w:val="000000"/>
          <w:kern w:val="0"/>
          <w:sz w:val="16"/>
          <w:szCs w:val="16"/>
          <w:lang w:bidi="ar"/>
        </w:rPr>
        <w:t>exPlanations</w:t>
      </w:r>
      <w:proofErr w:type="spellEnd"/>
      <w:r w:rsidRPr="00D34FF1">
        <w:rPr>
          <w:rFonts w:ascii="方正黑体_GBK" w:eastAsia="方正黑体_GBK" w:hAnsi="方正黑体_GBK" w:cs="方正黑体_GBK"/>
          <w:color w:val="000000"/>
          <w:kern w:val="0"/>
          <w:sz w:val="16"/>
          <w:szCs w:val="16"/>
          <w:lang w:bidi="ar"/>
        </w:rPr>
        <w:t>)</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SHAP是一种基于博弈论的解释方法，用于解释机器学习模型的输出。它通过计算每个特征对预测结果的贡献来提供全局和局部解释。SHAP值是基于Shapley值计算的，Shapley值是博弈论中用于分配合作收益的一种方法。SHAP的主要优点包括：</w:t>
      </w:r>
    </w:p>
    <w:p w:rsidR="00D34FF1" w:rsidRPr="00D34FF1" w:rsidRDefault="00D34FF1" w:rsidP="00D34FF1">
      <w:pPr>
        <w:widowControl/>
        <w:jc w:val="left"/>
        <w:rPr>
          <w:rFonts w:ascii="方正黑体_GBK" w:eastAsia="方正黑体_GBK" w:hAnsi="方正黑体_GBK" w:cs="方正黑体_GBK"/>
          <w:color w:val="000000"/>
          <w:kern w:val="0"/>
          <w:sz w:val="16"/>
          <w:szCs w:val="16"/>
          <w:lang w:bidi="ar"/>
        </w:rPr>
      </w:pP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一致性：SHAP值满足一致性属性，即如果一个特征对模型的贡献增加，其SHAP值也会增加。</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局部解释：SHAP值可以为每个单独的预测提供解释，显示每个特征对该预测的贡献。</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全局解释：通过聚合多个SHAP值，可以获得模型的全局解释，了解哪些特征在整体上最重要。</w:t>
      </w:r>
    </w:p>
    <w:p w:rsidR="00D34FF1" w:rsidRPr="00D34FF1" w:rsidRDefault="00D34FF1" w:rsidP="00D34FF1">
      <w:pPr>
        <w:widowControl/>
        <w:jc w:val="left"/>
        <w:rPr>
          <w:rFonts w:ascii="方正黑体_GBK" w:eastAsia="方正黑体_GBK" w:hAnsi="方正黑体_GBK" w:cs="方正黑体_GBK"/>
          <w:color w:val="000000"/>
          <w:kern w:val="0"/>
          <w:sz w:val="16"/>
          <w:szCs w:val="16"/>
          <w:lang w:bidi="ar"/>
        </w:rPr>
      </w:pPr>
      <w:r w:rsidRPr="00D34FF1">
        <w:rPr>
          <w:rFonts w:ascii="方正黑体_GBK" w:eastAsia="方正黑体_GBK" w:hAnsi="方正黑体_GBK" w:cs="方正黑体_GBK"/>
          <w:color w:val="000000"/>
          <w:kern w:val="0"/>
          <w:sz w:val="16"/>
          <w:szCs w:val="16"/>
          <w:lang w:bidi="ar"/>
        </w:rPr>
        <w:t>LIME (Local Interpretable Model-agnostic Explanations)</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LIME是一种模型无关的解释方法，通过在局部区域内拟合一个简单的可解释模型来解释复杂模型的预测。LIME的主要步骤包括：</w:t>
      </w:r>
    </w:p>
    <w:p w:rsidR="00D34FF1" w:rsidRPr="00D34FF1" w:rsidRDefault="00D34FF1" w:rsidP="00D34FF1">
      <w:pPr>
        <w:widowControl/>
        <w:jc w:val="left"/>
        <w:rPr>
          <w:rFonts w:ascii="方正黑体_GBK" w:eastAsia="方正黑体_GBK" w:hAnsi="方正黑体_GBK" w:cs="方正黑体_GBK"/>
          <w:color w:val="000000"/>
          <w:kern w:val="0"/>
          <w:sz w:val="16"/>
          <w:szCs w:val="16"/>
          <w:lang w:bidi="ar"/>
        </w:rPr>
      </w:pP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生成邻域数据：在待解释样本的邻域内生成一组新的样本，并使用原始模型进行预测。</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拟合解释模型：使用这些邻域数据和预测结果，拟合一个简单的可解释模型（如线性模型）。</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解释预测：使用拟合的解释模型来解释原始模型在待解释样本上的预测。</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LIME的主要优点包括：</w:t>
      </w:r>
    </w:p>
    <w:p w:rsidR="00D34FF1" w:rsidRPr="00D34FF1" w:rsidRDefault="00D34FF1" w:rsidP="00D34FF1">
      <w:pPr>
        <w:widowControl/>
        <w:jc w:val="left"/>
        <w:rPr>
          <w:rFonts w:ascii="方正黑体_GBK" w:eastAsia="方正黑体_GBK" w:hAnsi="方正黑体_GBK" w:cs="方正黑体_GBK"/>
          <w:color w:val="000000"/>
          <w:kern w:val="0"/>
          <w:sz w:val="16"/>
          <w:szCs w:val="16"/>
          <w:lang w:bidi="ar"/>
        </w:rPr>
      </w:pP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模型无关性：LIME可以应用于任何机器学习模型，无论其复杂性如何。</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局部解释：LIME提供局部解释，显示在特定样本附近哪些特征最重要。</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灵活性：LIME可以通过调整邻域数据的生成方式和解释模型的类型来适应不同的应用场景。</w:t>
      </w:r>
    </w:p>
    <w:p w:rsidR="00D34FF1" w:rsidRPr="00D34FF1" w:rsidRDefault="00D34FF1" w:rsidP="00D34FF1">
      <w:pPr>
        <w:widowControl/>
        <w:jc w:val="left"/>
        <w:rPr>
          <w:rFonts w:ascii="方正黑体_GBK" w:eastAsia="方正黑体_GBK" w:hAnsi="方正黑体_GBK" w:cs="方正黑体_GBK" w:hint="eastAsia"/>
          <w:color w:val="000000"/>
          <w:kern w:val="0"/>
          <w:sz w:val="16"/>
          <w:szCs w:val="16"/>
          <w:lang w:bidi="ar"/>
        </w:rPr>
      </w:pPr>
      <w:r w:rsidRPr="00D34FF1">
        <w:rPr>
          <w:rFonts w:ascii="方正黑体_GBK" w:eastAsia="方正黑体_GBK" w:hAnsi="方正黑体_GBK" w:cs="方正黑体_GBK" w:hint="eastAsia"/>
          <w:color w:val="000000"/>
          <w:kern w:val="0"/>
          <w:sz w:val="16"/>
          <w:szCs w:val="16"/>
          <w:lang w:bidi="ar"/>
        </w:rPr>
        <w:t>参考文献</w:t>
      </w:r>
    </w:p>
    <w:p w:rsidR="00D34FF1" w:rsidRPr="00D34FF1" w:rsidRDefault="00D34FF1" w:rsidP="00D34FF1">
      <w:pPr>
        <w:widowControl/>
        <w:jc w:val="left"/>
        <w:rPr>
          <w:rFonts w:ascii="方正黑体_GBK" w:eastAsia="方正黑体_GBK" w:hAnsi="方正黑体_GBK" w:cs="方正黑体_GBK"/>
          <w:color w:val="000000"/>
          <w:kern w:val="0"/>
          <w:sz w:val="16"/>
          <w:szCs w:val="16"/>
          <w:lang w:bidi="ar"/>
        </w:rPr>
      </w:pPr>
      <w:r w:rsidRPr="00D34FF1">
        <w:rPr>
          <w:rFonts w:ascii="方正黑体_GBK" w:eastAsia="方正黑体_GBK" w:hAnsi="方正黑体_GBK" w:cs="方正黑体_GBK"/>
          <w:color w:val="000000"/>
          <w:kern w:val="0"/>
          <w:sz w:val="16"/>
          <w:szCs w:val="16"/>
          <w:lang w:bidi="ar"/>
        </w:rPr>
        <w:t>Lundberg, S. M., &amp; Lee, S.-I. (2017). A Unified Approach to Interpreting Model Predictions. In Advances in Neural Information Processing Systems (pp. 4765-4774).</w:t>
      </w:r>
    </w:p>
    <w:p w:rsidR="00D44DF1" w:rsidRDefault="00D34FF1" w:rsidP="00D34FF1">
      <w:pPr>
        <w:widowControl/>
        <w:jc w:val="left"/>
        <w:rPr>
          <w:rFonts w:ascii="方正黑体_GBK" w:eastAsia="方正黑体_GBK" w:hAnsi="方正黑体_GBK" w:cs="方正黑体_GBK"/>
          <w:color w:val="000000"/>
          <w:kern w:val="0"/>
          <w:sz w:val="16"/>
          <w:szCs w:val="16"/>
          <w:lang w:bidi="ar"/>
        </w:rPr>
      </w:pPr>
      <w:r w:rsidRPr="00D34FF1">
        <w:rPr>
          <w:rFonts w:ascii="方正黑体_GBK" w:eastAsia="方正黑体_GBK" w:hAnsi="方正黑体_GBK" w:cs="方正黑体_GBK"/>
          <w:color w:val="000000"/>
          <w:kern w:val="0"/>
          <w:sz w:val="16"/>
          <w:szCs w:val="16"/>
          <w:lang w:bidi="ar"/>
        </w:rPr>
        <w:lastRenderedPageBreak/>
        <w:t xml:space="preserve">Ribeiro, M. T., Singh, S., &amp; </w:t>
      </w:r>
      <w:proofErr w:type="spellStart"/>
      <w:r w:rsidRPr="00D34FF1">
        <w:rPr>
          <w:rFonts w:ascii="方正黑体_GBK" w:eastAsia="方正黑体_GBK" w:hAnsi="方正黑体_GBK" w:cs="方正黑体_GBK"/>
          <w:color w:val="000000"/>
          <w:kern w:val="0"/>
          <w:sz w:val="16"/>
          <w:szCs w:val="16"/>
          <w:lang w:bidi="ar"/>
        </w:rPr>
        <w:t>Guestrin</w:t>
      </w:r>
      <w:proofErr w:type="spellEnd"/>
      <w:r w:rsidRPr="00D34FF1">
        <w:rPr>
          <w:rFonts w:ascii="方正黑体_GBK" w:eastAsia="方正黑体_GBK" w:hAnsi="方正黑体_GBK" w:cs="方正黑体_GBK"/>
          <w:color w:val="000000"/>
          <w:kern w:val="0"/>
          <w:sz w:val="16"/>
          <w:szCs w:val="16"/>
          <w:lang w:bidi="ar"/>
        </w:rPr>
        <w:t>, C. (2016). "Why Should I Trust You?": Explaining the Predictions of Any Classifier. In Proceedings of the 22nd ACM SIGKDD International Conference on Knowledge Discovery and Data Mining (pp. 1135-1144).</w:t>
      </w:r>
    </w:p>
    <w:p w:rsidR="00D44DF1" w:rsidRDefault="00D44DF1">
      <w:pPr>
        <w:widowControl/>
        <w:jc w:val="left"/>
        <w:rPr>
          <w:rFonts w:ascii="方正黑体_GBK" w:eastAsia="方正黑体_GBK" w:hAnsi="方正黑体_GBK" w:cs="方正黑体_GBK"/>
          <w:color w:val="000000"/>
          <w:kern w:val="0"/>
          <w:sz w:val="16"/>
          <w:szCs w:val="16"/>
          <w:lang w:bidi="ar"/>
        </w:rPr>
      </w:pPr>
    </w:p>
    <w:p w:rsidR="00D44DF1" w:rsidRDefault="00D44DF1">
      <w:pPr>
        <w:widowControl/>
        <w:jc w:val="left"/>
        <w:rPr>
          <w:rStyle w:val="a4"/>
          <w:rFonts w:ascii="Segoe UI" w:eastAsia="Segoe UI" w:hAnsi="Segoe UI" w:cs="Segoe UI"/>
          <w:bCs/>
          <w:color w:val="05073B"/>
          <w:sz w:val="22"/>
          <w:szCs w:val="22"/>
          <w:shd w:val="clear" w:color="auto" w:fill="FDFDFE"/>
        </w:rPr>
      </w:pPr>
    </w:p>
    <w:p w:rsidR="00D44DF1" w:rsidRDefault="00D44DF1">
      <w:pPr>
        <w:widowControl/>
        <w:jc w:val="left"/>
        <w:rPr>
          <w:rStyle w:val="a4"/>
          <w:rFonts w:ascii="Segoe UI" w:eastAsia="Segoe UI" w:hAnsi="Segoe UI" w:cs="Segoe UI"/>
          <w:bCs/>
          <w:color w:val="05073B"/>
          <w:sz w:val="22"/>
          <w:szCs w:val="22"/>
          <w:shd w:val="clear" w:color="auto" w:fill="FDFDFE"/>
        </w:rPr>
      </w:pPr>
    </w:p>
    <w:p w:rsidR="00D44DF1" w:rsidRDefault="00D44DF1">
      <w:pPr>
        <w:widowControl/>
        <w:jc w:val="left"/>
        <w:rPr>
          <w:rFonts w:ascii="方正黑体_GBK" w:eastAsia="方正黑体_GBK" w:hAnsi="方正黑体_GBK" w:cs="方正黑体_GBK"/>
          <w:color w:val="000000"/>
          <w:kern w:val="0"/>
          <w:sz w:val="16"/>
          <w:szCs w:val="16"/>
          <w:lang w:bidi="ar"/>
        </w:rPr>
      </w:pPr>
    </w:p>
    <w:p w:rsidR="00D44DF1" w:rsidRDefault="00D44DF1">
      <w:pPr>
        <w:pStyle w:val="a3"/>
        <w:widowControl/>
        <w:shd w:val="clear" w:color="auto" w:fill="FDFDFE"/>
        <w:spacing w:beforeAutospacing="0" w:afterAutospacing="0" w:line="26" w:lineRule="atLeast"/>
        <w:rPr>
          <w:rStyle w:val="a4"/>
          <w:rFonts w:ascii="Segoe UI" w:eastAsia="Segoe UI" w:hAnsi="Segoe UI" w:cs="Segoe UI"/>
          <w:bCs/>
          <w:color w:val="05073B"/>
          <w:sz w:val="22"/>
          <w:szCs w:val="22"/>
          <w:shd w:val="clear" w:color="auto" w:fill="FDFDFE"/>
        </w:rPr>
      </w:pPr>
    </w:p>
    <w:p w:rsidR="00D44DF1" w:rsidRDefault="00D44DF1">
      <w:pPr>
        <w:rPr>
          <w:vertAlign w:val="superscript"/>
        </w:rPr>
      </w:pPr>
    </w:p>
    <w:sectPr w:rsidR="00D44D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方正黑体_GBK">
    <w:altName w:val="微软雅黑"/>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3469633"/>
    <w:multiLevelType w:val="singleLevel"/>
    <w:tmpl w:val="B3469633"/>
    <w:lvl w:ilvl="0">
      <w:start w:val="2"/>
      <w:numFmt w:val="decimal"/>
      <w:lvlText w:val="%1."/>
      <w:lvlJc w:val="left"/>
      <w:pPr>
        <w:tabs>
          <w:tab w:val="left" w:pos="312"/>
        </w:tabs>
      </w:pPr>
    </w:lvl>
  </w:abstractNum>
  <w:num w:numId="1" w16cid:durableId="1426998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4DF1"/>
    <w:rsid w:val="001F00F4"/>
    <w:rsid w:val="00243C09"/>
    <w:rsid w:val="00380936"/>
    <w:rsid w:val="00661CB2"/>
    <w:rsid w:val="007D0192"/>
    <w:rsid w:val="00A25B17"/>
    <w:rsid w:val="00C2758F"/>
    <w:rsid w:val="00D34FF1"/>
    <w:rsid w:val="00D44DF1"/>
    <w:rsid w:val="00EF3689"/>
    <w:rsid w:val="0CE51D21"/>
    <w:rsid w:val="169750FB"/>
    <w:rsid w:val="18891FE1"/>
    <w:rsid w:val="1A073B05"/>
    <w:rsid w:val="26086C3B"/>
    <w:rsid w:val="28652E82"/>
    <w:rsid w:val="2C057779"/>
    <w:rsid w:val="35440D67"/>
    <w:rsid w:val="393D1946"/>
    <w:rsid w:val="50DA1615"/>
    <w:rsid w:val="55C71477"/>
    <w:rsid w:val="56951575"/>
    <w:rsid w:val="5821117D"/>
    <w:rsid w:val="59DC483D"/>
    <w:rsid w:val="5A8E2EAB"/>
    <w:rsid w:val="5B21162A"/>
    <w:rsid w:val="5CB10FE2"/>
    <w:rsid w:val="5F5D4BFA"/>
    <w:rsid w:val="60FB0B6F"/>
    <w:rsid w:val="68996CA3"/>
    <w:rsid w:val="6B5B0B88"/>
    <w:rsid w:val="706F0977"/>
    <w:rsid w:val="73FE0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39A1D0"/>
  <w15:docId w15:val="{9D9AEC2C-D989-684B-AFAA-5001BF86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a6">
    <w:name w:val="Placeholder Text"/>
    <w:basedOn w:val="a0"/>
    <w:uiPriority w:val="99"/>
    <w:unhideWhenUsed/>
    <w:rsid w:val="00EF368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hyperlink" Target="https://www.so.com/link?m=e5Xy3Op7QH2WrC4xWcYyV+2SzAGweatMZLC7T4Hp7UAravk6ll11SmuVuFt4Me56m6glX/HehioAk+WU22+C+kQvoBij2HWY2p+6jHtMZbSVr3owZYJ8QgXPEZHFLzIdwqwoXgapEjHWWdRGmqJDd++IcSjyFdajRDgGKE+KudoDJoWqO7fJs+2csmKOMH30bPEuHP9l7kc1ju+6KJuQ3vvy9YdPR6N5Y" TargetMode="External"/><Relationship Id="rId15" Type="http://schemas.openxmlformats.org/officeDocument/2006/relationships/fontTable" Target="fontTable.xm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package" Target="embeddings/Microsoft_Excel____.xlsx"/></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864</Words>
  <Characters>4928</Characters>
  <Application>Microsoft Office Word</Application>
  <DocSecurity>0</DocSecurity>
  <Lines>41</Lines>
  <Paragraphs>11</Paragraphs>
  <ScaleCrop>false</ScaleCrop>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Dercy Cheng</cp:lastModifiedBy>
  <cp:revision>6</cp:revision>
  <dcterms:created xsi:type="dcterms:W3CDTF">2024-11-28T03:16:00Z</dcterms:created>
  <dcterms:modified xsi:type="dcterms:W3CDTF">2024-12-16T07:01:00Z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FBCD48515FED4CD1A5C8991C581BE614_12</vt:lpwstr>
  </property>
</Properties>
</file>