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08A2E"/>
          <w:sz w:val="17"/>
        </w:rPr>
        <w:t>DERECHO VIRTUAL · CURSO GRATIS DE IA PARA ABOGADOS · JORNADA 1</w:t>
      </w:r>
    </w:p>
    <w:p>
      <w:r>
        <w:rPr>
          <w:rFonts w:ascii="Georgia" w:hAnsi="Georgia"/>
          <w:b/>
          <w:color w:val="0A1B31"/>
          <w:sz w:val="48"/>
        </w:rPr>
        <w:t>Prompts e instrucciones de la clase</w:t>
      </w:r>
    </w:p>
    <w:p>
      <w:r>
        <w:rPr>
          <w:i/>
        </w:rPr>
        <w:t>Todos los prompts y pasos que Carlos siguió en directo en la Jornada 1 (lunes 19 de octubre de 2026), listos para copiar. Cambia lo que va entre corchetes por los datos de tu caso.</w:t>
      </w:r>
    </w:p>
    <w:p>
      <w:pPr>
        <w:keepNext/>
        <w:spacing w:before="280"/>
        <w:pBdr>
          <w:bottom w:val="single" w:sz="12" w:space="2" w:color="C9A34A"/>
        </w:pBdr>
      </w:pPr>
      <w:r>
        <w:rPr>
          <w:rFonts w:ascii="Georgia" w:hAnsi="Georgia"/>
          <w:b/>
          <w:color w:val="0A1B31"/>
          <w:sz w:val="30"/>
        </w:rPr>
        <w:t>1. Cómo NO hacerlo: el prompt «mal hecho»</w:t>
      </w:r>
    </w:p>
    <w:p>
      <w:r>
        <w:rPr>
          <w:i w:val="0"/>
        </w:rPr>
        <w:t>Esto es lo que hace la mayoría: abrir ChatGPT gratis, pegar el caso entero y pedir la demanda en una línea.</w:t>
      </w:r>
    </w:p>
    <w:p>
      <w:pPr>
        <w:keepNext/>
        <w:spacing w:after="0"/>
      </w:pPr>
      <w:r>
        <w:rPr>
          <w:b/>
          <w:color w:val="B08A2E"/>
          <w:sz w:val="16"/>
        </w:rPr>
        <w:t>EJEMPLO DE LO QUE NO HAY QUE HACER</w:t>
      </w:r>
    </w:p>
    <w:p>
      <w:pPr>
        <w:shd w:val="clear" w:color="auto" w:fill="EEF1F6"/>
        <w:ind w:left="170"/>
      </w:pPr>
      <w:r>
        <w:rPr>
          <w:rFonts w:ascii="Consolas" w:hAnsi="Consolas" w:eastAsia="Consolas"/>
          <w:sz w:val="19"/>
        </w:rPr>
        <w:t>Redáctame una demanda para este supuesto:</w:t>
        <w:br/>
      </w:r>
      <w:r>
        <w:rPr>
          <w:rFonts w:ascii="Consolas" w:hAnsi="Consolas" w:eastAsia="Consolas"/>
          <w:sz w:val="19"/>
        </w:rPr>
        <w:br/>
      </w:r>
      <w:r>
        <w:rPr>
          <w:rFonts w:ascii="Consolas" w:hAnsi="Consolas" w:eastAsia="Consolas"/>
          <w:sz w:val="19"/>
        </w:rPr>
        <w:t>[aquí se pega, tal cual, todo el texto del caso]</w:t>
      </w:r>
    </w:p>
    <w:p>
      <w:r>
        <w:rPr>
          <w:b/>
          <w:i w:val="0"/>
        </w:rPr>
        <w:t>Por qué falla:</w:t>
      </w:r>
    </w:p>
    <w:p>
      <w:pPr>
        <w:pStyle w:val="ListBullet"/>
      </w:pPr>
      <w:r>
        <w:t>No tiene contexto: no sabe qué buscas, ni tu estrategia, ni los documentos del expediente. Rellena los huecos como puede.</w:t>
      </w:r>
    </w:p>
    <w:p>
      <w:pPr>
        <w:pStyle w:val="ListBullet"/>
      </w:pPr>
      <w:r>
        <w:t>No cita jurisprudencia: en la clase no apareció ni una sentencia del Supremo ni de un TSJ. Cuando busca, lo hace en Google, y ahí aparecen sentencias mal citadas o directamente falsas.</w:t>
      </w:r>
    </w:p>
    <w:p>
      <w:pPr>
        <w:pStyle w:val="ListBullet"/>
      </w:pPr>
      <w:r>
        <w:t>Se deja requisitos legales: no acreditó el requisito de procedibilidad (MASC) de la LO 1/2025, porque no está conectado al BOE ni tiene instrucciones (skills).</w:t>
      </w:r>
    </w:p>
    <w:p>
      <w:pPr>
        <w:pStyle w:val="ListBullet"/>
      </w:pPr>
      <w:r>
        <w:t>Mala maquetación: un Word que no está listo para presentar.</w:t>
      </w:r>
    </w:p>
    <w:p>
      <w:r>
        <w:rPr>
          <w:i w:val="0"/>
        </w:rPr>
        <w:t>El problema no es la IA, sino cómo se usa: chat gratis, sin skills, sin plugins y sin conectores.</w:t>
      </w:r>
    </w:p>
    <w:p>
      <w:pPr>
        <w:keepNext/>
        <w:spacing w:before="280"/>
        <w:pBdr>
          <w:bottom w:val="single" w:sz="12" w:space="2" w:color="C9A34A"/>
        </w:pBdr>
      </w:pPr>
      <w:r>
        <w:rPr>
          <w:rFonts w:ascii="Georgia" w:hAnsi="Georgia"/>
          <w:b/>
          <w:color w:val="0A1B31"/>
          <w:sz w:val="30"/>
        </w:rPr>
        <w:t>2. Buscar jurisprudencia con Jurisprudenciator</w:t>
      </w:r>
    </w:p>
    <w:p>
      <w:r>
        <w:rPr>
          <w:i w:val="0"/>
        </w:rPr>
        <w:t>En Claude de escritorio → Cowork, modelo Sonnet 5.5, esfuerzo medio, con el conector Jurisprudenciator añadido.</w:t>
      </w:r>
    </w:p>
    <w:p>
      <w:pPr>
        <w:keepNext/>
        <w:spacing w:after="0"/>
      </w:pPr>
      <w:r>
        <w:rPr>
          <w:b/>
          <w:color w:val="B08A2E"/>
          <w:sz w:val="16"/>
        </w:rPr>
        <w:t>PROMPT 1 · BÚSQUEDA</w:t>
      </w:r>
    </w:p>
    <w:p>
      <w:pPr>
        <w:shd w:val="clear" w:color="auto" w:fill="EEF1F6"/>
        <w:ind w:left="170"/>
      </w:pPr>
      <w:r>
        <w:rPr>
          <w:rFonts w:ascii="Consolas" w:hAnsi="Consolas" w:eastAsia="Consolas"/>
          <w:sz w:val="19"/>
        </w:rPr>
        <w:t>Estoy llevando un divorcio y quiero conocer el criterio de la Audiencia Provincial de Sevilla.</w:t>
        <w:br/>
      </w:r>
      <w:r>
        <w:rPr>
          <w:rFonts w:ascii="Consolas" w:hAnsi="Consolas" w:eastAsia="Consolas"/>
          <w:sz w:val="19"/>
        </w:rPr>
        <w:br/>
      </w:r>
      <w:r>
        <w:rPr>
          <w:rFonts w:ascii="Consolas" w:hAnsi="Consolas" w:eastAsia="Consolas"/>
          <w:sz w:val="19"/>
        </w:rPr>
        <w:t>Búscame 3 sentencias concretas de la Audiencia Provincial de Sevilla en las que, pese a existir una disparidad de ingresos entre los cónyuges (por ejemplo, el marido gana el doble que la mujer), se haya denegado la pensión compensatoria.</w:t>
        <w:br/>
      </w:r>
      <w:r>
        <w:rPr>
          <w:rFonts w:ascii="Consolas" w:hAnsi="Consolas" w:eastAsia="Consolas"/>
          <w:sz w:val="19"/>
        </w:rPr>
        <w:br/>
      </w:r>
      <w:r>
        <w:rPr>
          <w:rFonts w:ascii="Consolas" w:hAnsi="Consolas" w:eastAsia="Consolas"/>
          <w:sz w:val="19"/>
        </w:rPr>
        <w:t>Usa Jurisprudenciator. De cada sentencia dame el número, la fecha, el ROJ o ECLI y el criterio que aplica.</w:t>
      </w:r>
    </w:p>
    <w:p>
      <w:pPr>
        <w:keepNext/>
        <w:spacing w:after="0"/>
      </w:pPr>
      <w:r>
        <w:rPr>
          <w:b/>
          <w:color w:val="B08A2E"/>
          <w:sz w:val="16"/>
        </w:rPr>
        <w:t>PROMPT 2 · SEGUIMIENTO</w:t>
      </w:r>
    </w:p>
    <w:p>
      <w:pPr>
        <w:shd w:val="clear" w:color="auto" w:fill="EEF1F6"/>
        <w:ind w:left="170"/>
      </w:pPr>
      <w:r>
        <w:rPr>
          <w:rFonts w:ascii="Consolas" w:hAnsi="Consolas" w:eastAsia="Consolas"/>
          <w:sz w:val="19"/>
        </w:rPr>
        <w:t>Sácame los párrafos clave de cada una de esas 3 sentencias, copiados literalmente y con su ECLI, para poder citarlos en mi escrito.</w:t>
      </w:r>
    </w:p>
    <w:p>
      <w:r>
        <w:rPr>
          <w:i/>
        </w:rPr>
        <w:t>En clase, ChatGPT gratis buscó en la web y devolvió dos resultados sin el párrafo ni la fuente. Claude con Jurisprudenciator devolvió tres sentencias de la Audiencia Provincial de Sevilla con sus párrafos clave, listos para usar en un escrito. Antes de citar una sentencia, ábrela y compruébala.</w:t>
      </w:r>
    </w:p>
    <w:p>
      <w:pPr>
        <w:keepNext/>
        <w:spacing w:before="280"/>
        <w:pBdr>
          <w:bottom w:val="single" w:sz="12" w:space="2" w:color="C9A34A"/>
        </w:pBdr>
      </w:pPr>
      <w:r>
        <w:rPr>
          <w:rFonts w:ascii="Georgia" w:hAnsi="Georgia"/>
          <w:b/>
          <w:color w:val="0A1B31"/>
          <w:sz w:val="30"/>
        </w:rPr>
        <w:t>3. La demanda de vicios ocultos con un enjambre de subagentes</w:t>
      </w:r>
    </w:p>
    <w:p>
      <w:r>
        <w:rPr>
          <w:i w:val="0"/>
        </w:rPr>
        <w:t>Se lanza dentro de un proyecto que tiene asociada la carpeta del cliente (ver apartado 6), con Sonnet 5.5 y esfuerzo alto, y con la skill Demandas civiles PRO y el plugin de litigación civil instalados. Carlos la dictó por voz.</w:t>
      </w:r>
    </w:p>
    <w:p>
      <w:pPr>
        <w:keepNext/>
        <w:spacing w:after="0"/>
      </w:pPr>
      <w:r>
        <w:rPr>
          <w:b/>
          <w:color w:val="B08A2E"/>
          <w:sz w:val="16"/>
        </w:rPr>
        <w:t>PLANTILLA REUTILIZABLE</w:t>
      </w:r>
    </w:p>
    <w:p>
      <w:pPr>
        <w:shd w:val="clear" w:color="auto" w:fill="EEF1F6"/>
        <w:ind w:left="170"/>
      </w:pPr>
      <w:r>
        <w:rPr>
          <w:rFonts w:ascii="Consolas" w:hAnsi="Consolas" w:eastAsia="Consolas"/>
          <w:sz w:val="19"/>
        </w:rPr>
        <w:t>Ha llegado al despacho un caso de [tipo de asunto; p. ej., vicios ocultos en la compraventa de una vivienda]. Toda la documentación está en la carpeta de este proyecto.</w:t>
        <w:br/>
      </w:r>
      <w:r>
        <w:rPr>
          <w:rFonts w:ascii="Consolas" w:hAnsi="Consolas" w:eastAsia="Consolas"/>
          <w:sz w:val="19"/>
        </w:rPr>
        <w:br/>
      </w:r>
      <w:r>
        <w:rPr>
          <w:rFonts w:ascii="Consolas" w:hAnsi="Consolas" w:eastAsia="Consolas"/>
          <w:sz w:val="19"/>
        </w:rPr>
        <w:t>Necesito una demanda muy trabajada. Prepara un enjambre de [50] subagentes y dale a cada uno una tarea concreta:</w:t>
        <w:br/>
      </w:r>
      <w:r>
        <w:rPr>
          <w:rFonts w:ascii="Consolas" w:hAnsi="Consolas" w:eastAsia="Consolas"/>
          <w:sz w:val="19"/>
        </w:rPr>
        <w:t>- Unos hilan y desarrollan los hechos a partir de los documentos.</w:t>
        <w:br/>
      </w:r>
      <w:r>
        <w:rPr>
          <w:rFonts w:ascii="Consolas" w:hAnsi="Consolas" w:eastAsia="Consolas"/>
          <w:sz w:val="19"/>
        </w:rPr>
        <w:t>- Otros trabajan, uno por uno, los fundamentos de Derecho.</w:t>
        <w:br/>
      </w:r>
      <w:r>
        <w:rPr>
          <w:rFonts w:ascii="Consolas" w:hAnsi="Consolas" w:eastAsia="Consolas"/>
          <w:sz w:val="19"/>
        </w:rPr>
        <w:t>- Otros buscan y verifican la jurisprudencia: sobre todo sentencias del Tribunal Supremo, y también de TSJ y Audiencias Provinciales. Comprueba la doctrina que fija el Supremo para este tipo de casos.</w:t>
        <w:br/>
      </w:r>
      <w:r>
        <w:rPr>
          <w:rFonts w:ascii="Consolas" w:hAnsi="Consolas" w:eastAsia="Consolas"/>
          <w:sz w:val="19"/>
        </w:rPr>
        <w:br/>
      </w:r>
      <w:r>
        <w:rPr>
          <w:rFonts w:ascii="Consolas" w:hAnsi="Consolas" w:eastAsia="Consolas"/>
          <w:sz w:val="19"/>
        </w:rPr>
        <w:t>Cita al menos [3-4] sentencias verificadas, con su ECLI. Usa Jurisprudenciator para toda la jurisprudencia y la legislación. Cuando termines, entrégame la demanda maquetada en Word.</w:t>
      </w:r>
    </w:p>
    <w:p>
      <w:pPr>
        <w:keepNext/>
        <w:spacing w:before="200"/>
      </w:pPr>
      <w:r>
        <w:rPr>
          <w:rFonts w:ascii="Georgia" w:hAnsi="Georgia"/>
          <w:b/>
          <w:color w:val="0A1B31"/>
          <w:sz w:val="25"/>
        </w:rPr>
        <w:t>Versión original, tal como la dictó Carlos en directo</w:t>
      </w:r>
    </w:p>
    <w:p>
      <w:pPr>
        <w:keepNext/>
        <w:spacing w:after="0"/>
      </w:pPr>
      <w:r>
        <w:rPr>
          <w:b/>
          <w:color w:val="B08A2E"/>
          <w:sz w:val="16"/>
        </w:rPr>
        <w:t>ORIGINAL (TRANSCRIPCIÓN LITERAL, CON LA PUNTUACIÓN CORREGIDA)</w:t>
      </w:r>
    </w:p>
    <w:p>
      <w:pPr>
        <w:shd w:val="clear" w:color="auto" w:fill="EEF1F6"/>
        <w:ind w:left="170"/>
      </w:pPr>
      <w:r>
        <w:rPr>
          <w:rFonts w:ascii="Consolas" w:hAnsi="Consolas" w:eastAsia="Consolas"/>
          <w:sz w:val="19"/>
        </w:rPr>
        <w:t>Oye, Claude, ¿qué tal, tío? ¿Cómo vas? Mira, te quería comentar lo siguiente. Has visto que ha llegado este caso de vicios y defectos de la construcción al despacho. Entonces, estoy haciendo aquí una clase en directo con 1.000 personas y necesito que se queden con la boca abierta en tan solo 3 minutos. Necesito una demanda que esté ultratrabajada, ¿vale? Entonces vas a prepararme un enjambre de 50 subagentes. Vas a dividir cada uno de ellos, le vas a mandar una tarea específica. Quiero que me hiles y me desarrolles correctamente los hechos. Luego me vas a trabajar cada uno de los fundamentos de Derecho. ¿Qué sentencias podemos meter? Bueno, pues yo metería algunas sentencias del TSJ, sobre todo sentencias del Supremo. Vale, mírame, ve desarrollando y comprobándome la doctrina que el Supremo establece en este caso. Y, como ya digo, tienes solo 3 minutos, ¿vale? Entonces lanza todos los subagentes y lo que tengamos en 3 minutos, pues lo tenemos. Las sentencias que tengamos en 3 minutos las tenemos, y todo lo que tengamos en 3 minutos. Sí que es verdad que asegúrate de que tengamos al menos 2, 3, 4 sentencias. Y solo tienes 3 minutos, insisto en eso, solo 3 minutos, porque estamos en una clase, estamos en una demostración. Así que venga, ponte a trabajar y entrégame el resultado, ¿vale? Tienes 3 minutos.</w:t>
      </w:r>
    </w:p>
    <w:p>
      <w:r>
        <w:rPr>
          <w:i/>
        </w:rPr>
        <w:t>Lo de los «3 minutos» era solo para la demostración en directo. En tu despacho, deja que Claude trabaje el tiempo que necesite: el resultado es mucho mejor. Claude cargó la skill de demandas civiles por sí solo, sin que hubiera que llamarla.</w:t>
      </w:r>
    </w:p>
    <w:p>
      <w:pPr>
        <w:keepNext/>
        <w:spacing w:before="280"/>
        <w:pBdr>
          <w:bottom w:val="single" w:sz="12" w:space="2" w:color="C9A34A"/>
        </w:pBdr>
      </w:pPr>
      <w:r>
        <w:rPr>
          <w:rFonts w:ascii="Georgia" w:hAnsi="Georgia"/>
          <w:b/>
          <w:color w:val="0A1B31"/>
          <w:sz w:val="30"/>
        </w:rPr>
        <w:t>4. El refuerzo: asegurarse de que usa Jurisprudenciator</w:t>
      </w:r>
    </w:p>
    <w:p>
      <w:r>
        <w:rPr>
          <w:i w:val="0"/>
        </w:rPr>
        <w:t>Claude suele usar Jurisprudenciator sin que se lo pidas, pero conviene recordárselo mientras trabaja:</w:t>
      </w:r>
    </w:p>
    <w:p>
      <w:pPr>
        <w:keepNext/>
        <w:spacing w:after="0"/>
      </w:pPr>
      <w:r>
        <w:rPr>
          <w:b/>
          <w:color w:val="B08A2E"/>
          <w:sz w:val="16"/>
        </w:rPr>
        <w:t>REFUERZO</w:t>
      </w:r>
    </w:p>
    <w:p>
      <w:pPr>
        <w:shd w:val="clear" w:color="auto" w:fill="EEF1F6"/>
        <w:ind w:left="170"/>
      </w:pPr>
      <w:r>
        <w:rPr>
          <w:rFonts w:ascii="Consolas" w:hAnsi="Consolas" w:eastAsia="Consolas"/>
          <w:sz w:val="19"/>
        </w:rPr>
        <w:t>Por favor, asegúrate de que estás usando Jurisprudenciator para la búsqueda de jurisprudencia.</w:t>
      </w:r>
    </w:p>
    <w:p>
      <w:pPr>
        <w:keepNext/>
        <w:spacing w:before="280"/>
        <w:pBdr>
          <w:bottom w:val="single" w:sz="12" w:space="2" w:color="C9A34A"/>
        </w:pBdr>
      </w:pPr>
      <w:r>
        <w:rPr>
          <w:rFonts w:ascii="Georgia" w:hAnsi="Georgia"/>
          <w:b/>
          <w:color w:val="0A1B31"/>
          <w:sz w:val="30"/>
        </w:rPr>
        <w:t>5. Chat o Cowork: la diferencia en un ejemplo</w:t>
      </w:r>
    </w:p>
    <w:p>
      <w:r>
        <w:rPr>
          <w:i w:val="0"/>
        </w:rPr>
        <w:t>En Chat, Claude solo responde a la pregunta, por ejemplo:</w:t>
      </w:r>
    </w:p>
    <w:p>
      <w:pPr>
        <w:keepNext/>
        <w:spacing w:after="0"/>
      </w:pPr>
      <w:r>
        <w:rPr>
          <w:b/>
          <w:color w:val="B08A2E"/>
          <w:sz w:val="16"/>
        </w:rPr>
        <w:t>PREGUNTA SENCILLA EN CHAT</w:t>
      </w:r>
    </w:p>
    <w:p>
      <w:pPr>
        <w:shd w:val="clear" w:color="auto" w:fill="EEF1F6"/>
        <w:ind w:left="170"/>
      </w:pPr>
      <w:r>
        <w:rPr>
          <w:rFonts w:ascii="Consolas" w:hAnsi="Consolas" w:eastAsia="Consolas"/>
          <w:sz w:val="19"/>
        </w:rPr>
        <w:t>Dime el artículo 465 de la LEC.</w:t>
      </w:r>
    </w:p>
    <w:p>
      <w:r>
        <w:rPr>
          <w:i w:val="0"/>
        </w:rPr>
        <w:t>En Cowork, Claude recibe una tarea y la ejecuta de forma autónoma: la divide en muchos pasos y puede trabajar 30 o 40 minutos hasta entregártela. Para trabajar, usa siempre Cowork.</w:t>
      </w:r>
    </w:p>
    <w:p>
      <w:pPr>
        <w:keepNext/>
        <w:spacing w:before="280"/>
        <w:pBdr>
          <w:bottom w:val="single" w:sz="12" w:space="2" w:color="C9A34A"/>
        </w:pBdr>
      </w:pPr>
      <w:r>
        <w:rPr>
          <w:rFonts w:ascii="Georgia" w:hAnsi="Georgia"/>
          <w:b/>
          <w:color w:val="0A1B31"/>
          <w:sz w:val="30"/>
        </w:rPr>
        <w:t>6. Instrucciones paso a paso</w:t>
      </w:r>
    </w:p>
    <w:p>
      <w:pPr>
        <w:keepNext/>
        <w:spacing w:before="200"/>
      </w:pPr>
      <w:r>
        <w:rPr>
          <w:rFonts w:ascii="Georgia" w:hAnsi="Georgia"/>
          <w:b/>
          <w:color w:val="0A1B31"/>
          <w:sz w:val="25"/>
        </w:rPr>
        <w:t>6.1 · Descargar Claude de escritorio</w:t>
      </w:r>
    </w:p>
    <w:p>
      <w:pPr>
        <w:pStyle w:val="ListNumber"/>
      </w:pPr>
      <w:r>
        <w:t>Entra en claude.ai/download, la web oficial de Anthropic, la empresa que crea Claude.</w:t>
      </w:r>
    </w:p>
    <w:p>
      <w:pPr>
        <w:pStyle w:val="ListNumber"/>
      </w:pPr>
      <w:r>
        <w:t>Descarga e instala la versión para tu ordenador (Windows o Mac).</w:t>
      </w:r>
    </w:p>
    <w:p>
      <w:pPr>
        <w:pStyle w:val="ListNumber"/>
      </w:pPr>
      <w:r>
        <w:t>Cuidado con webs que ofrecen «Claude gratis» o descargas no oficiales: no las uses.</w:t>
      </w:r>
    </w:p>
    <w:p>
      <w:pPr>
        <w:pStyle w:val="ListNumber"/>
      </w:pPr>
      <w:r>
        <w:t>No trabajes desde el chat del navegador: es más lento y no puede acceder a las carpetas de tu ordenador.</w:t>
      </w:r>
    </w:p>
    <w:p>
      <w:pPr>
        <w:keepNext/>
        <w:spacing w:before="200"/>
      </w:pPr>
      <w:r>
        <w:rPr>
          <w:rFonts w:ascii="Georgia" w:hAnsi="Georgia"/>
          <w:b/>
          <w:color w:val="0A1B31"/>
          <w:sz w:val="25"/>
        </w:rPr>
        <w:t>6.2 · Pestaña Inicio → Cowork (no Chat)</w:t>
      </w:r>
    </w:p>
    <w:p>
      <w:r>
        <w:rPr>
          <w:i w:val="0"/>
        </w:rPr>
        <w:t>Arriba verás Inicio y Code. Durante el curso se trabaja en Inicio. Dentro, elige Cowork («Dale a Claude una tarea para ejecutar de forma autónoma»), no Chat.</w:t>
      </w:r>
    </w:p>
    <w:p>
      <w:pPr>
        <w:keepNext/>
        <w:spacing w:before="200"/>
      </w:pPr>
      <w:r>
        <w:rPr>
          <w:rFonts w:ascii="Georgia" w:hAnsi="Georgia"/>
          <w:b/>
          <w:color w:val="0A1B31"/>
          <w:sz w:val="25"/>
        </w:rPr>
        <w:t>6.3 · Qué modelo elegir</w:t>
      </w:r>
    </w:p>
    <w:tbl>
      <w:tblPr>
        <w:tblStyle w:val="LightGrid-Accent1"/>
        <w:tblW w:type="auto" w:w="0"/>
        <w:tblLook w:firstColumn="1" w:firstRow="1" w:lastColumn="0" w:lastRow="0" w:noHBand="0" w:noVBand="1" w:val="04A0"/>
      </w:tblPr>
      <w:tblGrid>
        <w:gridCol w:w="4873"/>
        <w:gridCol w:w="4873"/>
      </w:tblGrid>
      <w:tr>
        <w:tc>
          <w:tcPr>
            <w:tcW w:type="dxa" w:w="2551"/>
          </w:tcPr>
          <w:p>
            <w:r>
              <w:rPr>
                <w:b/>
              </w:rPr>
              <w:t>Sonnet 5.5 (por defecto)</w:t>
            </w:r>
          </w:p>
        </w:tc>
        <w:tc>
          <w:tcPr>
            <w:tcW w:type="dxa" w:w="6803"/>
          </w:tcPr>
          <w:p>
            <w:r>
              <w:t>Para casi todo, también para redactar escritos. Rinde casi como Opus y gasta mucho menos.</w:t>
            </w:r>
          </w:p>
        </w:tc>
      </w:tr>
      <w:tr>
        <w:tc>
          <w:tcPr>
            <w:tcW w:type="dxa" w:w="2551"/>
          </w:tcPr>
          <w:p>
            <w:r>
              <w:rPr>
                <w:b/>
              </w:rPr>
              <w:t>Opus 5.5</w:t>
            </w:r>
          </w:p>
        </w:tc>
        <w:tc>
          <w:tcPr>
            <w:tcW w:type="dxa" w:w="6803"/>
          </w:tcPr>
          <w:p>
            <w:r>
              <w:t>Para las tareas más exigentes.</w:t>
            </w:r>
          </w:p>
        </w:tc>
      </w:tr>
      <w:tr>
        <w:tc>
          <w:tcPr>
            <w:tcW w:type="dxa" w:w="2551"/>
          </w:tcPr>
          <w:p>
            <w:r>
              <w:rPr>
                <w:b/>
              </w:rPr>
              <w:t>Haiku 5.5</w:t>
            </w:r>
          </w:p>
        </w:tc>
        <w:tc>
          <w:tcPr>
            <w:tcW w:type="dxa" w:w="6803"/>
          </w:tcPr>
          <w:p>
            <w:r>
              <w:t>Para tareas muy básicas, o si se te está agotando el uso.</w:t>
            </w:r>
          </w:p>
        </w:tc>
      </w:tr>
      <w:tr>
        <w:tc>
          <w:tcPr>
            <w:tcW w:type="dxa" w:w="2551"/>
          </w:tcPr>
          <w:p>
            <w:r>
              <w:rPr>
                <w:b/>
              </w:rPr>
              <w:t>Fable 5.1</w:t>
            </w:r>
          </w:p>
        </w:tc>
        <w:tc>
          <w:tcPr>
            <w:tcW w:type="dxa" w:w="6803"/>
          </w:tcPr>
          <w:p>
            <w:r>
              <w:t>No lo uses. Agota el uso enseguida y hoy Opus 5.5 rinde más.</w:t>
            </w:r>
          </w:p>
        </w:tc>
      </w:tr>
    </w:tbl>
    <w:p/>
    <w:p>
      <w:pPr>
        <w:keepNext/>
        <w:spacing w:before="200"/>
      </w:pPr>
      <w:r>
        <w:rPr>
          <w:rFonts w:ascii="Georgia" w:hAnsi="Georgia"/>
          <w:b/>
          <w:color w:val="0A1B31"/>
          <w:sz w:val="25"/>
        </w:rPr>
        <w:t>6.4 · Qué nivel de esfuerzo</w:t>
      </w:r>
    </w:p>
    <w:tbl>
      <w:tblPr>
        <w:tblStyle w:val="LightGrid-Accent1"/>
        <w:tblW w:type="auto" w:w="0"/>
        <w:tblLook w:firstColumn="1" w:firstRow="1" w:lastColumn="0" w:lastRow="0" w:noHBand="0" w:noVBand="1" w:val="04A0"/>
      </w:tblPr>
      <w:tblGrid>
        <w:gridCol w:w="4873"/>
        <w:gridCol w:w="4873"/>
      </w:tblGrid>
      <w:tr>
        <w:tc>
          <w:tcPr>
            <w:tcW w:type="dxa" w:w="2551"/>
          </w:tcPr>
          <w:p>
            <w:r>
              <w:rPr>
                <w:b/>
              </w:rPr>
              <w:t>Bajo o medio</w:t>
            </w:r>
          </w:p>
        </w:tc>
        <w:tc>
          <w:tcPr>
            <w:tcW w:type="dxa" w:w="6803"/>
          </w:tcPr>
          <w:p>
            <w:r>
              <w:t>El día a día: consultar una sentencia o un artículo, preguntas rápidas.</w:t>
            </w:r>
          </w:p>
        </w:tc>
      </w:tr>
      <w:tr>
        <w:tc>
          <w:tcPr>
            <w:tcW w:type="dxa" w:w="2551"/>
          </w:tcPr>
          <w:p>
            <w:r>
              <w:rPr>
                <w:b/>
              </w:rPr>
              <w:t>Alto</w:t>
            </w:r>
          </w:p>
        </w:tc>
        <w:tc>
          <w:tcPr>
            <w:tcW w:type="dxa" w:w="6803"/>
          </w:tcPr>
          <w:p>
            <w:r>
              <w:t>Redactar escritos y tareas importantes para el despacho.</w:t>
            </w:r>
          </w:p>
        </w:tc>
      </w:tr>
      <w:tr>
        <w:tc>
          <w:tcPr>
            <w:tcW w:type="dxa" w:w="2551"/>
          </w:tcPr>
          <w:p>
            <w:r>
              <w:rPr>
                <w:b/>
              </w:rPr>
              <w:t>Max</w:t>
            </w:r>
          </w:p>
        </w:tc>
        <w:tc>
          <w:tcPr>
            <w:tcW w:type="dxa" w:w="6803"/>
          </w:tcPr>
          <w:p>
            <w:r>
              <w:t>Nunca. Con una cuenta de unos 20 € al mes te quedas sin uso enseguida.</w:t>
            </w:r>
          </w:p>
        </w:tc>
      </w:tr>
    </w:tbl>
    <w:p/>
    <w:p>
      <w:r>
        <w:rPr>
          <w:i w:val="0"/>
        </w:rPr>
        <w:t>Plan: la cuenta gratuita incluye Haiku 5.5 y Sonnet 5.5 y basta para lo que se vio en la Jornada 1. Para trabajar a diario en el despacho, a la mayoría le basta con el plan Pro (unos 18 € al mes).</w:t>
      </w:r>
    </w:p>
    <w:p>
      <w:pPr>
        <w:keepNext/>
        <w:spacing w:before="200"/>
      </w:pPr>
      <w:r>
        <w:rPr>
          <w:rFonts w:ascii="Georgia" w:hAnsi="Georgia"/>
          <w:b/>
          <w:color w:val="0A1B31"/>
          <w:sz w:val="25"/>
        </w:rPr>
        <w:t>6.5 · Ver cuánto uso te queda</w:t>
      </w:r>
    </w:p>
    <w:p>
      <w:r>
        <w:rPr>
          <w:i w:val="0"/>
        </w:rPr>
        <w:t>Pulsa en tu perfil → Ajustes → Uso. Hay dos límites: el de la sesión actual (ventanas de 5 horas) y el límite semanal. Si te acercas al tope, cambia a Haiku 5.5.</w:t>
      </w:r>
    </w:p>
    <w:p>
      <w:pPr>
        <w:keepNext/>
        <w:spacing w:before="200"/>
      </w:pPr>
      <w:r>
        <w:rPr>
          <w:rFonts w:ascii="Georgia" w:hAnsi="Georgia"/>
          <w:b/>
          <w:color w:val="0A1B31"/>
          <w:sz w:val="25"/>
        </w:rPr>
        <w:t>6.6 · Crear un proyecto con la carpeta del cliente</w:t>
      </w:r>
    </w:p>
    <w:p>
      <w:pPr>
        <w:pStyle w:val="ListNumber"/>
      </w:pPr>
      <w:r>
        <w:t>Ve a Proyectos → Nuevo proyecto y ponle nombre (p. ej., «Caso defectos vicios construcción»).</w:t>
      </w:r>
    </w:p>
    <w:p>
      <w:pPr>
        <w:pStyle w:val="ListNumber"/>
      </w:pPr>
      <w:r>
        <w:t>No pulses todavía «Crear proyecto». Elige «Usar una carpeta» y selecciona la carpeta del ordenador donde está la documentación del cliente. Puedes pegar la ruta o arrastrar la carpeta.</w:t>
      </w:r>
    </w:p>
    <w:p>
      <w:pPr>
        <w:pStyle w:val="ListNumber"/>
      </w:pPr>
      <w:r>
        <w:t>Pulsa «Crear proyecto». Claude podrá leer, analizar y contrastar todos los documentos de esa carpeta.</w:t>
      </w:r>
    </w:p>
    <w:p>
      <w:r>
        <w:rPr>
          <w:i/>
        </w:rPr>
        <w:t>La protección de datos (RGPD) se explica en la Jornada 2.</w:t>
      </w:r>
    </w:p>
    <w:p>
      <w:pPr>
        <w:keepNext/>
        <w:spacing w:before="200"/>
      </w:pPr>
      <w:r>
        <w:rPr>
          <w:rFonts w:ascii="Georgia" w:hAnsi="Georgia"/>
          <w:b/>
          <w:color w:val="0A1B31"/>
          <w:sz w:val="25"/>
        </w:rPr>
        <w:t>6.7 · Activar el modo de omitir aprobaciones</w:t>
      </w:r>
    </w:p>
    <w:p>
      <w:r>
        <w:rPr>
          <w:i w:val="0"/>
        </w:rPr>
        <w:t>Por defecto Claude pide permiso a cada paso («Aprobar manualmente»). Para que trabaje sin interrupciones:</w:t>
      </w:r>
    </w:p>
    <w:p>
      <w:pPr>
        <w:pStyle w:val="ListNumber"/>
      </w:pPr>
      <w:r>
        <w:t>Perfil → Ajustes → Claude Code → opción de solicitud de permisos.</w:t>
      </w:r>
    </w:p>
    <w:p>
      <w:pPr>
        <w:pStyle w:val="ListNumber"/>
      </w:pPr>
      <w:r>
        <w:t>Escribe «omisión» en el buscador de ajustes y activa «Permitir el modo de omisión de permisos».</w:t>
      </w:r>
    </w:p>
    <w:p>
      <w:pPr>
        <w:pStyle w:val="ListNumber"/>
      </w:pPr>
      <w:r>
        <w:t>En el proyecto, cambia el modo de permisos a «Omitir todas las aprobaciones».</w:t>
      </w:r>
    </w:p>
    <w:p>
      <w:r>
        <w:rPr>
          <w:b/>
        </w:rPr>
        <w:t xml:space="preserve">Advertencia de Claude: </w:t>
      </w:r>
      <w:r>
        <w:rPr>
          <w:i w:val="0"/>
        </w:rPr>
        <w:t>en este modo «Claude nunca se detiene, ni siquiera ante acciones no seguras». Úsalo solo en proyectos con la carpeta del caso, ten copia de seguridad de tus archivos y revisa siempre el resultado. Si la tarea es delicada, vuelve a la aprobación manual.</w:t>
      </w:r>
    </w:p>
    <w:p>
      <w:pPr>
        <w:keepNext/>
        <w:spacing w:before="200"/>
      </w:pPr>
      <w:r>
        <w:rPr>
          <w:rFonts w:ascii="Georgia" w:hAnsi="Georgia"/>
          <w:b/>
          <w:color w:val="0A1B31"/>
          <w:sz w:val="25"/>
        </w:rPr>
        <w:t>6.8 · Dictar por voz en vez de escribir</w:t>
      </w:r>
    </w:p>
    <w:p>
      <w:r>
        <w:rPr>
          <w:i w:val="0"/>
        </w:rPr>
        <w:t>Pulsa el micrófono de Claude y habla. Carlos usa también Wispr Flow, una aplicación de dictado que funciona en Claude, ChatGPT, WhatsApp o el correo (él la activa con Ctrl + Windows). Hablando le das a la IA mucho más contexto en un minuto que escribiendo, y con más contexto los resultados son mejores.</w:t>
      </w:r>
    </w:p>
    <w:p>
      <w:pPr>
        <w:keepNext/>
        <w:spacing w:before="280"/>
        <w:pBdr>
          <w:bottom w:val="single" w:sz="12" w:space="2" w:color="C9A34A"/>
        </w:pBdr>
      </w:pPr>
      <w:r>
        <w:rPr>
          <w:rFonts w:ascii="Georgia" w:hAnsi="Georgia"/>
          <w:b/>
          <w:color w:val="0A1B31"/>
          <w:sz w:val="30"/>
        </w:rPr>
        <w:t>7. Deberes para la Jornada 2 (martes 20 de octubre)</w:t>
      </w:r>
    </w:p>
    <w:p>
      <w:pPr>
        <w:pStyle w:val="ListNumber"/>
      </w:pPr>
      <w:r>
        <w:t>Descarga Claude de escritorio en tu ordenador desde la web oficial.</w:t>
      </w:r>
    </w:p>
    <w:p>
      <w:pPr>
        <w:pStyle w:val="ListNumber"/>
      </w:pPr>
      <w:r>
        <w:t>Instala los plugins de litigación (civil, penal, contencioso-administrativa, laboral…) y conecta Jurisprudenciator (ver «LEEME - Cómo instalar los plugins y skills.pdf»).</w:t>
      </w:r>
    </w:p>
    <w:p>
      <w:pPr>
        <w:pStyle w:val="ListNumber"/>
      </w:pPr>
      <w:r>
        <w:t>Prueba a redactar un escrito real: una demanda, un recurso de apelación o lo que necesites en tu despacho, con Cowork y Sonnet 5.5.</w:t>
      </w:r>
    </w:p>
    <w:p>
      <w:pPr>
        <w:pStyle w:val="ListNumber"/>
      </w:pPr>
      <w:r>
        <w:t>Apunta tus dudas para la sesión.</w:t>
      </w:r>
    </w:p>
    <w:p>
      <w:r>
        <w:rPr>
          <w:i w:val="0"/>
        </w:rPr>
        <w:t>En la Jornada 2 verás cómo redactar escritos con tu propio estilo y tono, demandas y querellas complejas de 50 a 80 páginas, mejor razonadas y fundamentadas, y cómo resolver la protección de datos (RGPD) en el despacho. En la Jornada 3 verás cómo delegar la gestión del despacho en ChatGPT.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