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914400" cy="876300"/>
            <wp:effectExtent t="0" r="0" b="0" l="0"/>
            <wp:docPr id="1" name="crest" descr="Ghana Navy crest" title="Ghana Na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876300"/>
                    </a:xfrm>
                    <a:prstGeom prst="rect">
                      <a:avLst/>
                    </a:prstGeom>
                  </pic:spPr>
                </pic:pic>
              </a:graphicData>
            </a:graphic>
          </wp:inline>
        </w:drawing>
      </w:r>
    </w:p>
    <w:p>
      <w:pPr>
        <w:spacing w:after="20"/>
        <w:jc w:val="center"/>
      </w:pPr>
      <w:r>
        <w:rPr>
          <w:b/>
          <w:bCs/>
          <w:color w:val="0A1A2E"/>
          <w:sz w:val="48"/>
          <w:szCs w:val="48"/>
        </w:rPr>
        <w:t xml:space="preserve">SeaWatch</w:t>
      </w:r>
    </w:p>
    <w:p>
      <w:pPr>
        <w:spacing w:after="40"/>
        <w:jc w:val="center"/>
      </w:pPr>
      <w:r>
        <w:rPr>
          <w:color w:val="12365C"/>
          <w:sz w:val="26"/>
          <w:szCs w:val="26"/>
        </w:rPr>
        <w:t xml:space="preserve">Maritime Domain Awareness System</w:t>
      </w:r>
    </w:p>
    <w:p>
      <w:pPr>
        <w:spacing w:after="200"/>
        <w:jc w:val="center"/>
      </w:pPr>
      <w:r>
        <w:rPr>
          <w:b/>
          <w:bCs/>
          <w:color w:val="946F00"/>
          <w:sz w:val="24"/>
          <w:szCs w:val="24"/>
        </w:rPr>
        <w:t xml:space="preserve">Implementation &amp; Funding Proposal</w:t>
      </w:r>
    </w:p>
    <w:p>
      <w:pPr>
        <w:pBdr>
          <w:top w:val="single" w:color="D6E0EA" w:sz="4" w:space="8"/>
          <w:bottom w:val="single" w:color="D6E0EA" w:sz="4" w:space="8"/>
        </w:pBdr>
        <w:spacing w:after="60" w:before="60"/>
        <w:jc w:val="center"/>
      </w:pPr>
      <w:r>
        <w:rPr>
          <w:color w:val="1B2733"/>
          <w:sz w:val="22"/>
          <w:szCs w:val="22"/>
        </w:rPr>
        <w:t xml:space="preserve">Prepared for the Ghana Navy Higher Command</w:t>
      </w:r>
    </w:p>
    <w:p>
      <w:pPr>
        <w:spacing w:after="260"/>
        <w:jc w:val="center"/>
      </w:pPr>
      <w:r>
        <w:rPr>
          <w:i/>
          <w:iCs/>
          <w:color w:val="5C6E82"/>
          <w:sz w:val="18"/>
          <w:szCs w:val="18"/>
        </w:rPr>
        <w:t xml:space="preserve">Draft for command consideration  ·  Figures are indicative and subject to formal quotation</w:t>
      </w:r>
    </w:p>
    <w:p>
      <w:pPr>
        <w:pStyle w:val="Heading1"/>
        <w:spacing w:after="140" w:before="280"/>
      </w:pPr>
      <w:r>
        <w:t xml:space="preserve">1.  Executive Summary</w:t>
      </w:r>
    </w:p>
    <w:p>
      <w:pPr>
        <w:spacing w:after="120" w:line="276"/>
      </w:pPr>
      <w:r>
        <w:t xml:space="preserve">SeaWatch is a working maritime domain awareness (MDA) platform, already built and demonstrable, that provides a live operating picture, automated dark-vessel detection, inter-agency collaboration and command reporting for Ghana’s waters and the Gulf of Guinea.</w:t>
      </w:r>
    </w:p>
    <w:p>
      <w:pPr>
        <w:spacing w:after="120" w:line="276"/>
      </w:pPr>
      <w:r>
        <w:t xml:space="preserve">This proposal sets out what is required to take SeaWatch from its current demonstrable state to a fully </w:t>
      </w:r>
      <w:r>
        <w:rPr>
          <w:b/>
          <w:bCs/>
        </w:rPr>
        <w:t xml:space="preserve">operational</w:t>
      </w:r>
      <w:r>
        <w:t xml:space="preserve"> system. The core finding is straightforward:</w:t>
      </w:r>
    </w:p>
    <w:p>
      <w:pPr>
        <w:pStyle w:val="ListParagraph"/>
        <w:numPr>
          <w:ilvl w:val="0"/>
          <w:numId w:val="2"/>
        </w:numPr>
        <w:spacing w:after="90" w:line="276"/>
      </w:pPr>
      <w:r>
        <w:rPr>
          <w:b w:val="false"/>
          <w:bCs w:val="false"/>
        </w:rPr>
        <w:t xml:space="preserve">The software can be built to operational quality and delivered far faster and more affordably than traditional defence-software programmes, because the engineering is AI-accelerated.</w:t>
      </w:r>
    </w:p>
    <w:p>
      <w:pPr>
        <w:pStyle w:val="ListParagraph"/>
        <w:numPr>
          <w:ilvl w:val="0"/>
          <w:numId w:val="2"/>
        </w:numPr>
        <w:spacing w:after="90" w:line="276"/>
      </w:pPr>
      <w:r>
        <w:t xml:space="preserve">Reaching “operational”, however, depends on resources that software alone cannot provide — live data feeds, satellite tasking, infrastructure, security accreditation, and a small accountable team. These require funding and procurement.</w:t>
      </w:r>
    </w:p>
    <w:p>
      <w:pPr>
        <w:spacing w:after="120" w:line="276"/>
      </w:pPr>
      <w:r>
        <w:t xml:space="preserve">In short: with the Navy’s funding for data, infrastructure, accreditation and a small project team, the operational system is achievable on a 12–18 month phased path, with usable capability at every stage.</w:t>
      </w:r>
    </w:p>
    <w:p>
      <w:pPr>
        <w:pStyle w:val="Heading1"/>
        <w:spacing w:after="140" w:before="280"/>
      </w:pPr>
      <w:r>
        <w:t xml:space="preserve">2.  Strategic Need</w:t>
      </w:r>
    </w:p>
    <w:p>
      <w:pPr>
        <w:spacing w:after="120" w:line="276"/>
      </w:pPr>
      <w:r>
        <w:t xml:space="preserve">The Gulf of Guinea remains one of the world’s most contested maritime regions — piracy and armed robbery, illegal, unreported and unregulated (IUU) fishing, smuggling, and threats to offshore oil infrastructure. The common enabler of these threats is “sea blindness”: gaps in the maritime picture that allow illicit actors to operate undetected, including vessels that switch off their transponders to go “dark.” SeaWatch exists to close that gap and give command a single, shared, real-time picture across all Maritime Operations Centres and partner agencies.</w:t>
      </w:r>
    </w:p>
    <w:p>
      <w:pPr>
        <w:pStyle w:val="Heading1"/>
        <w:spacing w:after="140" w:before="280"/>
      </w:pPr>
      <w:r>
        <w:t xml:space="preserve">3.  Current Status — Proof of Capability</w:t>
      </w:r>
    </w:p>
    <w:p>
      <w:pPr>
        <w:spacing w:after="120" w:line="276"/>
      </w:pPr>
      <w:r>
        <w:t xml:space="preserve">The following is already built, deployed and available for testing today, demonstrating that the concept and the engineering approach are sound:</w:t>
      </w:r>
    </w:p>
    <w:p>
      <w:pPr>
        <w:pStyle w:val="ListParagraph"/>
        <w:numPr>
          <w:ilvl w:val="0"/>
          <w:numId w:val="2"/>
        </w:numPr>
        <w:spacing w:after="90" w:line="276"/>
      </w:pPr>
      <w:r>
        <w:t xml:space="preserve">Live common operating picture with vessel tracking, classification, search and multiple basemaps (including satellite imagery).</w:t>
      </w:r>
    </w:p>
    <w:p>
      <w:pPr>
        <w:pStyle w:val="ListParagraph"/>
        <w:numPr>
          <w:ilvl w:val="0"/>
          <w:numId w:val="2"/>
        </w:numPr>
        <w:spacing w:after="90" w:line="276"/>
      </w:pPr>
      <w:r>
        <w:t xml:space="preserve">Automated dark-vessel detection — AIS gaps, position spoofing, loitering, ship-to-ship transfers and restricted-zone incursions — with a 0–100 vessel risk score.</w:t>
      </w:r>
    </w:p>
    <w:p>
      <w:pPr>
        <w:pStyle w:val="ListParagraph"/>
        <w:numPr>
          <w:ilvl w:val="0"/>
          <w:numId w:val="2"/>
        </w:numPr>
        <w:spacing w:after="90" w:line="276"/>
      </w:pPr>
      <w:r>
        <w:t xml:space="preserve">Inter-agency collaboration across nine commands and agencies, shared incidents with live discussion threads, and asset tasking.</w:t>
      </w:r>
    </w:p>
    <w:p>
      <w:pPr>
        <w:pStyle w:val="ListParagraph"/>
        <w:numPr>
          <w:ilvl w:val="0"/>
          <w:numId w:val="2"/>
        </w:numPr>
        <w:spacing w:after="90" w:line="276"/>
      </w:pPr>
      <w:r>
        <w:t xml:space="preserve">Role-based access for the watch chain, vetted account approval, an administrator dashboard, and a full audit trail.</w:t>
      </w:r>
    </w:p>
    <w:p>
      <w:pPr>
        <w:pStyle w:val="ListParagraph"/>
        <w:numPr>
          <w:ilvl w:val="0"/>
          <w:numId w:val="2"/>
        </w:numPr>
        <w:spacing w:after="90" w:line="276"/>
      </w:pPr>
      <w:r>
        <w:t xml:space="preserve">Ghana-tailored geography — EEZ, territorial sea, Jubilee/TEN/Sankofa oil fields, fishing zones — and the Yaoundé Architecture (MMCC Zone F).</w:t>
      </w:r>
    </w:p>
    <w:p>
      <w:pPr>
        <w:pStyle w:val="ListParagraph"/>
        <w:numPr>
          <w:ilvl w:val="0"/>
          <w:numId w:val="2"/>
        </w:numPr>
        <w:spacing w:after="90" w:line="276"/>
      </w:pPr>
      <w:r>
        <w:t xml:space="preserve">Secure, always-on cloud deployment with a persistent database; switchable live-feed and high-fidelity simulation modes for training.</w:t>
      </w:r>
    </w:p>
    <w:p>
      <w:r>
        <w:br w:type="page"/>
      </w:r>
    </w:p>
    <w:p>
      <w:pPr>
        <w:pStyle w:val="Heading1"/>
        <w:spacing w:after="140" w:before="280"/>
      </w:pPr>
      <w:r>
        <w:t xml:space="preserve">4.  Phased Implementation Plan</w:t>
      </w:r>
    </w:p>
    <w:p>
      <w:pPr>
        <w:spacing w:after="120" w:line="276"/>
      </w:pPr>
      <w:r>
        <w:t xml:space="preserve">Delivery is phased so the Navy receives usable, improving capability at each stage rather than waiting for a single end-state. Each phase combines AI-accelerated software work with specific procured resources.</w:t>
      </w:r>
    </w:p>
    <w:p>
      <w:pPr>
        <w:pStyle w:val="Heading2"/>
        <w:spacing w:after="100" w:before="200"/>
      </w:pPr>
      <w:r>
        <w:t xml:space="preserve">Phase 1 — Live Data Integration  (Near-term)</w:t>
      </w:r>
    </w:p>
    <w:p>
      <w:pPr>
        <w:spacing w:after="120" w:line="276"/>
      </w:pPr>
      <w:r>
        <w:rPr>
          <w:b/>
          <w:bCs/>
        </w:rPr>
        <w:t xml:space="preserve">Objective: </w:t>
      </w:r>
      <w:r>
        <w:t xml:space="preserve">replace simulated traffic with live regional feeds so the picture reflects real vessels.</w:t>
      </w:r>
    </w:p>
    <w:p>
      <w:pPr>
        <w:pStyle w:val="ListParagraph"/>
        <w:numPr>
          <w:ilvl w:val="0"/>
          <w:numId w:val="2"/>
        </w:numPr>
        <w:spacing w:after="90" w:line="276"/>
      </w:pPr>
      <w:r>
        <w:rPr>
          <w:b/>
          <w:bCs/>
          <w:color w:val="0B7A3B"/>
        </w:rPr>
        <w:t xml:space="preserve">Software (AI-accelerated): </w:t>
      </w:r>
      <w:r>
        <w:t xml:space="preserve">build ingestion and fusion for commercial AIS (terrestrial + satellite-AIS), Vessel Monitoring System (VMS) and any available coastal-radar feeds; reliability, de-duplication and historical storage.</w:t>
      </w:r>
    </w:p>
    <w:p>
      <w:pPr>
        <w:pStyle w:val="ListParagraph"/>
        <w:numPr>
          <w:ilvl w:val="0"/>
          <w:numId w:val="2"/>
        </w:numPr>
        <w:spacing w:after="90" w:line="276"/>
      </w:pPr>
      <w:r>
        <w:rPr>
          <w:b/>
          <w:bCs/>
          <w:color w:val="946F00"/>
        </w:rPr>
        <w:t xml:space="preserve">Procured / external: </w:t>
      </w:r>
      <w:r>
        <w:t xml:space="preserve">commercial AIS and VMS data subscriptions; data-sharing arrangements with the Ghana Maritime Authority and fisheries authorities.</w:t>
      </w:r>
    </w:p>
    <w:p>
      <w:pPr>
        <w:pStyle w:val="Heading2"/>
        <w:spacing w:after="100" w:before="200"/>
      </w:pPr>
      <w:r>
        <w:t xml:space="preserve">Phase 2 — Satellite Tasking &amp; Analytics  (Mid-term)</w:t>
      </w:r>
    </w:p>
    <w:p>
      <w:pPr>
        <w:spacing w:after="120" w:line="276"/>
      </w:pPr>
      <w:r>
        <w:rPr>
          <w:b/>
          <w:bCs/>
        </w:rPr>
        <w:t xml:space="preserve">Objective: </w:t>
      </w:r>
      <w:r>
        <w:t xml:space="preserve">see and resolve non-cooperative “dark” contacts, and move from detection to prediction.</w:t>
      </w:r>
    </w:p>
    <w:p>
      <w:pPr>
        <w:pStyle w:val="ListParagraph"/>
        <w:numPr>
          <w:ilvl w:val="0"/>
          <w:numId w:val="2"/>
        </w:numPr>
        <w:spacing w:after="90" w:line="276"/>
      </w:pPr>
      <w:r>
        <w:rPr>
          <w:b/>
          <w:bCs/>
          <w:color w:val="0B7A3B"/>
        </w:rPr>
        <w:t xml:space="preserve">Software (AI-accelerated): </w:t>
      </w:r>
      <w:r>
        <w:t xml:space="preserve">satellite-imagery tasking and correlation against the AIS picture; pattern-of-life analytics and machine-learning risk scoring; advanced anomaly detection tailored to Ghana Navy doctrine.</w:t>
      </w:r>
    </w:p>
    <w:p>
      <w:pPr>
        <w:pStyle w:val="ListParagraph"/>
        <w:numPr>
          <w:ilvl w:val="0"/>
          <w:numId w:val="2"/>
        </w:numPr>
        <w:spacing w:after="90" w:line="276"/>
      </w:pPr>
      <w:r>
        <w:rPr>
          <w:b/>
          <w:bCs/>
          <w:color w:val="946F00"/>
        </w:rPr>
        <w:t xml:space="preserve">Procured / external: </w:t>
      </w:r>
      <w:r>
        <w:t xml:space="preserve">optical / SAR satellite imagery and tasking contracts; access to historical data to train and validate models; data-science validation of model outputs.</w:t>
      </w:r>
    </w:p>
    <w:p>
      <w:pPr>
        <w:pStyle w:val="Heading2"/>
        <w:spacing w:after="100" w:before="200"/>
      </w:pPr>
      <w:r>
        <w:t xml:space="preserve">Phase 3 — Operational Hardening &amp; Accreditation</w:t>
      </w:r>
    </w:p>
    <w:p>
      <w:pPr>
        <w:spacing w:after="120" w:line="276"/>
      </w:pPr>
      <w:r>
        <w:rPr>
          <w:b/>
          <w:bCs/>
        </w:rPr>
        <w:t xml:space="preserve">Objective: </w:t>
      </w:r>
      <w:r>
        <w:t xml:space="preserve">field a secure, accredited, sustainable national system.</w:t>
      </w:r>
    </w:p>
    <w:p>
      <w:pPr>
        <w:pStyle w:val="ListParagraph"/>
        <w:numPr>
          <w:ilvl w:val="0"/>
          <w:numId w:val="2"/>
        </w:numPr>
        <w:spacing w:after="90" w:line="276"/>
      </w:pPr>
      <w:r>
        <w:rPr>
          <w:b/>
          <w:bCs/>
          <w:color w:val="0B7A3B"/>
        </w:rPr>
        <w:t xml:space="preserve">Software (AI-accelerated): </w:t>
      </w:r>
      <w:r>
        <w:t xml:space="preserve">security hardening, military authentication (PKI), classification handling, sovereign / on-premise deployment automation, monitoring and disaster recovery; Yaoundé data-sharing interfaces.</w:t>
      </w:r>
    </w:p>
    <w:p>
      <w:pPr>
        <w:pStyle w:val="ListParagraph"/>
        <w:numPr>
          <w:ilvl w:val="0"/>
          <w:numId w:val="2"/>
        </w:numPr>
        <w:spacing w:after="90" w:line="276"/>
      </w:pPr>
      <w:r>
        <w:rPr>
          <w:b/>
          <w:bCs/>
          <w:color w:val="946F00"/>
        </w:rPr>
        <w:t xml:space="preserve">Procured / external: </w:t>
      </w:r>
      <w:r>
        <w:t xml:space="preserve">infrastructure (sovereign cloud or on-premise servers, optionally coastal radar); independent security accreditation and penetration testing; inter-agency and regional (Zone F) data-sharing agreements; training and 24/7 sustainment.</w:t>
      </w:r>
    </w:p>
    <w:p>
      <w:pPr>
        <w:pStyle w:val="Heading1"/>
        <w:spacing w:after="140" w:before="280"/>
      </w:pPr>
      <w:r>
        <w:t xml:space="preserve">5.  Delivery Model</w:t>
      </w:r>
    </w:p>
    <w:p>
      <w:pPr>
        <w:spacing w:after="120" w:line="276"/>
      </w:pPr>
      <w:r>
        <w:t xml:space="preserve">SeaWatch is best delivered by a small, accountable, Navy-led team using an AI build engine (Claude) — not a large traditional contractor. This keeps cost, timeline and sovereignty under the Navy’s control. The table below clarifies the division of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Function</w:t>
            </w:r>
          </w:p>
        </w:tc>
        <w:tc>
          <w:tcPr>
            <w:tcW w:type="dxa" w:w="312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AI build engine (Claude)</w:t>
            </w:r>
          </w:p>
        </w:tc>
        <w:tc>
          <w:tcPr>
            <w:tcW w:type="dxa" w:w="312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Human team / Navy</w:t>
            </w:r>
          </w:p>
        </w:tc>
      </w:tr>
      <w:tr>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Software build &amp; maintenance</w:t>
            </w:r>
          </w:p>
        </w:tc>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Writes &amp; maintains essentially all code, integrations, models and deployment</w:t>
            </w:r>
          </w:p>
        </w:tc>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Directs priorities; reviews &amp; accepts</w:t>
            </w:r>
          </w:p>
        </w:tc>
      </w:tr>
      <w:tr>
        <w:tc>
          <w:tcPr>
            <w:tcW w:type="dxa" w:w="31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sz w:val="20"/>
                <w:szCs w:val="20"/>
              </w:rPr>
              <w:t xml:space="preserve">Data &amp; contracts</w:t>
            </w:r>
          </w:p>
        </w:tc>
        <w:tc>
          <w:tcPr>
            <w:tcW w:type="dxa" w:w="31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Integrates whatever feeds are provided</w:t>
            </w:r>
          </w:p>
        </w:tc>
        <w:tc>
          <w:tcPr>
            <w:tcW w:type="dxa" w:w="31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Procures feeds; signs contracts &amp; agreements</w:t>
            </w:r>
          </w:p>
        </w:tc>
      </w:tr>
      <w:tr>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Security accreditation</w:t>
            </w:r>
          </w:p>
        </w:tc>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Implements controls; produces evidence &amp; docs</w:t>
            </w:r>
          </w:p>
        </w:tc>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Owns sign-off; engages accreditation authority</w:t>
            </w:r>
          </w:p>
        </w:tc>
      </w:tr>
      <w:tr>
        <w:tc>
          <w:tcPr>
            <w:tcW w:type="dxa" w:w="31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sz w:val="20"/>
                <w:szCs w:val="20"/>
              </w:rPr>
              <w:t xml:space="preserve">Hardware &amp; infrastructure</w:t>
            </w:r>
          </w:p>
        </w:tc>
        <w:tc>
          <w:tcPr>
            <w:tcW w:type="dxa" w:w="31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Automates deployment &amp; configuration</w:t>
            </w:r>
          </w:p>
        </w:tc>
        <w:tc>
          <w:tcPr>
            <w:tcW w:type="dxa" w:w="31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Procures &amp; installs hardware / cloud</w:t>
            </w:r>
          </w:p>
        </w:tc>
      </w:tr>
      <w:tr>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Operations &amp; sustainment</w:t>
            </w:r>
          </w:p>
        </w:tc>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Powers fixes &amp; enhancements</w:t>
            </w:r>
          </w:p>
        </w:tc>
        <w:tc>
          <w:tcPr>
            <w:tcW w:type="dxa" w:w="31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Runs the watch; owns SLA, training, uptime</w:t>
            </w:r>
          </w:p>
        </w:tc>
      </w:tr>
    </w:tbl>
    <w:p>
      <w:pPr>
        <w:pStyle w:val="Heading1"/>
        <w:spacing w:after="140" w:before="280"/>
      </w:pPr>
      <w:r>
        <w:t xml:space="preserve">6.  Indicative Investment Requirements</w:t>
      </w:r>
    </w:p>
    <w:p>
      <w:pPr>
        <w:spacing w:after="120" w:line="276"/>
      </w:pPr>
      <w:r>
        <w:rPr>
          <w:b/>
          <w:bCs/>
        </w:rPr>
        <w:t xml:space="preserve">The figures below are rough order-of-magnitude (ROM) planning ranges in USD, intended only to frame the resource envelope. </w:t>
      </w:r>
      <w:r>
        <w:t xml:space="preserve">They are not quotations or commitments; actual costs require formal vendor quotation and local procurement, and several items are optional or scalable to the coverage the Navy chooses.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960"/>
        <w:gridCol w:w="2880"/>
      </w:tblGrid>
      <w:tr>
        <w:trPr>
          <w:tblHeader/>
        </w:trPr>
        <w:tc>
          <w:tcPr>
            <w:tcW w:type="dxa" w:w="252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Category</w:t>
            </w:r>
          </w:p>
        </w:tc>
        <w:tc>
          <w:tcPr>
            <w:tcW w:type="dxa" w:w="396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What it covers</w:t>
            </w:r>
          </w:p>
        </w:tc>
        <w:tc>
          <w:tcPr>
            <w:tcW w:type="dxa" w:w="288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Indicative ROM</w:t>
            </w:r>
          </w:p>
        </w:tc>
      </w:tr>
      <w:tr>
        <w:tc>
          <w:tcPr>
            <w:tcW w:type="dxa" w:w="25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Project team</w:t>
            </w:r>
          </w:p>
        </w:tc>
        <w:tc>
          <w:tcPr>
            <w:tcW w:type="dxa" w:w="39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Technical lead + security/accreditation specialist + operations/maintenance (AI-accelerated, so small)</w:t>
            </w:r>
          </w:p>
        </w:tc>
        <w:tc>
          <w:tcPr>
            <w:tcW w:type="dxa" w:w="288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Personnel — annual</w:t>
            </w:r>
          </w:p>
        </w:tc>
      </w:tr>
      <w:tr>
        <w:tc>
          <w:tcPr>
            <w:tcW w:type="dxa" w:w="25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sz w:val="20"/>
                <w:szCs w:val="20"/>
              </w:rPr>
              <w:t xml:space="preserve">AIS &amp; VMS data feeds</w:t>
            </w:r>
          </w:p>
        </w:tc>
        <w:tc>
          <w:tcPr>
            <w:tcW w:type="dxa" w:w="396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Commercial terrestrial + satellite-AIS and VMS subscriptions (coverage-dependent)</w:t>
            </w:r>
          </w:p>
        </w:tc>
        <w:tc>
          <w:tcPr>
            <w:tcW w:type="dxa" w:w="288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~$20k – $120k / yr</w:t>
            </w:r>
          </w:p>
        </w:tc>
      </w:tr>
      <w:tr>
        <w:tc>
          <w:tcPr>
            <w:tcW w:type="dxa" w:w="25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Satellite imagery &amp; tasking</w:t>
            </w:r>
          </w:p>
        </w:tc>
        <w:tc>
          <w:tcPr>
            <w:tcW w:type="dxa" w:w="39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Optical / SAR tasking to image dark contacts (volume-dependent)</w:t>
            </w:r>
          </w:p>
        </w:tc>
        <w:tc>
          <w:tcPr>
            <w:tcW w:type="dxa" w:w="288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~$50k – $300k / yr</w:t>
            </w:r>
          </w:p>
        </w:tc>
      </w:tr>
      <w:tr>
        <w:tc>
          <w:tcPr>
            <w:tcW w:type="dxa" w:w="25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sz w:val="20"/>
                <w:szCs w:val="20"/>
              </w:rPr>
              <w:t xml:space="preserve">Infrastructure</w:t>
            </w:r>
          </w:p>
        </w:tc>
        <w:tc>
          <w:tcPr>
            <w:tcW w:type="dxa" w:w="396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Sovereign cloud or on-premise servers, networking, backup</w:t>
            </w:r>
          </w:p>
        </w:tc>
        <w:tc>
          <w:tcPr>
            <w:tcW w:type="dxa" w:w="288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~$10k – $60k / yr</w:t>
            </w:r>
          </w:p>
        </w:tc>
      </w:tr>
      <w:tr>
        <w:tc>
          <w:tcPr>
            <w:tcW w:type="dxa" w:w="25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Coastal radar (optional)</w:t>
            </w:r>
          </w:p>
        </w:tc>
        <w:tc>
          <w:tcPr>
            <w:tcW w:type="dxa" w:w="39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Additional sensor coverage — hardware &amp; installation, site-dependent</w:t>
            </w:r>
          </w:p>
        </w:tc>
        <w:tc>
          <w:tcPr>
            <w:tcW w:type="dxa" w:w="288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Capex — site-by-site</w:t>
            </w:r>
          </w:p>
        </w:tc>
      </w:tr>
      <w:tr>
        <w:tc>
          <w:tcPr>
            <w:tcW w:type="dxa" w:w="252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sz w:val="20"/>
                <w:szCs w:val="20"/>
              </w:rPr>
              <w:t xml:space="preserve">Security accreditation</w:t>
            </w:r>
          </w:p>
        </w:tc>
        <w:tc>
          <w:tcPr>
            <w:tcW w:type="dxa" w:w="396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Independent penetration testing &amp; accreditation cycle</w:t>
            </w:r>
          </w:p>
        </w:tc>
        <w:tc>
          <w:tcPr>
            <w:tcW w:type="dxa" w:w="288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~$20k – $80k one-off</w:t>
            </w:r>
          </w:p>
        </w:tc>
      </w:tr>
      <w:tr>
        <w:tc>
          <w:tcPr>
            <w:tcW w:type="dxa" w:w="252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Training &amp; sustainment</w:t>
            </w:r>
          </w:p>
        </w:tc>
        <w:tc>
          <w:tcPr>
            <w:tcW w:type="dxa" w:w="39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Operator training, support and continuous improvement</w:t>
            </w:r>
          </w:p>
        </w:tc>
        <w:tc>
          <w:tcPr>
            <w:tcW w:type="dxa" w:w="288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Annual</w:t>
            </w:r>
          </w:p>
        </w:tc>
      </w:tr>
    </w:tbl>
    <w:p>
      <w:pPr>
        <w:spacing w:after="120" w:line="276"/>
      </w:pPr>
      <w:r>
        <w:rPr>
          <w:b/>
          <w:bCs/>
        </w:rPr>
        <w:t xml:space="preserve">Note: </w:t>
      </w:r>
      <w:r>
        <w:t xml:space="preserve">the single largest saving versus a conventional programme is the software-engineering line — AI acceleration compresses what is normally the most expensive and slowest element of a defence IT system.</w:t>
      </w:r>
    </w:p>
    <w:p>
      <w:r>
        <w:br w:type="page"/>
      </w:r>
    </w:p>
    <w:p>
      <w:pPr>
        <w:pStyle w:val="Heading1"/>
        <w:spacing w:after="140" w:before="280"/>
      </w:pPr>
      <w:r>
        <w:t xml:space="preserve">7.  Indicative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Phase</w:t>
            </w:r>
          </w:p>
        </w:tc>
        <w:tc>
          <w:tcPr>
            <w:tcW w:type="dxa" w:w="440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Outcome</w:t>
            </w:r>
          </w:p>
        </w:tc>
        <w:tc>
          <w:tcPr>
            <w:tcW w:type="dxa" w:w="276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Indicative duration</w:t>
            </w:r>
          </w:p>
        </w:tc>
      </w:tr>
      <w:tr>
        <w:tc>
          <w:tcPr>
            <w:tcW w:type="dxa" w:w="220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Phase 1</w:t>
            </w:r>
          </w:p>
        </w:tc>
        <w:tc>
          <w:tcPr>
            <w:tcW w:type="dxa" w:w="440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Live regional data; real-vessel operating picture</w:t>
            </w:r>
          </w:p>
        </w:tc>
        <w:tc>
          <w:tcPr>
            <w:tcW w:type="dxa" w:w="27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2 – 4 months</w:t>
            </w:r>
          </w:p>
        </w:tc>
      </w:tr>
      <w:tr>
        <w:tc>
          <w:tcPr>
            <w:tcW w:type="dxa" w:w="220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sz w:val="20"/>
                <w:szCs w:val="20"/>
              </w:rPr>
              <w:t xml:space="preserve">Phase 2</w:t>
            </w:r>
          </w:p>
        </w:tc>
        <w:tc>
          <w:tcPr>
            <w:tcW w:type="dxa" w:w="440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Satellite tasking, pattern-of-life &amp; ML analytics</w:t>
            </w:r>
          </w:p>
        </w:tc>
        <w:tc>
          <w:tcPr>
            <w:tcW w:type="dxa" w:w="276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4 – 8 months</w:t>
            </w:r>
          </w:p>
        </w:tc>
      </w:tr>
      <w:tr>
        <w:tc>
          <w:tcPr>
            <w:tcW w:type="dxa" w:w="220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Phase 3</w:t>
            </w:r>
          </w:p>
        </w:tc>
        <w:tc>
          <w:tcPr>
            <w:tcW w:type="dxa" w:w="440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Hardened, accredited, sovereign operational system</w:t>
            </w:r>
          </w:p>
        </w:tc>
        <w:tc>
          <w:tcPr>
            <w:tcW w:type="dxa" w:w="27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4 – 8 months (overlapping)</w:t>
            </w:r>
          </w:p>
        </w:tc>
      </w:tr>
      <w:tr>
        <w:tc>
          <w:tcPr>
            <w:tcW w:type="dxa" w:w="220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rPr>
              <w:t xml:space="preserve">To operational</w:t>
            </w:r>
          </w:p>
        </w:tc>
        <w:tc>
          <w:tcPr>
            <w:tcW w:type="dxa" w:w="440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rPr>
              <w:t xml:space="preserve">Full national capability, delivered incrementally</w:t>
            </w:r>
          </w:p>
        </w:tc>
        <w:tc>
          <w:tcPr>
            <w:tcW w:type="dxa" w:w="276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rPr>
              <w:t xml:space="preserve">~12 – 18 months</w:t>
            </w:r>
          </w:p>
        </w:tc>
      </w:tr>
    </w:tbl>
    <w:p>
      <w:pPr>
        <w:pStyle w:val="Heading1"/>
        <w:spacing w:after="140" w:before="280"/>
      </w:pPr>
      <w:r>
        <w:t xml:space="preserve">8.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Risk</w:t>
            </w:r>
          </w:p>
        </w:tc>
        <w:tc>
          <w:tcPr>
            <w:tcW w:type="dxa" w:w="4860"/>
            <w:tcBorders>
              <w:top w:val="single" w:color="C9D6E3" w:sz="1"/>
              <w:left w:val="single" w:color="C9D6E3" w:sz="1"/>
              <w:bottom w:val="single" w:color="C9D6E3" w:sz="1"/>
              <w:right w:val="single" w:color="C9D6E3" w:sz="1"/>
            </w:tcBorders>
            <w:shd w:fill="0A1A2E" w:val="clear"/>
            <w:tcMar>
              <w:top w:type="dxa" w:w="70"/>
              <w:left w:type="dxa" w:w="110"/>
              <w:bottom w:type="dxa" w:w="70"/>
              <w:right w:type="dxa" w:w="110"/>
            </w:tcMar>
            <w:vAlign w:val="center"/>
          </w:tcPr>
          <w:p>
            <w:pPr>
              <w:spacing w:after="0" w:line="264"/>
            </w:pPr>
            <w:r>
              <w:rPr>
                <w:b/>
                <w:bCs/>
                <w:color w:val="FFFFFF"/>
                <w:sz w:val="20"/>
                <w:szCs w:val="20"/>
              </w:rPr>
              <w:t xml:space="preserve">Mitigation</w:t>
            </w:r>
          </w:p>
        </w:tc>
      </w:tr>
      <w:tr>
        <w:tc>
          <w:tcPr>
            <w:tcW w:type="dxa" w:w="450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Data-feed cost or coverage gaps in the Gulf of Guinea</w:t>
            </w:r>
          </w:p>
        </w:tc>
        <w:tc>
          <w:tcPr>
            <w:tcW w:type="dxa" w:w="48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Phase 1 starts with best-value providers; simulation mode covers gaps; scale coverage as budget allows</w:t>
            </w:r>
          </w:p>
        </w:tc>
      </w:tr>
      <w:tr>
        <w:tc>
          <w:tcPr>
            <w:tcW w:type="dxa" w:w="450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sz w:val="20"/>
                <w:szCs w:val="20"/>
              </w:rPr>
              <w:t xml:space="preserve">Accreditation &amp; security-approval timelines</w:t>
            </w:r>
          </w:p>
        </w:tc>
        <w:tc>
          <w:tcPr>
            <w:tcW w:type="dxa" w:w="486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Engage the accreditation authority early; build controls in from Phase 1; independent testing in Phase 3</w:t>
            </w:r>
          </w:p>
        </w:tc>
      </w:tr>
      <w:tr>
        <w:tc>
          <w:tcPr>
            <w:tcW w:type="dxa" w:w="450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Hardware procurement lead times (if radar pursued)</w:t>
            </w:r>
          </w:p>
        </w:tc>
        <w:tc>
          <w:tcPr>
            <w:tcW w:type="dxa" w:w="48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Treat radar as optional/parallel; deliver full value from AIS + satellite first</w:t>
            </w:r>
          </w:p>
        </w:tc>
      </w:tr>
      <w:tr>
        <w:tc>
          <w:tcPr>
            <w:tcW w:type="dxa" w:w="450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bCs/>
                <w:sz w:val="20"/>
                <w:szCs w:val="20"/>
              </w:rPr>
              <w:t xml:space="preserve">Inter-agency &amp; regional data-sharing agreements</w:t>
            </w:r>
          </w:p>
        </w:tc>
        <w:tc>
          <w:tcPr>
            <w:tcW w:type="dxa" w:w="4860"/>
            <w:tcBorders>
              <w:top w:val="single" w:color="C9D6E3" w:sz="1"/>
              <w:left w:val="single" w:color="C9D6E3" w:sz="1"/>
              <w:bottom w:val="single" w:color="C9D6E3" w:sz="1"/>
              <w:right w:val="single" w:color="C9D6E3" w:sz="1"/>
            </w:tcBorders>
            <w:shd w:fill="F2F6FA" w:val="clear"/>
            <w:tcMar>
              <w:top w:type="dxa" w:w="70"/>
              <w:left w:type="dxa" w:w="110"/>
              <w:bottom w:type="dxa" w:w="70"/>
              <w:right w:type="dxa" w:w="110"/>
            </w:tcMar>
            <w:vAlign w:val="center"/>
          </w:tcPr>
          <w:p>
            <w:pPr>
              <w:spacing w:after="0" w:line="264"/>
            </w:pPr>
            <w:r>
              <w:rPr>
                <w:b w:val="false"/>
                <w:bCs w:val="false"/>
                <w:sz w:val="20"/>
                <w:szCs w:val="20"/>
              </w:rPr>
              <w:t xml:space="preserve">Begin legal/diplomatic engagement (GMA, Fisheries, Zone F) in parallel with Phase 1</w:t>
            </w:r>
          </w:p>
        </w:tc>
      </w:tr>
      <w:tr>
        <w:tc>
          <w:tcPr>
            <w:tcW w:type="dxa" w:w="450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bCs/>
                <w:sz w:val="20"/>
                <w:szCs w:val="20"/>
              </w:rPr>
              <w:t xml:space="preserve">Continuity &amp; key-person dependency</w:t>
            </w:r>
          </w:p>
        </w:tc>
        <w:tc>
          <w:tcPr>
            <w:tcW w:type="dxa" w:w="4860"/>
            <w:tcBorders>
              <w:top w:val="single" w:color="C9D6E3" w:sz="1"/>
              <w:left w:val="single" w:color="C9D6E3" w:sz="1"/>
              <w:bottom w:val="single" w:color="C9D6E3" w:sz="1"/>
              <w:right w:val="single" w:color="C9D6E3" w:sz="1"/>
            </w:tcBorders>
            <w:shd w:fill="FFFFFF" w:val="clear"/>
            <w:tcMar>
              <w:top w:type="dxa" w:w="70"/>
              <w:left w:type="dxa" w:w="110"/>
              <w:bottom w:type="dxa" w:w="70"/>
              <w:right w:type="dxa" w:w="110"/>
            </w:tcMar>
            <w:vAlign w:val="center"/>
          </w:tcPr>
          <w:p>
            <w:pPr>
              <w:spacing w:after="0" w:line="264"/>
            </w:pPr>
            <w:r>
              <w:rPr>
                <w:b w:val="false"/>
                <w:bCs w:val="false"/>
                <w:sz w:val="20"/>
                <w:szCs w:val="20"/>
              </w:rPr>
              <w:t xml:space="preserve">Code, documentation and deployment fully owned by the Navy; AI engine sustains the build long-term</w:t>
            </w:r>
          </w:p>
        </w:tc>
      </w:tr>
    </w:tbl>
    <w:p>
      <w:pPr>
        <w:pStyle w:val="Heading1"/>
        <w:spacing w:after="140" w:before="280"/>
      </w:pPr>
      <w:r>
        <w:t xml:space="preserve">9.  Scope Boundaries — What the AI Build Engine Can and Cannot Do</w:t>
      </w:r>
    </w:p>
    <w:p>
      <w:pPr>
        <w:spacing w:after="120" w:line="276"/>
      </w:pPr>
      <w:r>
        <w:rPr>
          <w:b/>
          <w:bCs/>
          <w:color w:val="0B7A3B"/>
        </w:rPr>
        <w:t xml:space="preserve">Can: </w:t>
      </w:r>
      <w:r>
        <w:t xml:space="preserve">design, build, integrate, secure, test, deploy and maintain effectively all of the software — rapidly and at low marginal cost.</w:t>
      </w:r>
    </w:p>
    <w:p>
      <w:pPr>
        <w:spacing w:after="120" w:line="276"/>
      </w:pPr>
      <w:r>
        <w:rPr>
          <w:b/>
          <w:bCs/>
          <w:color w:val="B23B3B"/>
        </w:rPr>
        <w:t xml:space="preserve">Cannot: </w:t>
      </w:r>
      <w:r>
        <w:t xml:space="preserve">act as the accountable vendor of record, sign contracts, procure or install hardware, hold a security clearance, grant accreditation, or guarantee 24/7 uptime on its own. These remain with the Navy and its designated team, who use the AI engine as a force-multiplier within an accountable programme.</w:t>
      </w:r>
    </w:p>
    <w:p>
      <w:pPr>
        <w:pStyle w:val="Heading1"/>
        <w:spacing w:after="140" w:before="280"/>
      </w:pPr>
      <w:r>
        <w:t xml:space="preserve">10.  Recommendation &amp; The Ask</w:t>
      </w:r>
    </w:p>
    <w:p>
      <w:pPr>
        <w:spacing w:after="120" w:line="276"/>
      </w:pPr>
      <w:r>
        <w:t xml:space="preserve">SeaWatch has demonstrated the concept and the engineering. To proceed to operational capability, command is invited to:</w:t>
      </w:r>
    </w:p>
    <w:p>
      <w:pPr>
        <w:pStyle w:val="ListParagraph"/>
        <w:numPr>
          <w:ilvl w:val="0"/>
          <w:numId w:val="2"/>
        </w:numPr>
        <w:spacing w:after="90"/>
      </w:pPr>
      <w:r>
        <w:rPr>
          <w:b/>
          <w:bCs/>
        </w:rPr>
        <w:t xml:space="preserve">Approve phased funding</w:t>
      </w:r>
      <w:r>
        <w:t xml:space="preserve"> for the implementation plan in Section 4, with go/no-go decisions at each phase boundary.</w:t>
      </w:r>
    </w:p>
    <w:p>
      <w:pPr>
        <w:pStyle w:val="ListParagraph"/>
        <w:numPr>
          <w:ilvl w:val="0"/>
          <w:numId w:val="2"/>
        </w:numPr>
        <w:spacing w:after="90"/>
      </w:pPr>
      <w:r>
        <w:rPr>
          <w:b/>
          <w:bCs/>
        </w:rPr>
        <w:t xml:space="preserve">Designate a project sponsor and a Navy technical lead</w:t>
      </w:r>
      <w:r>
        <w:t xml:space="preserve"> to own delivery and security sign-off.</w:t>
      </w:r>
    </w:p>
    <w:p>
      <w:pPr>
        <w:pStyle w:val="ListParagraph"/>
        <w:numPr>
          <w:ilvl w:val="0"/>
          <w:numId w:val="2"/>
        </w:numPr>
        <w:spacing w:after="90"/>
      </w:pPr>
      <w:r>
        <w:rPr>
          <w:b/>
          <w:bCs/>
        </w:rPr>
        <w:t xml:space="preserve">Authorise Phase 1</w:t>
      </w:r>
      <w:r>
        <w:t xml:space="preserve"> — procurement of live AIS/VMS data feeds and the small project team — to convert the demonstrable system into a live operating picture within months.</w:t>
      </w:r>
    </w:p>
    <w:p>
      <w:pPr>
        <w:spacing w:after="120" w:before="120" w:line="276"/>
      </w:pPr>
      <w:r>
        <w:t xml:space="preserve">With these resources, SeaWatch can be carried to an operational, Ghana-owned maritime domain awareness capability — strengthening the protection of Ghana’s waters, its offshore economy, and its leadership within the Yaoundé Architecture.</w:t>
      </w:r>
    </w:p>
    <w:p>
      <w:pPr>
        <w:spacing w:before="220"/>
        <w:jc w:val="center"/>
      </w:pPr>
      <w:r>
        <w:rPr>
          <w:i/>
          <w:iCs/>
          <w:color w:val="12365C"/>
          <w:sz w:val="22"/>
          <w:szCs w:val="22"/>
        </w:rPr>
        <w:t xml:space="preserve">See  ·  Detect  ·  Collaborate  ·  Act</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0"/>
    </w:pPr>
    <w:r>
      <w:rPr>
        <w:b/>
        <w:bCs/>
        <w:color w:val="B23B3B"/>
        <w:sz w:val="15"/>
        <w:szCs w:val="15"/>
      </w:rPr>
      <w:t xml:space="preserve">DRAFT — FOR COMMAND CONSIDERATION</w:t>
    </w:r>
    <w:r>
      <w:rPr>
        <w:color w:val="5C6E82"/>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color w:val="5C6E82"/>
        <w:sz w:val="16"/>
        <w:szCs w:val="16"/>
      </w:rPr>
      <w:t xml:space="preserve">SeaWatch — Ghana Navy MDA</w:t>
    </w:r>
    <w:r>
      <w:rPr>
        <w:color w:val="5C6E82"/>
        <w:sz w:val="16"/>
        <w:szCs w:val="16"/>
      </w:rPr>
      <w:t xml:space="preserve">	Implementation &amp; Funding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2365C"/>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236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4156e6ecf817c3a0c7776450250f9c8915d7c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SeaWatch — Implementation &amp; Funding Proposal</dc:title>
  <dc:creator>SeaWatch</dc:creator>
  <cp:lastModifiedBy>Un-named</cp:lastModifiedBy>
  <cp:revision>1</cp:revision>
  <dcterms:created xsi:type="dcterms:W3CDTF">2026-06-30T22:07:06.419Z</dcterms:created>
  <dcterms:modified xsi:type="dcterms:W3CDTF">2026-06-30T22:07:06.420Z</dcterms:modified>
</cp:coreProperties>
</file>

<file path=docProps/custom.xml><?xml version="1.0" encoding="utf-8"?>
<Properties xmlns="http://schemas.openxmlformats.org/officeDocument/2006/custom-properties" xmlns:vt="http://schemas.openxmlformats.org/officeDocument/2006/docPropsVTypes"/>
</file>