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spacing w:after="1000" w:before="0" w:line="40" w:lineRule="auto"/>
      </w:pPr>
      <w:r>
        <w:rPr>
          <w:rFonts w:ascii="Calibri" w:cs="Calibri" w:eastAsia="Calibri" w:hAnsi="Calibri"/>
          <w:b w:val="false"/>
          <w:bCs w:val="false"/>
          <w:i w:val="false"/>
          <w:iCs w:val="false"/>
          <w:caps w:val="false"/>
          <w:color w:val="28231F"/>
          <w:sz w:val="22"/>
          <w:szCs w:val="22"/>
        </w:rPr>
        <w:t xml:space="preserve"/>
      </w:r>
    </w:p>
    <w:p>
      <w:pPr>
        <w:keepNext w:val="false"/>
        <w:keepLines/>
        <w:spacing w:after="200" w:before="0" w:line="300" w:lineRule="auto"/>
        <w:jc w:val="center"/>
      </w:pPr>
      <w:r>
        <w:rPr>
          <w:rFonts w:ascii="Calibri" w:cs="Calibri" w:eastAsia="Calibri" w:hAnsi="Calibri"/>
          <w:b/>
          <w:bCs/>
          <w:i w:val="false"/>
          <w:iCs w:val="false"/>
          <w:caps/>
          <w:color w:val="B58A3A"/>
          <w:sz w:val="20"/>
          <w:szCs w:val="20"/>
        </w:rPr>
        <w:t xml:space="preserve">GOVARDHANA PILGRIMAGE</w:t>
      </w:r>
    </w:p>
    <w:p>
      <w:pPr>
        <w:keepNext w:val="false"/>
        <w:keepLines/>
        <w:spacing w:after="260" w:before="0" w:line="300" w:lineRule="auto"/>
        <w:jc w:val="center"/>
      </w:pPr>
      <w:r>
        <w:rPr>
          <w:rFonts w:ascii="Calibri" w:cs="Calibri" w:eastAsia="Calibri" w:hAnsi="Calibri"/>
          <w:b w:val="false"/>
          <w:bCs w:val="false"/>
          <w:i w:val="false"/>
          <w:iCs w:val="false"/>
          <w:caps w:val="false"/>
          <w:color w:val="762F3B"/>
          <w:sz w:val="28"/>
          <w:szCs w:val="28"/>
        </w:rPr>
        <w:t xml:space="preserve">Rādhā-kuṇḍa Research Series</w:t>
      </w:r>
    </w:p>
    <w:p>
      <w:pPr>
        <w:keepNext w:val="false"/>
        <w:keepLines/>
        <w:spacing w:after="100" w:before="0" w:line="300" w:lineRule="auto"/>
        <w:jc w:val="center"/>
      </w:pPr>
      <w:r>
        <w:rPr>
          <w:rFonts w:ascii="Calibri" w:cs="Calibri" w:eastAsia="Calibri" w:hAnsi="Calibri"/>
          <w:b/>
          <w:bCs/>
          <w:i w:val="false"/>
          <w:iCs w:val="false"/>
          <w:caps w:val="false"/>
          <w:color w:val="B58A3A"/>
          <w:sz w:val="22"/>
          <w:szCs w:val="22"/>
        </w:rPr>
        <w:t xml:space="preserve">RS-03</w:t>
      </w:r>
    </w:p>
    <w:p>
      <w:pPr>
        <w:keepNext w:val="false"/>
        <w:keepLines/>
        <w:spacing w:after="150" w:before="0" w:line="410" w:lineRule="auto"/>
        <w:jc w:val="center"/>
      </w:pPr>
      <w:r>
        <w:rPr>
          <w:rFonts w:ascii="Calibri" w:cs="Calibri" w:eastAsia="Calibri" w:hAnsi="Calibri"/>
          <w:b/>
          <w:bCs/>
          <w:i w:val="false"/>
          <w:iCs w:val="false"/>
          <w:caps w:val="false"/>
          <w:color w:val="762F3B"/>
          <w:sz w:val="38"/>
          <w:szCs w:val="38"/>
        </w:rPr>
        <w:t xml:space="preserve">Śrī Caitanya Mahāprabhu at Rādhā-kuṇḍa</w:t>
      </w:r>
    </w:p>
    <w:p>
      <w:pPr>
        <w:keepNext w:val="false"/>
        <w:keepLines/>
        <w:spacing w:after="340" w:before="0" w:line="330" w:lineRule="auto"/>
        <w:jc w:val="center"/>
      </w:pPr>
      <w:r>
        <w:rPr>
          <w:rFonts w:ascii="Calibri" w:cs="Calibri" w:eastAsia="Calibri" w:hAnsi="Calibri"/>
          <w:b w:val="false"/>
          <w:bCs w:val="false"/>
          <w:i w:val="false"/>
          <w:iCs w:val="false"/>
          <w:caps w:val="false"/>
          <w:color w:val="28231F"/>
          <w:sz w:val="24"/>
          <w:szCs w:val="24"/>
        </w:rPr>
        <w:t xml:space="preserve">Recognition, remembrance, revelation, and the transition toward Govardhana</w:t>
      </w:r>
    </w:p>
    <w:p>
      <w:pPr>
        <w:keepNext w:val="false"/>
        <w:keepLines/>
        <w:pBdr>
          <w:top w:val="single" w:color="B58A3A" w:sz="8"/>
          <w:bottom w:val="single" w:color="D6C7B6" w:sz="3"/>
          <w:left w:val="single" w:color="B58A3A" w:sz="8"/>
          <w:right w:val="single" w:color="D6C7B6" w:sz="3"/>
        </w:pBdr>
        <w:shd w:fill="F7F1E7" w:color="auto" w:val="clear"/>
        <w:spacing w:after="120" w:before="80" w:line="285" w:lineRule="auto"/>
        <w:ind w:left="180" w:right="180"/>
      </w:pPr>
      <w:r>
        <w:rPr>
          <w:rFonts w:ascii="Calibri" w:cs="Calibri" w:eastAsia="Calibri" w:hAnsi="Calibri"/>
          <w:b/>
          <w:bCs/>
          <w:i w:val="false"/>
          <w:iCs w:val="false"/>
          <w:caps w:val="false"/>
          <w:color w:val="762F3B"/>
          <w:sz w:val="19"/>
          <w:szCs w:val="19"/>
        </w:rPr>
        <w:t xml:space="preserve">RESEARCH PURPOSE  </w:t>
      </w:r>
      <w:r>
        <w:rPr>
          <w:rFonts w:ascii="Calibri" w:cs="Calibri" w:eastAsia="Calibri" w:hAnsi="Calibri"/>
          <w:b w:val="false"/>
          <w:bCs w:val="false"/>
          <w:i w:val="false"/>
          <w:iCs w:val="false"/>
          <w:caps w:val="false"/>
          <w:color w:val="28231F"/>
          <w:sz w:val="20"/>
          <w:szCs w:val="20"/>
        </w:rPr>
        <w:t xml:space="preserve">To consolidate Caitanya-caritāmṛta Madhya 18.3–15 as a complete narrative and interpretive unit before the literary Story of Rādhā-kuṇḍa is written.</w:t>
      </w:r>
    </w:p>
    <w:p>
      <w:pPr>
        <w:keepNext w:val="false"/>
        <w:keepLines/>
        <w:spacing w:after="250" w:before="0" w:line="40" w:lineRule="auto"/>
      </w:pPr>
      <w:r>
        <w:rPr>
          <w:rFonts w:ascii="Calibri" w:cs="Calibri" w:eastAsia="Calibri" w:hAnsi="Calibri"/>
          <w:b w:val="false"/>
          <w:bCs w:val="false"/>
          <w:i w:val="false"/>
          <w:iCs w:val="false"/>
          <w:caps w:val="false"/>
          <w:color w:val="28231F"/>
          <w:sz w:val="22"/>
          <w:szCs w:val="22"/>
        </w:rPr>
        <w:t xml:space="preserve"/>
      </w:r>
    </w:p>
    <w:p>
      <w:pPr>
        <w:keepNext w:val="false"/>
        <w:keepLines/>
        <w:spacing w:after="100" w:before="0" w:line="300" w:lineRule="auto"/>
        <w:jc w:val="center"/>
      </w:pPr>
      <w:r>
        <w:rPr>
          <w:rFonts w:ascii="Calibri" w:cs="Calibri" w:eastAsia="Calibri" w:hAnsi="Calibri"/>
          <w:b w:val="false"/>
          <w:bCs w:val="false"/>
          <w:i w:val="false"/>
          <w:iCs w:val="false"/>
          <w:caps w:val="false"/>
          <w:color w:val="6E645D"/>
          <w:sz w:val="18"/>
          <w:szCs w:val="18"/>
        </w:rPr>
        <w:t xml:space="preserve">Research control document · v1.0 · 20 August 2026</w:t>
      </w:r>
    </w:p>
    <w:p>
      <w:pPr>
        <w:keepNext w:val="false"/>
        <w:keepLines/>
        <w:spacing w:after="0" w:before="0" w:line="300" w:lineRule="auto"/>
        <w:jc w:val="center"/>
      </w:pPr>
      <w:r>
        <w:rPr>
          <w:rFonts w:ascii="Calibri" w:cs="Calibri" w:eastAsia="Calibri" w:hAnsi="Calibri"/>
          <w:b w:val="false"/>
          <w:bCs w:val="false"/>
          <w:i/>
          <w:iCs/>
          <w:caps w:val="false"/>
          <w:color w:val="6E645D"/>
          <w:sz w:val="18"/>
          <w:szCs w:val="18"/>
        </w:rPr>
        <w:t xml:space="preserve">Caitanya-līlā research unit complete; literary composition may begin after this checkpoint</w:t>
      </w:r>
    </w:p>
    <w:p>
      <w:pPr>
        <w:spacing w:after="0" w:before="0"/>
      </w:pPr>
      <w:r>
        <w:br w:type="page"/>
      </w:r>
    </w:p>
    <w:p>
      <w:pPr>
        <w:pStyle w:val="Heading1"/>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1. Executive research ruling</w:t>
      </w:r>
    </w:p>
    <w:p>
      <w:pPr>
        <w:keepNext w:val="false"/>
        <w:keepLines/>
        <w:pBdr>
          <w:top w:val="single" w:color="B58A3A" w:sz="8"/>
          <w:bottom w:val="single" w:color="D6C7B6" w:sz="3"/>
          <w:left w:val="single" w:color="B58A3A" w:sz="8"/>
          <w:right w:val="single" w:color="D6C7B6" w:sz="3"/>
        </w:pBdr>
        <w:shd w:fill="F4E8EA" w:color="auto" w:val="clear"/>
        <w:spacing w:after="120" w:before="80" w:line="285" w:lineRule="auto"/>
        <w:ind w:left="180" w:right="180"/>
      </w:pPr>
      <w:r>
        <w:rPr>
          <w:rFonts w:ascii="Calibri" w:cs="Calibri" w:eastAsia="Calibri" w:hAnsi="Calibri"/>
          <w:b/>
          <w:bCs/>
          <w:i w:val="false"/>
          <w:iCs w:val="false"/>
          <w:caps w:val="false"/>
          <w:color w:val="762F3B"/>
          <w:sz w:val="19"/>
          <w:szCs w:val="19"/>
        </w:rPr>
        <w:t xml:space="preserve">BOTTOM LINE  </w:t>
      </w:r>
      <w:r>
        <w:rPr>
          <w:rFonts w:ascii="Calibri" w:cs="Calibri" w:eastAsia="Calibri" w:hAnsi="Calibri"/>
          <w:b w:val="false"/>
          <w:bCs w:val="false"/>
          <w:i w:val="false"/>
          <w:iCs w:val="false"/>
          <w:caps w:val="false"/>
          <w:color w:val="28231F"/>
          <w:sz w:val="20"/>
          <w:szCs w:val="20"/>
        </w:rPr>
        <w:t xml:space="preserve">Mahāprabhu does not create Rādhā-kuṇḍa or excavate the present complex. He arrives at inhabited Āriṭ-grāma in ecstatic pilgrimage, publicly exposes the loss of the tīrtha’s recognized identity, knows the obscured place through omniscience, bathes in its slight visible waters, and reveals its fullness through praise, remembered nitya-līlā, dance, tilaka, and onward pilgrimage. The literary story should present His visit as authoritative recognition and devotional revelation.</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Controlling findings</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The direct expression tīrtha lupta describes a holy place that is lost, obscured, or no longer visible as such; it does not say that the tīrtha has ceased to exist.</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Āriṭ-grāma is already inhabited. Mahāprabhu asks its people for Rādhā-kuṇḍa; He does not “discover” an unknown village.</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The narrative explicitly calls Him sarvajña bhagavān. Recognition rests upon divine omniscience, while the villagers’ astonishment makes the act publicly revelatory.</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The decisive contrast is between alpa-jala, little visible water, and the praise of nitya water-play, rāsa, prema, mādhurī, and mahimā.</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Mahāprabhu’s response is fully embodied: bathing, praising, remembering, dancing, marking His body with earth, carrying earth onward, and continuing toward Govardhana.</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Kṛṣṇadāsa Kavirāja structures the praise through both Bengali theological statements and embedded Sanskrit authorities from Padma Purāṇa material and Govinda-līlāmṛta 7.102.</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Verse 15 is the proper boundary: Rādhā-kuṇḍa opens directly into the Govardhana pilgrimage narrative.</w:t>
      </w:r>
    </w:p>
    <w:p>
      <w:pPr>
        <w:keepNext w:val="false"/>
        <w:keepLines/>
        <w:pBdr>
          <w:top w:val="single" w:color="B58A3A" w:sz="8"/>
          <w:bottom w:val="single" w:color="D6C7B6" w:sz="3"/>
          <w:left w:val="single" w:color="B58A3A" w:sz="8"/>
          <w:right w:val="single" w:color="D6C7B6" w:sz="3"/>
        </w:pBdr>
        <w:shd w:fill="E6F0E8" w:color="auto" w:val="clear"/>
        <w:spacing w:after="120" w:before="80" w:line="285" w:lineRule="auto"/>
        <w:ind w:left="180" w:right="180"/>
      </w:pPr>
      <w:r>
        <w:rPr>
          <w:rFonts w:ascii="Calibri" w:cs="Calibri" w:eastAsia="Calibri" w:hAnsi="Calibri"/>
          <w:b/>
          <w:bCs/>
          <w:i w:val="false"/>
          <w:iCs w:val="false"/>
          <w:caps w:val="false"/>
          <w:color w:val="762F3B"/>
          <w:sz w:val="19"/>
          <w:szCs w:val="19"/>
        </w:rPr>
        <w:t xml:space="preserve">CONTROLLED SYNTHESIS  </w:t>
      </w:r>
      <w:r>
        <w:rPr>
          <w:rFonts w:ascii="Calibri" w:cs="Calibri" w:eastAsia="Calibri" w:hAnsi="Calibri"/>
          <w:b w:val="false"/>
          <w:bCs w:val="false"/>
          <w:i w:val="false"/>
          <w:iCs w:val="false"/>
          <w:caps w:val="false"/>
          <w:color w:val="28231F"/>
          <w:sz w:val="20"/>
          <w:szCs w:val="20"/>
        </w:rPr>
        <w:t xml:space="preserve">“Visible littleness, revealed fullness” is the project’s concise formulation for the movement from the shallow paddy-field waters to Mahāprabhu’s praise of eternal daily līlā. It is an interpretive summary, not a quotation from the text.</w:t>
      </w:r>
    </w:p>
    <w:p>
      <w:pPr>
        <w:spacing w:after="0" w:before="0"/>
      </w:pPr>
      <w:r>
        <w:br w:type="page"/>
      </w:r>
    </w:p>
    <w:p>
      <w:pPr>
        <w:pStyle w:val="Heading1"/>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2. Scope, source status, and method</w:t>
      </w:r>
    </w:p>
    <w:p>
      <w:pPr>
        <w:keepNext w:val="false"/>
        <w:keepLines/>
        <w:spacing w:after="120" w:before="0" w:line="300" w:lineRule="auto"/>
      </w:pPr>
      <w:r>
        <w:rPr>
          <w:rFonts w:ascii="Calibri" w:cs="Calibri" w:eastAsia="Calibri" w:hAnsi="Calibri"/>
          <w:b w:val="false"/>
          <w:bCs w:val="false"/>
          <w:i w:val="false"/>
          <w:iCs w:val="false"/>
          <w:caps w:val="false"/>
          <w:color w:val="28231F"/>
          <w:sz w:val="22"/>
          <w:szCs w:val="22"/>
        </w:rPr>
        <w:t xml:space="preserve">RS-03 isolates one tightly bounded A-level unit: Caitanya-caritāmṛta Madhya 18.3–15. It does not retell Raghunātha dāsa’s later residence and restoration, the rise of the Gauḍīya settlement, or the modern physical history of the kuṇḍas. Those belong to other research streams.</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Source status</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250"/>
        <w:gridCol w:w="2900"/>
        <w:gridCol w:w="3310"/>
      </w:tblGrid>
      <w:tr>
        <w:trPr>
          <w:cantSplit/>
          <w:tblHeader/>
        </w:trPr>
        <w:tc>
          <w:tcPr>
            <w:tcW w:type="dxa" w:w="19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0" w:lineRule="auto"/>
            </w:pPr>
            <w:r>
              <w:rPr>
                <w:rFonts w:ascii="Calibri" w:cs="Calibri" w:eastAsia="Calibri" w:hAnsi="Calibri"/>
                <w:b/>
                <w:bCs/>
                <w:i w:val="false"/>
                <w:iCs w:val="false"/>
                <w:caps w:val="false"/>
                <w:color w:val="FFFFFF"/>
                <w:sz w:val="16"/>
                <w:szCs w:val="16"/>
              </w:rPr>
              <w:t xml:space="preserve">Witness</w:t>
            </w:r>
          </w:p>
        </w:tc>
        <w:tc>
          <w:tcPr>
            <w:tcW w:type="dxa" w:w="125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0" w:lineRule="auto"/>
            </w:pPr>
            <w:r>
              <w:rPr>
                <w:rFonts w:ascii="Calibri" w:cs="Calibri" w:eastAsia="Calibri" w:hAnsi="Calibri"/>
                <w:b/>
                <w:bCs/>
                <w:i w:val="false"/>
                <w:iCs w:val="false"/>
                <w:caps w:val="false"/>
                <w:color w:val="FFFFFF"/>
                <w:sz w:val="16"/>
                <w:szCs w:val="16"/>
              </w:rPr>
              <w:t xml:space="preserve">Layer</w:t>
            </w:r>
          </w:p>
        </w:tc>
        <w:tc>
          <w:tcPr>
            <w:tcW w:type="dxa" w:w="29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0" w:lineRule="auto"/>
            </w:pPr>
            <w:r>
              <w:rPr>
                <w:rFonts w:ascii="Calibri" w:cs="Calibri" w:eastAsia="Calibri" w:hAnsi="Calibri"/>
                <w:b/>
                <w:bCs/>
                <w:i w:val="false"/>
                <w:iCs w:val="false"/>
                <w:caps w:val="false"/>
                <w:color w:val="FFFFFF"/>
                <w:sz w:val="16"/>
                <w:szCs w:val="16"/>
              </w:rPr>
              <w:t xml:space="preserve">Use in RS-03</w:t>
            </w:r>
          </w:p>
        </w:tc>
        <w:tc>
          <w:tcPr>
            <w:tcW w:type="dxa" w:w="331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0" w:lineRule="auto"/>
            </w:pPr>
            <w:r>
              <w:rPr>
                <w:rFonts w:ascii="Calibri" w:cs="Calibri" w:eastAsia="Calibri" w:hAnsi="Calibri"/>
                <w:b/>
                <w:bCs/>
                <w:i w:val="false"/>
                <w:iCs w:val="false"/>
                <w:caps w:val="false"/>
                <w:color w:val="FFFFFF"/>
                <w:sz w:val="16"/>
                <w:szCs w:val="16"/>
              </w:rPr>
              <w:t xml:space="preserve">Boundary</w:t>
            </w:r>
          </w:p>
        </w:tc>
      </w:tr>
      <w:tr>
        <w:trPr>
          <w:cantSplit/>
        </w:trPr>
        <w:tc>
          <w:tcPr>
            <w:tcW w:type="dxa" w:w="19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CC Madhya 18.3–15</w:t>
            </w:r>
          </w:p>
        </w:tc>
        <w:tc>
          <w:tcPr>
            <w:tcW w:type="dxa" w:w="125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A — Primary/Gosvāmī</w:t>
            </w:r>
          </w:p>
        </w:tc>
        <w:tc>
          <w:tcPr>
            <w:tcW w:type="dxa" w:w="29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Narrative spine and direct Caitanya-līlā evidence.</w:t>
            </w:r>
          </w:p>
        </w:tc>
        <w:tc>
          <w:tcPr>
            <w:tcW w:type="dxa" w:w="331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The account is theological biography; do not silently convert every detail into modern topography.</w:t>
            </w:r>
          </w:p>
        </w:tc>
      </w:tr>
      <w:tr>
        <w:trPr>
          <w:cantSplit/>
        </w:trPr>
        <w:tc>
          <w:tcPr>
            <w:tcW w:type="dxa" w:w="19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Padma Purāṇa material via MM 421–422</w:t>
            </w:r>
          </w:p>
        </w:tc>
        <w:tc>
          <w:tcPr>
            <w:tcW w:type="dxa" w:w="125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A — Primary/Gosvāmī transmission</w:t>
            </w:r>
          </w:p>
        </w:tc>
        <w:tc>
          <w:tcPr>
            <w:tcW w:type="dxa" w:w="29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Authority for the equivalence of Rādhā’s and Her lake’s dearness.</w:t>
            </w:r>
          </w:p>
        </w:tc>
        <w:tc>
          <w:tcPr>
            <w:tcW w:type="dxa" w:w="331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The local MM witness arranges the lines across adjacent half-verses.</w:t>
            </w:r>
          </w:p>
        </w:tc>
      </w:tr>
      <w:tr>
        <w:trPr>
          <w:cantSplit/>
        </w:trPr>
        <w:tc>
          <w:tcPr>
            <w:tcW w:type="dxa" w:w="19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Govinda-līlāmṛta 7.102</w:t>
            </w:r>
          </w:p>
        </w:tc>
        <w:tc>
          <w:tcPr>
            <w:tcW w:type="dxa" w:w="125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A — Gosvāmī</w:t>
            </w:r>
          </w:p>
        </w:tc>
        <w:tc>
          <w:tcPr>
            <w:tcW w:type="dxa" w:w="29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Sanskrit culmination of praise in CC 18.12.</w:t>
            </w:r>
          </w:p>
        </w:tc>
        <w:tc>
          <w:tcPr>
            <w:tcW w:type="dxa" w:w="331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CC and the local mūla contain variants; preserve both.</w:t>
            </w:r>
          </w:p>
        </w:tc>
      </w:tr>
      <w:tr>
        <w:trPr>
          <w:cantSplit/>
        </w:trPr>
        <w:tc>
          <w:tcPr>
            <w:tcW w:type="dxa" w:w="19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RK-04 v0.3 and Dossier v0.4</w:t>
            </w:r>
          </w:p>
        </w:tc>
        <w:tc>
          <w:tcPr>
            <w:tcW w:type="dxa" w:w="125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Project controls</w:t>
            </w:r>
          </w:p>
        </w:tc>
        <w:tc>
          <w:tcPr>
            <w:tcW w:type="dxa" w:w="29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Existing historical/source-layer rulings.</w:t>
            </w:r>
          </w:p>
        </w:tc>
        <w:tc>
          <w:tcPr>
            <w:tcW w:type="dxa" w:w="331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Navigation and synthesis aids, not substitutes for the primary verses.</w:t>
            </w:r>
          </w:p>
        </w:tc>
      </w:tr>
      <w:tr>
        <w:trPr>
          <w:cantSplit/>
        </w:trPr>
        <w:tc>
          <w:tcPr>
            <w:tcW w:type="dxa" w:w="19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RS-02 v1.0</w:t>
            </w:r>
          </w:p>
        </w:tc>
        <w:tc>
          <w:tcPr>
            <w:tcW w:type="dxa" w:w="125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Project control</w:t>
            </w:r>
          </w:p>
        </w:tc>
        <w:tc>
          <w:tcPr>
            <w:tcW w:type="dxa" w:w="29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Nitya-līlā, dearness, bathing, and pastoral controls.</w:t>
            </w:r>
          </w:p>
        </w:tc>
        <w:tc>
          <w:tcPr>
            <w:tcW w:type="dxa" w:w="331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RS-03 completes the Caitanya narrative rather than repeating RS-02.</w:t>
            </w:r>
          </w:p>
        </w:tc>
      </w:tr>
    </w:tbl>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Methodological rules</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Preserve the verse sequence. The meaning emerges from the ordered movement from arrival to Govardhana.</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Distinguish direct wording from controlled synthesis and from later devotional retelling.</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Use “recognition” or “reidentification” as the safest narrative verbs; explain that common “rediscovery” language is acceptable only when it does not imply excavation or creation.</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Treat verses 7–12 as a structured praise unit: proposition, authority, nitya-līlā, fruit, correspondence, and Sanskrit culmination.</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Keep Mahāprabhu’s route distinct from the eternal Rādhā-Kṛṣṇa līlā map and from the modern walking itinerary.</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Preserve Bengali/Sanskrit wording where terms such as bāhya, lupta, sarvajña, alpa-jala, nitya, smaraṇa, and mṛttikā control interpretation.</w:t>
      </w:r>
    </w:p>
    <w:p>
      <w:pPr>
        <w:spacing w:after="0" w:before="0"/>
      </w:pPr>
      <w:r>
        <w:br w:type="page"/>
      </w:r>
    </w:p>
    <w:p>
      <w:pPr>
        <w:pStyle w:val="Heading1"/>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3. Narrative architecture of the visit</w:t>
      </w:r>
    </w:p>
    <w:p>
      <w:pPr>
        <w:keepNext w:val="false"/>
        <w:keepLines/>
        <w:spacing w:after="120" w:before="0" w:line="300" w:lineRule="auto"/>
      </w:pPr>
      <w:r>
        <w:rPr>
          <w:rFonts w:ascii="Calibri" w:cs="Calibri" w:eastAsia="Calibri" w:hAnsi="Calibri"/>
          <w:b w:val="false"/>
          <w:bCs w:val="false"/>
          <w:i w:val="false"/>
          <w:iCs w:val="false"/>
          <w:caps w:val="false"/>
          <w:color w:val="28231F"/>
          <w:sz w:val="22"/>
          <w:szCs w:val="22"/>
        </w:rPr>
        <w:t xml:space="preserve">The unit is not a single “discovery” moment. It is a nine-movement pilgrimage narrative in which inquiry, recognition, theology, remembrance, and bodily practice disclose the tīrtha.</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900"/>
        <w:gridCol w:w="3100"/>
        <w:gridCol w:w="3660"/>
      </w:tblGrid>
      <w:tr>
        <w:trPr>
          <w:cantSplit/>
          <w:tblHeader/>
        </w:trPr>
        <w:tc>
          <w:tcPr>
            <w:tcW w:type="dxa" w:w="17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0" w:lineRule="auto"/>
            </w:pPr>
            <w:r>
              <w:rPr>
                <w:rFonts w:ascii="Calibri" w:cs="Calibri" w:eastAsia="Calibri" w:hAnsi="Calibri"/>
                <w:b/>
                <w:bCs/>
                <w:i w:val="false"/>
                <w:iCs w:val="false"/>
                <w:caps w:val="false"/>
                <w:color w:val="FFFFFF"/>
                <w:sz w:val="15"/>
                <w:szCs w:val="15"/>
              </w:rPr>
              <w:t xml:space="preserve">Movement</w:t>
            </w:r>
          </w:p>
        </w:tc>
        <w:tc>
          <w:tcPr>
            <w:tcW w:type="dxa" w:w="9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0" w:lineRule="auto"/>
            </w:pPr>
            <w:r>
              <w:rPr>
                <w:rFonts w:ascii="Calibri" w:cs="Calibri" w:eastAsia="Calibri" w:hAnsi="Calibri"/>
                <w:b/>
                <w:bCs/>
                <w:i w:val="false"/>
                <w:iCs w:val="false"/>
                <w:caps w:val="false"/>
                <w:color w:val="FFFFFF"/>
                <w:sz w:val="15"/>
                <w:szCs w:val="15"/>
              </w:rPr>
              <w:t xml:space="preserve">Verse(s)</w:t>
            </w:r>
          </w:p>
        </w:tc>
        <w:tc>
          <w:tcPr>
            <w:tcW w:type="dxa" w:w="31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0" w:lineRule="auto"/>
            </w:pPr>
            <w:r>
              <w:rPr>
                <w:rFonts w:ascii="Calibri" w:cs="Calibri" w:eastAsia="Calibri" w:hAnsi="Calibri"/>
                <w:b/>
                <w:bCs/>
                <w:i w:val="false"/>
                <w:iCs w:val="false"/>
                <w:caps w:val="false"/>
                <w:color w:val="FFFFFF"/>
                <w:sz w:val="15"/>
                <w:szCs w:val="15"/>
              </w:rPr>
              <w:t xml:space="preserve">Direct textual movement</w:t>
            </w:r>
          </w:p>
        </w:tc>
        <w:tc>
          <w:tcPr>
            <w:tcW w:type="dxa" w:w="366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0" w:lineRule="auto"/>
            </w:pPr>
            <w:r>
              <w:rPr>
                <w:rFonts w:ascii="Calibri" w:cs="Calibri" w:eastAsia="Calibri" w:hAnsi="Calibri"/>
                <w:b/>
                <w:bCs/>
                <w:i w:val="false"/>
                <w:iCs w:val="false"/>
                <w:caps w:val="false"/>
                <w:color w:val="FFFFFF"/>
                <w:sz w:val="15"/>
                <w:szCs w:val="15"/>
              </w:rPr>
              <w:t xml:space="preserve">Drafting ruling</w:t>
            </w:r>
          </w:p>
        </w:tc>
      </w:tr>
      <w:tr>
        <w:trPr>
          <w:cantSplit/>
        </w:trPr>
        <w:tc>
          <w:tcPr>
            <w:tcW w:type="dxa" w:w="17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1. Ecstatic arrival</w:t>
            </w:r>
          </w:p>
        </w:tc>
        <w:tc>
          <w:tcPr>
            <w:tcW w:type="dxa" w:w="9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18.3</w:t>
            </w:r>
          </w:p>
        </w:tc>
        <w:tc>
          <w:tcPr>
            <w:tcW w:type="dxa" w:w="31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Dancing continues until focused outward awareness returns at Āriṭ-grāma.</w:t>
            </w:r>
          </w:p>
        </w:tc>
        <w:tc>
          <w:tcPr>
            <w:tcW w:type="dxa" w:w="36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Begin with pilgrimage absorption, not with a modern survey scene.</w:t>
            </w:r>
          </w:p>
        </w:tc>
      </w:tr>
      <w:tr>
        <w:trPr>
          <w:cantSplit/>
        </w:trPr>
        <w:tc>
          <w:tcPr>
            <w:tcW w:type="dxa" w:w="17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2. Inquiry</w:t>
            </w:r>
          </w:p>
        </w:tc>
        <w:tc>
          <w:tcPr>
            <w:tcW w:type="dxa" w:w="9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18.4</w:t>
            </w:r>
          </w:p>
        </w:tc>
        <w:tc>
          <w:tcPr>
            <w:tcW w:type="dxa" w:w="31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Local residents and the accompanying brāhmaṇa cannot identify Rādhā-kuṇḍa.</w:t>
            </w:r>
          </w:p>
        </w:tc>
        <w:tc>
          <w:tcPr>
            <w:tcW w:type="dxa" w:w="36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The village is known; the tīrtha identity is obscured.</w:t>
            </w:r>
          </w:p>
        </w:tc>
      </w:tr>
      <w:tr>
        <w:trPr>
          <w:cantSplit/>
        </w:trPr>
        <w:tc>
          <w:tcPr>
            <w:tcW w:type="dxa" w:w="17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3. Recognition and bath</w:t>
            </w:r>
          </w:p>
        </w:tc>
        <w:tc>
          <w:tcPr>
            <w:tcW w:type="dxa" w:w="9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18.5</w:t>
            </w:r>
          </w:p>
        </w:tc>
        <w:tc>
          <w:tcPr>
            <w:tcW w:type="dxa" w:w="31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The omniscient Lord knows the tīrtha as lupta and bathes in little water in two paddy fields.</w:t>
            </w:r>
          </w:p>
        </w:tc>
        <w:tc>
          <w:tcPr>
            <w:tcW w:type="dxa" w:w="36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Use recognition/reidentification; do not claim excavation or construction.</w:t>
            </w:r>
          </w:p>
        </w:tc>
      </w:tr>
      <w:tr>
        <w:trPr>
          <w:cantSplit/>
        </w:trPr>
        <w:tc>
          <w:tcPr>
            <w:tcW w:type="dxa" w:w="17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4. Public astonishment</w:t>
            </w:r>
          </w:p>
        </w:tc>
        <w:tc>
          <w:tcPr>
            <w:tcW w:type="dxa" w:w="9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18.6</w:t>
            </w:r>
          </w:p>
        </w:tc>
        <w:tc>
          <w:tcPr>
            <w:tcW w:type="dxa" w:w="31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Villagers are astonished; Mahāprabhu praises in prema.</w:t>
            </w:r>
          </w:p>
        </w:tc>
        <w:tc>
          <w:tcPr>
            <w:tcW w:type="dxa" w:w="36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The public disclosure occurs through action and devotional speech.</w:t>
            </w:r>
          </w:p>
        </w:tc>
      </w:tr>
      <w:tr>
        <w:trPr>
          <w:cantSplit/>
        </w:trPr>
        <w:tc>
          <w:tcPr>
            <w:tcW w:type="dxa" w:w="17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5. Dearness</w:t>
            </w:r>
          </w:p>
        </w:tc>
        <w:tc>
          <w:tcPr>
            <w:tcW w:type="dxa" w:w="9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18.7–8</w:t>
            </w:r>
          </w:p>
        </w:tc>
        <w:tc>
          <w:tcPr>
            <w:tcW w:type="dxa" w:w="31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Rādhā’s dearness grounds the lake’s dearness.</w:t>
            </w:r>
          </w:p>
        </w:tc>
        <w:tc>
          <w:tcPr>
            <w:tcW w:type="dxa" w:w="36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The place is understood relationally through Rādhā.</w:t>
            </w:r>
          </w:p>
        </w:tc>
      </w:tr>
      <w:tr>
        <w:trPr>
          <w:cantSplit/>
        </w:trPr>
        <w:tc>
          <w:tcPr>
            <w:tcW w:type="dxa" w:w="17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6. Nitya-līlā and fruit</w:t>
            </w:r>
          </w:p>
        </w:tc>
        <w:tc>
          <w:tcPr>
            <w:tcW w:type="dxa" w:w="9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18.9–12</w:t>
            </w:r>
          </w:p>
        </w:tc>
        <w:tc>
          <w:tcPr>
            <w:tcW w:type="dxa" w:w="31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Daily water-play, bank-side rāsa, bathing, prema, sweetness, and glory.</w:t>
            </w:r>
          </w:p>
        </w:tc>
        <w:tc>
          <w:tcPr>
            <w:tcW w:type="dxa" w:w="36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Visible littleness is read through eternal līlā identity.</w:t>
            </w:r>
          </w:p>
        </w:tc>
      </w:tr>
      <w:tr>
        <w:trPr>
          <w:cantSplit/>
        </w:trPr>
        <w:tc>
          <w:tcPr>
            <w:tcW w:type="dxa" w:w="17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7. Remembrance and dance</w:t>
            </w:r>
          </w:p>
        </w:tc>
        <w:tc>
          <w:tcPr>
            <w:tcW w:type="dxa" w:w="9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18.13</w:t>
            </w:r>
          </w:p>
        </w:tc>
        <w:tc>
          <w:tcPr>
            <w:tcW w:type="dxa" w:w="31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Mahāprabhu remembers kuṇḍa-līlā and dances on the bank.</w:t>
            </w:r>
          </w:p>
        </w:tc>
        <w:tc>
          <w:tcPr>
            <w:tcW w:type="dxa" w:w="36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Smaraṇa is embodied, affective, and place-responsive.</w:t>
            </w:r>
          </w:p>
        </w:tc>
      </w:tr>
      <w:tr>
        <w:trPr>
          <w:cantSplit/>
        </w:trPr>
        <w:tc>
          <w:tcPr>
            <w:tcW w:type="dxa" w:w="17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8. Earth and onward memory</w:t>
            </w:r>
          </w:p>
        </w:tc>
        <w:tc>
          <w:tcPr>
            <w:tcW w:type="dxa" w:w="9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18.14</w:t>
            </w:r>
          </w:p>
        </w:tc>
        <w:tc>
          <w:tcPr>
            <w:tcW w:type="dxa" w:w="31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He marks Himself with earth and carries some onward.</w:t>
            </w:r>
          </w:p>
        </w:tc>
        <w:tc>
          <w:tcPr>
            <w:tcW w:type="dxa" w:w="36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Honor the act without inventing a generalized commercial ritual.</w:t>
            </w:r>
          </w:p>
        </w:tc>
      </w:tr>
      <w:tr>
        <w:trPr>
          <w:cantSplit/>
        </w:trPr>
        <w:tc>
          <w:tcPr>
            <w:tcW w:type="dxa" w:w="17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9. Govardhana handoff</w:t>
            </w:r>
          </w:p>
        </w:tc>
        <w:tc>
          <w:tcPr>
            <w:tcW w:type="dxa" w:w="9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18.15</w:t>
            </w:r>
          </w:p>
        </w:tc>
        <w:tc>
          <w:tcPr>
            <w:tcW w:type="dxa" w:w="31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He travels to Sumanas-sarovara and beholds Govardhana.</w:t>
            </w:r>
          </w:p>
        </w:tc>
        <w:tc>
          <w:tcPr>
            <w:tcW w:type="dxa" w:w="36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End RS-03 here; Govardhana begins with the next movement.</w:t>
            </w:r>
          </w:p>
        </w:tc>
      </w:tr>
    </w:tbl>
    <w:p>
      <w:pPr>
        <w:spacing w:after="0" w:before="0"/>
      </w:pPr>
      <w:r>
        <w:br w:type="page"/>
      </w:r>
    </w:p>
    <w:p>
      <w:pPr>
        <w:pStyle w:val="Heading1"/>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4. Arrival, inquiry, and the meaning of lupta</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Ecstatic arrival becomes focused recognition</w:t>
      </w:r>
    </w:p>
    <w:p>
      <w:pPr>
        <w:keepNext w:val="false"/>
        <w:keepLines/>
        <w:spacing w:after="120" w:before="0" w:line="300" w:lineRule="auto"/>
      </w:pPr>
      <w:r>
        <w:rPr>
          <w:rFonts w:ascii="Calibri" w:cs="Calibri" w:eastAsia="Calibri" w:hAnsi="Calibri"/>
          <w:b w:val="false"/>
          <w:bCs w:val="false"/>
          <w:i w:val="false"/>
          <w:iCs w:val="false"/>
          <w:caps w:val="false"/>
          <w:color w:val="28231F"/>
          <w:sz w:val="22"/>
          <w:szCs w:val="22"/>
        </w:rPr>
        <w:t xml:space="preserve">Verse 3 does not introduce Mahāprabhu as a detached investigator. He comes nācite nācite—“dancing and dancing”—and then suddenly becomes bāhya at Āriṭ-grāma. The safest narrative reading is a transition from ecstatic absorption into outwardly focused awareness of the place before Him. The text does not imply that His spiritual awareness had been absent.</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The inquiry reveals a public loss of identification</w:t>
      </w:r>
    </w:p>
    <w:p>
      <w:pPr>
        <w:keepNext w:val="false"/>
        <w:keepLines/>
        <w:spacing w:after="120" w:before="0" w:line="300" w:lineRule="auto"/>
      </w:pPr>
      <w:r>
        <w:rPr>
          <w:rFonts w:ascii="Calibri" w:cs="Calibri" w:eastAsia="Calibri" w:hAnsi="Calibri"/>
          <w:b w:val="false"/>
          <w:bCs w:val="false"/>
          <w:i w:val="false"/>
          <w:iCs w:val="false"/>
          <w:caps w:val="false"/>
          <w:color w:val="28231F"/>
          <w:sz w:val="22"/>
          <w:szCs w:val="22"/>
        </w:rPr>
        <w:t xml:space="preserve">In verse 4 He asks the local people for news of Rādhā-kuṇḍa. No one can say, and the accompanying brāhmaṇa also does not know. This is a precise negative finding: the identity or whereabouts of the tīrtha cannot be supplied. It does not authorize claims that the village was deserted, that the residents rejected Rādhā-kuṇḍa, or that all regional memory had vanished.</w:t>
      </w:r>
    </w:p>
    <w:p>
      <w:pPr>
        <w:keepNext w:val="false"/>
        <w:keepLines/>
        <w:pBdr>
          <w:top w:val="single" w:color="B58A3A" w:sz="8"/>
          <w:bottom w:val="single" w:color="D6C7B6" w:sz="3"/>
          <w:left w:val="single" w:color="B58A3A" w:sz="8"/>
          <w:right w:val="single" w:color="D6C7B6" w:sz="3"/>
        </w:pBdr>
        <w:shd w:fill="E8EEF5" w:color="auto" w:val="clear"/>
        <w:spacing w:after="120" w:before="80" w:line="285" w:lineRule="auto"/>
        <w:ind w:left="180" w:right="180"/>
      </w:pPr>
      <w:r>
        <w:rPr>
          <w:rFonts w:ascii="Calibri" w:cs="Calibri" w:eastAsia="Calibri" w:hAnsi="Calibri"/>
          <w:b/>
          <w:bCs/>
          <w:i w:val="false"/>
          <w:iCs w:val="false"/>
          <w:caps w:val="false"/>
          <w:color w:val="762F3B"/>
          <w:sz w:val="19"/>
          <w:szCs w:val="19"/>
        </w:rPr>
        <w:t xml:space="preserve">NARRATIVE INFERENCE  </w:t>
      </w:r>
      <w:r>
        <w:rPr>
          <w:rFonts w:ascii="Calibri" w:cs="Calibri" w:eastAsia="Calibri" w:hAnsi="Calibri"/>
          <w:b w:val="false"/>
          <w:bCs w:val="false"/>
          <w:i w:val="false"/>
          <w:iCs w:val="false"/>
          <w:caps w:val="false"/>
          <w:color w:val="28231F"/>
          <w:sz w:val="20"/>
          <w:szCs w:val="20"/>
        </w:rPr>
        <w:t xml:space="preserve">Because verse 5 immediately names Mahāprabhu “the omniscient Lord,” His inquiry need not be read as an information deficit. It functions narratively to expose the tīrtha’s forgotten public identity before His recognition. This is a controlled inference, not an explicit explanation in verse 4.</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lupta is obscurity, not nonexistence</w:t>
      </w:r>
    </w:p>
    <w:p>
      <w:pPr>
        <w:keepNext w:val="false"/>
        <w:keepLines/>
        <w:spacing w:after="120" w:before="0" w:line="300" w:lineRule="auto"/>
      </w:pPr>
      <w:r>
        <w:rPr>
          <w:rFonts w:ascii="Calibri" w:cs="Calibri" w:eastAsia="Calibri" w:hAnsi="Calibri"/>
          <w:b w:val="false"/>
          <w:bCs w:val="false"/>
          <w:i w:val="false"/>
          <w:iCs w:val="false"/>
          <w:caps w:val="false"/>
          <w:color w:val="28231F"/>
          <w:sz w:val="22"/>
          <w:szCs w:val="22"/>
        </w:rPr>
        <w:t xml:space="preserve">Verse 5 pairs tīrtha lupta with sarvajña bhagavān. The physical form is agriculturally embedded—two paddy fields with only a little water—yet the Lord knows and bathes. For this project, “lost,” “obscured,” “hidden from recognition,” and “no longer visible as the known tīrtha” are acceptable renderings. “Destroyed” is too strong.</w:t>
      </w:r>
    </w:p>
    <w:p>
      <w:pPr>
        <w:keepNext w:val="false"/>
        <w:keepLines/>
        <w:pBdr>
          <w:top w:val="single" w:color="B58A3A" w:sz="8"/>
          <w:bottom w:val="single" w:color="D6C7B6" w:sz="3"/>
          <w:left w:val="single" w:color="B58A3A" w:sz="8"/>
          <w:right w:val="single" w:color="D6C7B6" w:sz="3"/>
        </w:pBdr>
        <w:shd w:fill="F4E8EA" w:color="auto" w:val="clear"/>
        <w:spacing w:after="120" w:before="80" w:line="285" w:lineRule="auto"/>
        <w:ind w:left="180" w:right="180"/>
      </w:pPr>
      <w:r>
        <w:rPr>
          <w:rFonts w:ascii="Calibri" w:cs="Calibri" w:eastAsia="Calibri" w:hAnsi="Calibri"/>
          <w:b/>
          <w:bCs/>
          <w:i w:val="false"/>
          <w:iCs w:val="false"/>
          <w:caps w:val="false"/>
          <w:color w:val="762F3B"/>
          <w:sz w:val="19"/>
          <w:szCs w:val="19"/>
        </w:rPr>
        <w:t xml:space="preserve">CRITICAL BOUNDARY  </w:t>
      </w:r>
      <w:r>
        <w:rPr>
          <w:rFonts w:ascii="Calibri" w:cs="Calibri" w:eastAsia="Calibri" w:hAnsi="Calibri"/>
          <w:b w:val="false"/>
          <w:bCs w:val="false"/>
          <w:i w:val="false"/>
          <w:iCs w:val="false"/>
          <w:caps w:val="false"/>
          <w:color w:val="28231F"/>
          <w:sz w:val="20"/>
          <w:szCs w:val="20"/>
        </w:rPr>
        <w:t xml:space="preserve">The verse says kailā snāna, “He bathed.” It does not say He excavated, desilted, enlarged, embanked, named ghāṭs, built a causeway, founded a baithak, or planted a commemorative tree.</w:t>
      </w:r>
    </w:p>
    <w:p>
      <w:pPr>
        <w:spacing w:after="0" w:before="0"/>
      </w:pPr>
      <w:r>
        <w:br w:type="page"/>
      </w:r>
    </w:p>
    <w:p>
      <w:pPr>
        <w:pStyle w:val="Heading1"/>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5. Recognition becomes revelation</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Bathing is the first declaration</w:t>
      </w:r>
    </w:p>
    <w:p>
      <w:pPr>
        <w:keepNext w:val="false"/>
        <w:keepLines/>
        <w:spacing w:after="120" w:before="0" w:line="300" w:lineRule="auto"/>
      </w:pPr>
      <w:r>
        <w:rPr>
          <w:rFonts w:ascii="Calibri" w:cs="Calibri" w:eastAsia="Calibri" w:hAnsi="Calibri"/>
          <w:b w:val="false"/>
          <w:bCs w:val="false"/>
          <w:i w:val="false"/>
          <w:iCs w:val="false"/>
          <w:caps w:val="false"/>
          <w:color w:val="28231F"/>
          <w:sz w:val="22"/>
          <w:szCs w:val="22"/>
        </w:rPr>
        <w:t xml:space="preserve">Before any extended speech, Mahāprabhu bathes. The act itself identifies the slight waters as worthy of full tīrtha participation. Verse 6 then records the villagers’ astonishment and His praise in prema. Recognition thus becomes public not through a technical demonstration but through sacred action joined to devotional interpretation.</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The physical and theological descriptions are intentionally unequal</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50"/>
        <w:gridCol w:w="4300"/>
        <w:gridCol w:w="2510"/>
      </w:tblGrid>
      <w:tr>
        <w:trPr>
          <w:cantSplit/>
          <w:tblHeader/>
        </w:trPr>
        <w:tc>
          <w:tcPr>
            <w:tcW w:type="dxa" w:w="255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0" w:lineRule="auto"/>
            </w:pPr>
            <w:r>
              <w:rPr>
                <w:rFonts w:ascii="Calibri" w:cs="Calibri" w:eastAsia="Calibri" w:hAnsi="Calibri"/>
                <w:b/>
                <w:bCs/>
                <w:i w:val="false"/>
                <w:iCs w:val="false"/>
                <w:caps w:val="false"/>
                <w:color w:val="FFFFFF"/>
                <w:sz w:val="16"/>
                <w:szCs w:val="16"/>
              </w:rPr>
              <w:t xml:space="preserve">Visible scene</w:t>
            </w:r>
          </w:p>
        </w:tc>
        <w:tc>
          <w:tcPr>
            <w:tcW w:type="dxa" w:w="43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0" w:lineRule="auto"/>
            </w:pPr>
            <w:r>
              <w:rPr>
                <w:rFonts w:ascii="Calibri" w:cs="Calibri" w:eastAsia="Calibri" w:hAnsi="Calibri"/>
                <w:b/>
                <w:bCs/>
                <w:i w:val="false"/>
                <w:iCs w:val="false"/>
                <w:caps w:val="false"/>
                <w:color w:val="FFFFFF"/>
                <w:sz w:val="16"/>
                <w:szCs w:val="16"/>
              </w:rPr>
              <w:t xml:space="preserve">Revealed identity</w:t>
            </w:r>
          </w:p>
        </w:tc>
        <w:tc>
          <w:tcPr>
            <w:tcW w:type="dxa" w:w="251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0" w:lineRule="auto"/>
            </w:pPr>
            <w:r>
              <w:rPr>
                <w:rFonts w:ascii="Calibri" w:cs="Calibri" w:eastAsia="Calibri" w:hAnsi="Calibri"/>
                <w:b/>
                <w:bCs/>
                <w:i w:val="false"/>
                <w:iCs w:val="false"/>
                <w:caps w:val="false"/>
                <w:color w:val="FFFFFF"/>
                <w:sz w:val="16"/>
                <w:szCs w:val="16"/>
              </w:rPr>
              <w:t xml:space="preserve">Textual locus</w:t>
            </w:r>
          </w:p>
        </w:tc>
      </w:tr>
      <w:tr>
        <w:trPr>
          <w:cantSplit/>
        </w:trPr>
        <w:tc>
          <w:tcPr>
            <w:tcW w:type="dxa" w:w="255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Two paddy fields</w:t>
            </w:r>
          </w:p>
        </w:tc>
        <w:tc>
          <w:tcPr>
            <w:tcW w:type="dxa" w:w="43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The paired sacred waters recognized by the omniscient Lord</w:t>
            </w:r>
          </w:p>
        </w:tc>
        <w:tc>
          <w:tcPr>
            <w:tcW w:type="dxa" w:w="251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18.5 and immediate context</w:t>
            </w:r>
          </w:p>
        </w:tc>
      </w:tr>
      <w:tr>
        <w:trPr>
          <w:cantSplit/>
        </w:trPr>
        <w:tc>
          <w:tcPr>
            <w:tcW w:type="dxa" w:w="255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Only a little water</w:t>
            </w:r>
          </w:p>
        </w:tc>
        <w:tc>
          <w:tcPr>
            <w:tcW w:type="dxa" w:w="43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The lake of Rādhā’s unique dearness</w:t>
            </w:r>
          </w:p>
        </w:tc>
        <w:tc>
          <w:tcPr>
            <w:tcW w:type="dxa" w:w="251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18.5, 7–8</w:t>
            </w:r>
          </w:p>
        </w:tc>
      </w:tr>
      <w:tr>
        <w:trPr>
          <w:cantSplit/>
        </w:trPr>
        <w:tc>
          <w:tcPr>
            <w:tcW w:type="dxa" w:w="255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Village astonishment</w:t>
            </w:r>
          </w:p>
        </w:tc>
        <w:tc>
          <w:tcPr>
            <w:tcW w:type="dxa" w:w="43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A place praised in prema</w:t>
            </w:r>
          </w:p>
        </w:tc>
        <w:tc>
          <w:tcPr>
            <w:tcW w:type="dxa" w:w="251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18.6</w:t>
            </w:r>
          </w:p>
        </w:tc>
      </w:tr>
      <w:tr>
        <w:trPr>
          <w:cantSplit/>
        </w:trPr>
        <w:tc>
          <w:tcPr>
            <w:tcW w:type="dxa" w:w="255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Agriculturally embedded tīrtha</w:t>
            </w:r>
          </w:p>
        </w:tc>
        <w:tc>
          <w:tcPr>
            <w:tcW w:type="dxa" w:w="43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Daily water-play and bank-side rāsa</w:t>
            </w:r>
          </w:p>
        </w:tc>
        <w:tc>
          <w:tcPr>
            <w:tcW w:type="dxa" w:w="251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18.9</w:t>
            </w:r>
          </w:p>
        </w:tc>
      </w:tr>
      <w:tr>
        <w:trPr>
          <w:cantSplit/>
        </w:trPr>
        <w:tc>
          <w:tcPr>
            <w:tcW w:type="dxa" w:w="255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No monumental description</w:t>
            </w:r>
          </w:p>
        </w:tc>
        <w:tc>
          <w:tcPr>
            <w:tcW w:type="dxa" w:w="43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Mādhurī and mahimā corresponding to Rādhā</w:t>
            </w:r>
          </w:p>
        </w:tc>
        <w:tc>
          <w:tcPr>
            <w:tcW w:type="dxa" w:w="251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18.11–12</w:t>
            </w:r>
          </w:p>
        </w:tc>
      </w:tr>
    </w:tbl>
    <w:p>
      <w:pPr>
        <w:keepNext w:val="false"/>
        <w:keepLines/>
        <w:pBdr>
          <w:top w:val="single" w:color="B58A3A" w:sz="8"/>
          <w:bottom w:val="single" w:color="D6C7B6" w:sz="3"/>
          <w:left w:val="single" w:color="B58A3A" w:sz="8"/>
          <w:right w:val="single" w:color="D6C7B6" w:sz="3"/>
        </w:pBdr>
        <w:shd w:fill="E6F0E8" w:color="auto" w:val="clear"/>
        <w:spacing w:after="120" w:before="80" w:line="285" w:lineRule="auto"/>
        <w:ind w:left="180" w:right="180"/>
      </w:pPr>
      <w:r>
        <w:rPr>
          <w:rFonts w:ascii="Calibri" w:cs="Calibri" w:eastAsia="Calibri" w:hAnsi="Calibri"/>
          <w:b/>
          <w:bCs/>
          <w:i w:val="false"/>
          <w:iCs w:val="false"/>
          <w:caps w:val="false"/>
          <w:color w:val="762F3B"/>
          <w:sz w:val="19"/>
          <w:szCs w:val="19"/>
        </w:rPr>
        <w:t xml:space="preserve">HERMENEUTIC RULING  </w:t>
      </w:r>
      <w:r>
        <w:rPr>
          <w:rFonts w:ascii="Calibri" w:cs="Calibri" w:eastAsia="Calibri" w:hAnsi="Calibri"/>
          <w:b w:val="false"/>
          <w:bCs w:val="false"/>
          <w:i w:val="false"/>
          <w:iCs w:val="false"/>
          <w:caps w:val="false"/>
          <w:color w:val="28231F"/>
          <w:sz w:val="20"/>
          <w:szCs w:val="20"/>
        </w:rPr>
        <w:t xml:space="preserve">Mahāprabhu does not deny the outward landscape. He discloses what outward appearance alone cannot measure. The eventual guide should follow the same order: describe honestly what is visible, then allow checked līlā-texts to disclose the place’s deeper identity.</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Two fields and the twin-kuṇḍa context</w:t>
      </w:r>
    </w:p>
    <w:p>
      <w:pPr>
        <w:keepNext w:val="false"/>
        <w:keepLines/>
        <w:spacing w:after="120" w:before="0" w:line="300" w:lineRule="auto"/>
      </w:pPr>
      <w:r>
        <w:rPr>
          <w:rFonts w:ascii="Calibri" w:cs="Calibri" w:eastAsia="Calibri" w:hAnsi="Calibri"/>
          <w:b w:val="false"/>
          <w:bCs w:val="false"/>
          <w:i w:val="false"/>
          <w:iCs w:val="false"/>
          <w:caps w:val="false"/>
          <w:color w:val="28231F"/>
          <w:sz w:val="22"/>
          <w:szCs w:val="22"/>
        </w:rPr>
        <w:t xml:space="preserve">The Bengali line of verse 5 says only “in two paddy fields” and does not repeat both sacred names. The chapter context and received translation identify the paired waters as Rādhā-kuṇḍa and Śyāma-kuṇḍa. Final prose may name both, but the quotation should remain exact and should not pretend that both names occur in that line.</w:t>
      </w:r>
    </w:p>
    <w:p>
      <w:pPr>
        <w:spacing w:after="0" w:before="0"/>
      </w:pPr>
      <w:r>
        <w:br w:type="page"/>
      </w:r>
    </w:p>
    <w:p>
      <w:pPr>
        <w:pStyle w:val="Heading1"/>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6. The architecture of Mahāprabhu’s praise</w:t>
      </w:r>
    </w:p>
    <w:p>
      <w:pPr>
        <w:keepNext w:val="false"/>
        <w:keepLines/>
        <w:spacing w:after="120" w:before="0" w:line="300" w:lineRule="auto"/>
      </w:pPr>
      <w:r>
        <w:rPr>
          <w:rFonts w:ascii="Calibri" w:cs="Calibri" w:eastAsia="Calibri" w:hAnsi="Calibri"/>
          <w:b w:val="false"/>
          <w:bCs w:val="false"/>
          <w:i w:val="false"/>
          <w:iCs w:val="false"/>
          <w:caps w:val="false"/>
          <w:color w:val="28231F"/>
          <w:sz w:val="22"/>
          <w:szCs w:val="22"/>
        </w:rPr>
        <w:t xml:space="preserve">Verses 7–12 form a carefully staged theological argument rather than a loose collection of praises.</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000"/>
        <w:gridCol w:w="3400"/>
        <w:gridCol w:w="3560"/>
      </w:tblGrid>
      <w:tr>
        <w:trPr>
          <w:cantSplit/>
          <w:tblHeader/>
        </w:trPr>
        <w:tc>
          <w:tcPr>
            <w:tcW w:type="dxa" w:w="14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0" w:lineRule="auto"/>
            </w:pPr>
            <w:r>
              <w:rPr>
                <w:rFonts w:ascii="Calibri" w:cs="Calibri" w:eastAsia="Calibri" w:hAnsi="Calibri"/>
                <w:b/>
                <w:bCs/>
                <w:i w:val="false"/>
                <w:iCs w:val="false"/>
                <w:caps w:val="false"/>
                <w:color w:val="FFFFFF"/>
                <w:sz w:val="16"/>
                <w:szCs w:val="16"/>
              </w:rPr>
              <w:t xml:space="preserve">Stage</w:t>
            </w:r>
          </w:p>
        </w:tc>
        <w:tc>
          <w:tcPr>
            <w:tcW w:type="dxa" w:w="10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0" w:lineRule="auto"/>
            </w:pPr>
            <w:r>
              <w:rPr>
                <w:rFonts w:ascii="Calibri" w:cs="Calibri" w:eastAsia="Calibri" w:hAnsi="Calibri"/>
                <w:b/>
                <w:bCs/>
                <w:i w:val="false"/>
                <w:iCs w:val="false"/>
                <w:caps w:val="false"/>
                <w:color w:val="FFFFFF"/>
                <w:sz w:val="16"/>
                <w:szCs w:val="16"/>
              </w:rPr>
              <w:t xml:space="preserve">Verse(s)</w:t>
            </w:r>
          </w:p>
        </w:tc>
        <w:tc>
          <w:tcPr>
            <w:tcW w:type="dxa" w:w="34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0" w:lineRule="auto"/>
            </w:pPr>
            <w:r>
              <w:rPr>
                <w:rFonts w:ascii="Calibri" w:cs="Calibri" w:eastAsia="Calibri" w:hAnsi="Calibri"/>
                <w:b/>
                <w:bCs/>
                <w:i w:val="false"/>
                <w:iCs w:val="false"/>
                <w:caps w:val="false"/>
                <w:color w:val="FFFFFF"/>
                <w:sz w:val="16"/>
                <w:szCs w:val="16"/>
              </w:rPr>
              <w:t xml:space="preserve">Content</w:t>
            </w:r>
          </w:p>
        </w:tc>
        <w:tc>
          <w:tcPr>
            <w:tcW w:type="dxa" w:w="356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0" w:lineRule="auto"/>
            </w:pPr>
            <w:r>
              <w:rPr>
                <w:rFonts w:ascii="Calibri" w:cs="Calibri" w:eastAsia="Calibri" w:hAnsi="Calibri"/>
                <w:b/>
                <w:bCs/>
                <w:i w:val="false"/>
                <w:iCs w:val="false"/>
                <w:caps w:val="false"/>
                <w:color w:val="FFFFFF"/>
                <w:sz w:val="16"/>
                <w:szCs w:val="16"/>
              </w:rPr>
              <w:t xml:space="preserve">Function</w:t>
            </w:r>
          </w:p>
        </w:tc>
      </w:tr>
      <w:tr>
        <w:trPr>
          <w:cantSplit/>
        </w:trPr>
        <w:tc>
          <w:tcPr>
            <w:tcW w:type="dxa" w:w="14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Proposition</w:t>
            </w:r>
          </w:p>
        </w:tc>
        <w:tc>
          <w:tcPr>
            <w:tcW w:type="dxa" w:w="10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7</w:t>
            </w:r>
          </w:p>
        </w:tc>
        <w:tc>
          <w:tcPr>
            <w:tcW w:type="dxa" w:w="34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Rādhā is dearest; therefore Her lake is dear.</w:t>
            </w:r>
          </w:p>
        </w:tc>
        <w:tc>
          <w:tcPr>
            <w:tcW w:type="dxa" w:w="35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States the relational principle in Bengali.</w:t>
            </w:r>
          </w:p>
        </w:tc>
      </w:tr>
      <w:tr>
        <w:trPr>
          <w:cantSplit/>
        </w:trPr>
        <w:tc>
          <w:tcPr>
            <w:tcW w:type="dxa" w:w="14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Sanskrit authority</w:t>
            </w:r>
          </w:p>
        </w:tc>
        <w:tc>
          <w:tcPr>
            <w:tcW w:type="dxa" w:w="10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8</w:t>
            </w:r>
          </w:p>
        </w:tc>
        <w:tc>
          <w:tcPr>
            <w:tcW w:type="dxa" w:w="34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Rādhā and Her kuṇḍa share unique dearness.</w:t>
            </w:r>
          </w:p>
        </w:tc>
        <w:tc>
          <w:tcPr>
            <w:tcW w:type="dxa" w:w="35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Grounds the proposition in Padma Purāṇa material.</w:t>
            </w:r>
          </w:p>
        </w:tc>
      </w:tr>
      <w:tr>
        <w:trPr>
          <w:cantSplit/>
        </w:trPr>
        <w:tc>
          <w:tcPr>
            <w:tcW w:type="dxa" w:w="14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Eternal activity</w:t>
            </w:r>
          </w:p>
        </w:tc>
        <w:tc>
          <w:tcPr>
            <w:tcW w:type="dxa" w:w="10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9</w:t>
            </w:r>
          </w:p>
        </w:tc>
        <w:tc>
          <w:tcPr>
            <w:tcW w:type="dxa" w:w="34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nitya water-play and bank-side rāsa.</w:t>
            </w:r>
          </w:p>
        </w:tc>
        <w:tc>
          <w:tcPr>
            <w:tcW w:type="dxa" w:w="35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Explains what fills the place beyond visible water.</w:t>
            </w:r>
          </w:p>
        </w:tc>
      </w:tr>
      <w:tr>
        <w:trPr>
          <w:cantSplit/>
        </w:trPr>
        <w:tc>
          <w:tcPr>
            <w:tcW w:type="dxa" w:w="14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Participatory fruit</w:t>
            </w:r>
          </w:p>
        </w:tc>
        <w:tc>
          <w:tcPr>
            <w:tcW w:type="dxa" w:w="10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10</w:t>
            </w:r>
          </w:p>
        </w:tc>
        <w:tc>
          <w:tcPr>
            <w:tcW w:type="dxa" w:w="34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Bathing is connected with Rādhā-like prema.</w:t>
            </w:r>
          </w:p>
        </w:tc>
        <w:tc>
          <w:tcPr>
            <w:tcW w:type="dxa" w:w="35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Moves from identity to devotional participation.</w:t>
            </w:r>
          </w:p>
        </w:tc>
      </w:tr>
      <w:tr>
        <w:trPr>
          <w:cantSplit/>
        </w:trPr>
        <w:tc>
          <w:tcPr>
            <w:tcW w:type="dxa" w:w="14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Correspondence</w:t>
            </w:r>
          </w:p>
        </w:tc>
        <w:tc>
          <w:tcPr>
            <w:tcW w:type="dxa" w:w="10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11</w:t>
            </w:r>
          </w:p>
        </w:tc>
        <w:tc>
          <w:tcPr>
            <w:tcW w:type="dxa" w:w="34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The lake’s sweetness and glory correspond to Rādhā’s.</w:t>
            </w:r>
          </w:p>
        </w:tc>
        <w:tc>
          <w:tcPr>
            <w:tcW w:type="dxa" w:w="35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Rejects measurement by external scale alone.</w:t>
            </w:r>
          </w:p>
        </w:tc>
      </w:tr>
      <w:tr>
        <w:trPr>
          <w:cantSplit/>
        </w:trPr>
        <w:tc>
          <w:tcPr>
            <w:tcW w:type="dxa" w:w="14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Sanskrit culmination</w:t>
            </w:r>
          </w:p>
        </w:tc>
        <w:tc>
          <w:tcPr>
            <w:tcW w:type="dxa" w:w="10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12</w:t>
            </w:r>
          </w:p>
        </w:tc>
        <w:tc>
          <w:tcPr>
            <w:tcW w:type="dxa" w:w="34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GL 7.102 unites dearness, ceaseless play, bathing, prema, glory, and sweetness.</w:t>
            </w:r>
          </w:p>
        </w:tc>
        <w:tc>
          <w:tcPr>
            <w:tcW w:type="dxa" w:w="35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Seals the praise with Kṛṣṇadāsa’s own mature līlā theology.</w:t>
            </w:r>
          </w:p>
        </w:tc>
      </w:tr>
    </w:tbl>
    <w:p>
      <w:pPr>
        <w:keepNext w:val="false"/>
        <w:keepLines/>
        <w:pBdr>
          <w:top w:val="single" w:color="B58A3A" w:sz="8"/>
          <w:bottom w:val="single" w:color="D6C7B6" w:sz="3"/>
          <w:left w:val="single" w:color="B58A3A" w:sz="8"/>
          <w:right w:val="single" w:color="D6C7B6" w:sz="3"/>
        </w:pBdr>
        <w:shd w:fill="E6F0E8" w:color="auto" w:val="clear"/>
        <w:spacing w:after="120" w:before="80" w:line="285" w:lineRule="auto"/>
        <w:ind w:left="180" w:right="180"/>
      </w:pPr>
      <w:r>
        <w:rPr>
          <w:rFonts w:ascii="Calibri" w:cs="Calibri" w:eastAsia="Calibri" w:hAnsi="Calibri"/>
          <w:b/>
          <w:bCs/>
          <w:i w:val="false"/>
          <w:iCs w:val="false"/>
          <w:caps w:val="false"/>
          <w:color w:val="762F3B"/>
          <w:sz w:val="19"/>
          <w:szCs w:val="19"/>
        </w:rPr>
        <w:t xml:space="preserve">THEOLOGICAL CENTER  </w:t>
      </w:r>
      <w:r>
        <w:rPr>
          <w:rFonts w:ascii="Calibri" w:cs="Calibri" w:eastAsia="Calibri" w:hAnsi="Calibri"/>
          <w:b w:val="false"/>
          <w:bCs w:val="false"/>
          <w:i w:val="false"/>
          <w:iCs w:val="false"/>
          <w:caps w:val="false"/>
          <w:color w:val="28231F"/>
          <w:sz w:val="20"/>
          <w:szCs w:val="20"/>
        </w:rPr>
        <w:t xml:space="preserve">The praise is governed by correspondence: Rādhā-kuṇḍa is dear because it is Rādhā’s lake, and its mādhurī and mahimā are understood in relation to Her. The place’s supremacy is therefore relational and līlā-centered, not merely hierarchical.</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nitya: daily and enduring</w:t>
      </w:r>
    </w:p>
    <w:p>
      <w:pPr>
        <w:keepNext w:val="false"/>
        <w:keepLines/>
        <w:spacing w:after="120" w:before="0" w:line="300" w:lineRule="auto"/>
      </w:pPr>
      <w:r>
        <w:rPr>
          <w:rFonts w:ascii="Calibri" w:cs="Calibri" w:eastAsia="Calibri" w:hAnsi="Calibri"/>
          <w:b w:val="false"/>
          <w:bCs w:val="false"/>
          <w:i w:val="false"/>
          <w:iCs w:val="false"/>
          <w:caps w:val="false"/>
          <w:color w:val="28231F"/>
          <w:sz w:val="22"/>
          <w:szCs w:val="22"/>
        </w:rPr>
        <w:t xml:space="preserve">In verse 9, nitya is glossed as daily and naturally bears the force of constant or enduring repetition. RS-03 therefore retains “daily and eternally” as a controlled translation range. The key point is that Mahāprabhu’s praise does not leave the līlā in a remote past: water-play and rāsa remain the place’s living identity.</w:t>
      </w:r>
    </w:p>
    <w:p>
      <w:pPr>
        <w:spacing w:after="0" w:before="0"/>
      </w:pPr>
      <w:r>
        <w:br w:type="page"/>
      </w:r>
    </w:p>
    <w:p>
      <w:pPr>
        <w:pStyle w:val="Heading1"/>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7. Remembrance, dance, earth, and pilgrimage embodiment</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Praise becomes smaraṇa and dance</w:t>
      </w:r>
    </w:p>
    <w:p>
      <w:pPr>
        <w:keepNext w:val="false"/>
        <w:keepLines/>
        <w:spacing w:after="120" w:before="0" w:line="300" w:lineRule="auto"/>
      </w:pPr>
      <w:r>
        <w:rPr>
          <w:rFonts w:ascii="Calibri" w:cs="Calibri" w:eastAsia="Calibri" w:hAnsi="Calibri"/>
          <w:b w:val="false"/>
          <w:bCs w:val="false"/>
          <w:i w:val="false"/>
          <w:iCs w:val="false"/>
          <w:caps w:val="false"/>
          <w:color w:val="28231F"/>
          <w:sz w:val="22"/>
          <w:szCs w:val="22"/>
        </w:rPr>
        <w:t xml:space="preserve">Verse 13 supplies the interpretive key to Mahāprabhu’s dancing: He remembers kuṇḍa-līlā. The dance is not scenic celebration detached from content. It is a bodily expression of remembered līlā under the force of prema. Omitting remembrance would flatten the verse and obscure the link between text, place, emotion, and body.</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Earth becomes carried remembrance</w:t>
      </w:r>
    </w:p>
    <w:p>
      <w:pPr>
        <w:keepNext w:val="false"/>
        <w:keepLines/>
        <w:spacing w:after="120" w:before="0" w:line="300" w:lineRule="auto"/>
      </w:pPr>
      <w:r>
        <w:rPr>
          <w:rFonts w:ascii="Calibri" w:cs="Calibri" w:eastAsia="Calibri" w:hAnsi="Calibri"/>
          <w:b w:val="false"/>
          <w:bCs w:val="false"/>
          <w:i w:val="false"/>
          <w:iCs w:val="false"/>
          <w:caps w:val="false"/>
          <w:color w:val="28231F"/>
          <w:sz w:val="22"/>
          <w:szCs w:val="22"/>
        </w:rPr>
        <w:t xml:space="preserve">Verse 14 moves from water and bank to earth. Mahāprabhu makes tilaka from the kuṇḍa’s mṛttikā, and Balabhadra Bhaṭṭācārya assists in carrying some onward. The sacred place is thus honored upon the body and retained beyond the immediate visit.</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600"/>
        <w:gridCol w:w="3960"/>
      </w:tblGrid>
      <w:tr>
        <w:trPr>
          <w:cantSplit/>
          <w:tblHeader/>
        </w:trPr>
        <w:tc>
          <w:tcPr>
            <w:tcW w:type="dxa" w:w="18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0" w:lineRule="auto"/>
            </w:pPr>
            <w:r>
              <w:rPr>
                <w:rFonts w:ascii="Calibri" w:cs="Calibri" w:eastAsia="Calibri" w:hAnsi="Calibri"/>
                <w:b/>
                <w:bCs/>
                <w:i w:val="false"/>
                <w:iCs w:val="false"/>
                <w:caps w:val="false"/>
                <w:color w:val="FFFFFF"/>
                <w:sz w:val="16"/>
                <w:szCs w:val="16"/>
              </w:rPr>
              <w:t xml:space="preserve">Embodied act</w:t>
            </w:r>
          </w:p>
        </w:tc>
        <w:tc>
          <w:tcPr>
            <w:tcW w:type="dxa" w:w="36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0" w:lineRule="auto"/>
            </w:pPr>
            <w:r>
              <w:rPr>
                <w:rFonts w:ascii="Calibri" w:cs="Calibri" w:eastAsia="Calibri" w:hAnsi="Calibri"/>
                <w:b/>
                <w:bCs/>
                <w:i w:val="false"/>
                <w:iCs w:val="false"/>
                <w:caps w:val="false"/>
                <w:color w:val="FFFFFF"/>
                <w:sz w:val="16"/>
                <w:szCs w:val="16"/>
              </w:rPr>
              <w:t xml:space="preserve">Immediate meaning</w:t>
            </w:r>
          </w:p>
        </w:tc>
        <w:tc>
          <w:tcPr>
            <w:tcW w:type="dxa" w:w="396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0" w:lineRule="auto"/>
            </w:pPr>
            <w:r>
              <w:rPr>
                <w:rFonts w:ascii="Calibri" w:cs="Calibri" w:eastAsia="Calibri" w:hAnsi="Calibri"/>
                <w:b/>
                <w:bCs/>
                <w:i w:val="false"/>
                <w:iCs w:val="false"/>
                <w:caps w:val="false"/>
                <w:color w:val="FFFFFF"/>
                <w:sz w:val="16"/>
                <w:szCs w:val="16"/>
              </w:rPr>
              <w:t xml:space="preserve">Research control</w:t>
            </w:r>
          </w:p>
        </w:tc>
      </w:tr>
      <w:tr>
        <w:trPr>
          <w:cantSplit/>
        </w:trPr>
        <w:tc>
          <w:tcPr>
            <w:tcW w:type="dxa" w:w="18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Bathing</w:t>
            </w:r>
          </w:p>
        </w:tc>
        <w:tc>
          <w:tcPr>
            <w:tcW w:type="dxa" w:w="36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Participation in the recognized tīrtha.</w:t>
            </w:r>
          </w:p>
        </w:tc>
        <w:tc>
          <w:tcPr>
            <w:tcW w:type="dxa" w:w="39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Do not detach from praise and prema.</w:t>
            </w:r>
          </w:p>
        </w:tc>
      </w:tr>
      <w:tr>
        <w:trPr>
          <w:cantSplit/>
        </w:trPr>
        <w:tc>
          <w:tcPr>
            <w:tcW w:type="dxa" w:w="18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Praising</w:t>
            </w:r>
          </w:p>
        </w:tc>
        <w:tc>
          <w:tcPr>
            <w:tcW w:type="dxa" w:w="36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Verbal disclosure of dearness and nitya-līlā.</w:t>
            </w:r>
          </w:p>
        </w:tc>
        <w:tc>
          <w:tcPr>
            <w:tcW w:type="dxa" w:w="39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Retain the quoted authorities and their source status.</w:t>
            </w:r>
          </w:p>
        </w:tc>
      </w:tr>
      <w:tr>
        <w:trPr>
          <w:cantSplit/>
        </w:trPr>
        <w:tc>
          <w:tcPr>
            <w:tcW w:type="dxa" w:w="18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Remembering</w:t>
            </w:r>
          </w:p>
        </w:tc>
        <w:tc>
          <w:tcPr>
            <w:tcW w:type="dxa" w:w="36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The kuṇḍa-līlā becomes present to devotional consciousness.</w:t>
            </w:r>
          </w:p>
        </w:tc>
        <w:tc>
          <w:tcPr>
            <w:tcW w:type="dxa" w:w="39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Do not replace smaraṇa with generic excitement.</w:t>
            </w:r>
          </w:p>
        </w:tc>
      </w:tr>
      <w:tr>
        <w:trPr>
          <w:cantSplit/>
        </w:trPr>
        <w:tc>
          <w:tcPr>
            <w:tcW w:type="dxa" w:w="18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Dancing</w:t>
            </w:r>
          </w:p>
        </w:tc>
        <w:tc>
          <w:tcPr>
            <w:tcW w:type="dxa" w:w="36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Prema takes bodily form on the bank.</w:t>
            </w:r>
          </w:p>
        </w:tc>
        <w:tc>
          <w:tcPr>
            <w:tcW w:type="dxa" w:w="39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Narrate as response to remembered līlā.</w:t>
            </w:r>
          </w:p>
        </w:tc>
      </w:tr>
      <w:tr>
        <w:trPr>
          <w:cantSplit/>
        </w:trPr>
        <w:tc>
          <w:tcPr>
            <w:tcW w:type="dxa" w:w="18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Tilaka with earth</w:t>
            </w:r>
          </w:p>
        </w:tc>
        <w:tc>
          <w:tcPr>
            <w:tcW w:type="dxa" w:w="36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The tīrtha marks Mahāprabhu’s body.</w:t>
            </w:r>
          </w:p>
        </w:tc>
        <w:tc>
          <w:tcPr>
            <w:tcW w:type="dxa" w:w="39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Do not infer a prescribed modern technique or quantity.</w:t>
            </w:r>
          </w:p>
        </w:tc>
      </w:tr>
      <w:tr>
        <w:trPr>
          <w:cantSplit/>
        </w:trPr>
        <w:tc>
          <w:tcPr>
            <w:tcW w:type="dxa" w:w="18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Carrying earth</w:t>
            </w:r>
          </w:p>
        </w:tc>
        <w:tc>
          <w:tcPr>
            <w:tcW w:type="dxa" w:w="36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The place accompanies the pilgrim onward.</w:t>
            </w:r>
          </w:p>
        </w:tc>
        <w:tc>
          <w:tcPr>
            <w:tcW w:type="dxa" w:w="39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0" w:lineRule="auto"/>
            </w:pPr>
            <w:r>
              <w:rPr>
                <w:rFonts w:ascii="Calibri" w:cs="Calibri" w:eastAsia="Calibri" w:hAnsi="Calibri"/>
                <w:b w:val="false"/>
                <w:bCs w:val="false"/>
                <w:i w:val="false"/>
                <w:iCs w:val="false"/>
                <w:caps w:val="false"/>
                <w:color w:val="28231F"/>
                <w:sz w:val="16"/>
                <w:szCs w:val="16"/>
              </w:rPr>
              <w:t xml:space="preserve">Do not turn the verse into a commercial collection custom.</w:t>
            </w:r>
          </w:p>
        </w:tc>
      </w:tr>
    </w:tbl>
    <w:p>
      <w:pPr>
        <w:keepNext w:val="false"/>
        <w:keepLines/>
        <w:pBdr>
          <w:top w:val="single" w:color="B58A3A" w:sz="8"/>
          <w:bottom w:val="single" w:color="D6C7B6" w:sz="3"/>
          <w:left w:val="single" w:color="B58A3A" w:sz="8"/>
          <w:right w:val="single" w:color="D6C7B6" w:sz="3"/>
        </w:pBdr>
        <w:shd w:fill="E8EEF5" w:color="auto" w:val="clear"/>
        <w:spacing w:after="120" w:before="80" w:line="285" w:lineRule="auto"/>
        <w:ind w:left="180" w:right="180"/>
      </w:pPr>
      <w:r>
        <w:rPr>
          <w:rFonts w:ascii="Calibri" w:cs="Calibri" w:eastAsia="Calibri" w:hAnsi="Calibri"/>
          <w:b/>
          <w:bCs/>
          <w:i w:val="false"/>
          <w:iCs w:val="false"/>
          <w:caps w:val="false"/>
          <w:color w:val="762F3B"/>
          <w:sz w:val="19"/>
          <w:szCs w:val="19"/>
        </w:rPr>
        <w:t xml:space="preserve">PILGRIMAGE MODEL  </w:t>
      </w:r>
      <w:r>
        <w:rPr>
          <w:rFonts w:ascii="Calibri" w:cs="Calibri" w:eastAsia="Calibri" w:hAnsi="Calibri"/>
          <w:b w:val="false"/>
          <w:bCs w:val="false"/>
          <w:i w:val="false"/>
          <w:iCs w:val="false"/>
          <w:caps w:val="false"/>
          <w:color w:val="28231F"/>
          <w:sz w:val="20"/>
          <w:szCs w:val="20"/>
        </w:rPr>
        <w:t xml:space="preserve">Mahāprabhu’s sequence can guide the eventual visitor-facing prose: inquire humbly, recognize through reliable testimony, participate reverently, hear and praise the līlā, remember, embody honor, and continue the pilgrimage without reducing the place to outward form.</w:t>
      </w:r>
    </w:p>
    <w:p>
      <w:pPr>
        <w:spacing w:after="0" w:before="0"/>
      </w:pPr>
      <w:r>
        <w:br w:type="page"/>
      </w:r>
    </w:p>
    <w:p>
      <w:pPr>
        <w:pStyle w:val="Heading1"/>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8. The transition toward Govardhana</w:t>
      </w:r>
    </w:p>
    <w:p>
      <w:pPr>
        <w:keepNext w:val="false"/>
        <w:keepLines/>
        <w:spacing w:after="120" w:before="0" w:line="300" w:lineRule="auto"/>
      </w:pPr>
      <w:r>
        <w:rPr>
          <w:rFonts w:ascii="Calibri" w:cs="Calibri" w:eastAsia="Calibri" w:hAnsi="Calibri"/>
          <w:b w:val="false"/>
          <w:bCs w:val="false"/>
          <w:i w:val="false"/>
          <w:iCs w:val="false"/>
          <w:caps w:val="false"/>
          <w:color w:val="28231F"/>
          <w:sz w:val="22"/>
          <w:szCs w:val="22"/>
        </w:rPr>
        <w:t xml:space="preserve">Verse 15 is both conclusion and bridge. Mahāprabhu leaves Rādhā-kuṇḍa, reaches Sumanas-sarovara, sees Govardhana, and becomes overwhelmed. The following verses begin the distinct Govardhana movement: obeisance to Girirāja, embrace of a stone, Harideva, Mānasa-gaṅgā, and circumambulation. RS-03 ends before that new narrative is developed.</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What verse 15 establishes</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Rādhā-kuṇḍa belongs inside a continuous Vraja pilgrimage rather than as an isolated destination.</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The textual route proceeds from Rādhā-kuṇḍa to Sumanas-sarovara and then to the sight of Govardhana.</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The emotional register continues: vision of Govardhana produces immediate overwhelm.</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The next project story—Govardhana—can begin from this handoff without repeating the completed Rādhā-kuṇḍa unit.</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What verse 15 does not establish</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It does not by itself identify the exact modern location or walking path of Sumanas-sarovara.</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It does not prove that the modern road reproduces Mahāprabhu’s precise route.</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It does not collapse Mahāprabhu’s historical pilgrimage path into the aṣṭa-kālīya Rādhā-Kṛṣṇa route.</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It does not complete the Govardhana narrative; it only opens it.</w:t>
      </w:r>
    </w:p>
    <w:p>
      <w:pPr>
        <w:keepNext w:val="false"/>
        <w:keepLines/>
        <w:pBdr>
          <w:top w:val="single" w:color="B58A3A" w:sz="8"/>
          <w:bottom w:val="single" w:color="D6C7B6" w:sz="3"/>
          <w:left w:val="single" w:color="B58A3A" w:sz="8"/>
          <w:right w:val="single" w:color="D6C7B6" w:sz="3"/>
        </w:pBdr>
        <w:shd w:fill="E6F0E8" w:color="auto" w:val="clear"/>
        <w:spacing w:after="120" w:before="80" w:line="285" w:lineRule="auto"/>
        <w:ind w:left="180" w:right="180"/>
      </w:pPr>
      <w:r>
        <w:rPr>
          <w:rFonts w:ascii="Calibri" w:cs="Calibri" w:eastAsia="Calibri" w:hAnsi="Calibri"/>
          <w:b/>
          <w:bCs/>
          <w:i w:val="false"/>
          <w:iCs w:val="false"/>
          <w:caps w:val="false"/>
          <w:color w:val="762F3B"/>
          <w:sz w:val="19"/>
          <w:szCs w:val="19"/>
        </w:rPr>
        <w:t xml:space="preserve">BOUNDARY RULING  </w:t>
      </w:r>
      <w:r>
        <w:rPr>
          <w:rFonts w:ascii="Calibri" w:cs="Calibri" w:eastAsia="Calibri" w:hAnsi="Calibri"/>
          <w:b w:val="false"/>
          <w:bCs w:val="false"/>
          <w:i w:val="false"/>
          <w:iCs w:val="false"/>
          <w:caps w:val="false"/>
          <w:color w:val="28231F"/>
          <w:sz w:val="20"/>
          <w:szCs w:val="20"/>
        </w:rPr>
        <w:t xml:space="preserve">Use verse 15 as the final sentence or closing movement of the Caitanya-at-Rādhā-kuṇḍa episode. Begin the Govardhana story with verse 16 or the appropriate Govardhana research unit.</w:t>
      </w:r>
    </w:p>
    <w:p>
      <w:pPr>
        <w:spacing w:after="0" w:before="0"/>
      </w:pPr>
      <w:r>
        <w:br w:type="page"/>
      </w:r>
    </w:p>
    <w:p>
      <w:pPr>
        <w:pStyle w:val="Heading1"/>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9. Verse-by-verse control matrix</w:t>
      </w:r>
    </w:p>
    <w:p>
      <w:pPr>
        <w:keepNext w:val="false"/>
        <w:keepLines/>
        <w:spacing w:after="120" w:before="0" w:line="300" w:lineRule="auto"/>
      </w:pPr>
      <w:r>
        <w:rPr>
          <w:rFonts w:ascii="Calibri" w:cs="Calibri" w:eastAsia="Calibri" w:hAnsi="Calibri"/>
          <w:b w:val="false"/>
          <w:bCs w:val="false"/>
          <w:i w:val="false"/>
          <w:iCs w:val="false"/>
          <w:caps w:val="false"/>
          <w:color w:val="28231F"/>
          <w:sz w:val="22"/>
          <w:szCs w:val="22"/>
        </w:rPr>
        <w:t xml:space="preserve">This matrix is the drafting control sheet for the Caitanya-līlā section of the future Story of Rādhā-kuṇḍa. “Direct” means explicit in the Bengali/Sanskrit verse. “Quotation” means an embedded Sanskrit authority identified by the project witness.</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150"/>
        <w:gridCol w:w="1200"/>
        <w:gridCol w:w="4310"/>
      </w:tblGrid>
      <w:tr>
        <w:trPr>
          <w:cantSplit/>
          <w:tblHeader/>
        </w:trPr>
        <w:tc>
          <w:tcPr>
            <w:tcW w:type="dxa" w:w="7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0" w:lineRule="auto"/>
            </w:pPr>
            <w:r>
              <w:rPr>
                <w:rFonts w:ascii="Calibri" w:cs="Calibri" w:eastAsia="Calibri" w:hAnsi="Calibri"/>
                <w:b/>
                <w:bCs/>
                <w:i w:val="false"/>
                <w:iCs w:val="false"/>
                <w:caps w:val="false"/>
                <w:color w:val="FFFFFF"/>
                <w:sz w:val="15"/>
                <w:szCs w:val="15"/>
              </w:rPr>
              <w:t xml:space="preserve">Verse</w:t>
            </w:r>
          </w:p>
        </w:tc>
        <w:tc>
          <w:tcPr>
            <w:tcW w:type="dxa" w:w="315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0" w:lineRule="auto"/>
            </w:pPr>
            <w:r>
              <w:rPr>
                <w:rFonts w:ascii="Calibri" w:cs="Calibri" w:eastAsia="Calibri" w:hAnsi="Calibri"/>
                <w:b/>
                <w:bCs/>
                <w:i w:val="false"/>
                <w:iCs w:val="false"/>
                <w:caps w:val="false"/>
                <w:color w:val="FFFFFF"/>
                <w:sz w:val="15"/>
                <w:szCs w:val="15"/>
              </w:rPr>
              <w:t xml:space="preserve">Controlled content</w:t>
            </w:r>
          </w:p>
        </w:tc>
        <w:tc>
          <w:tcPr>
            <w:tcW w:type="dxa" w:w="12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0" w:lineRule="auto"/>
            </w:pPr>
            <w:r>
              <w:rPr>
                <w:rFonts w:ascii="Calibri" w:cs="Calibri" w:eastAsia="Calibri" w:hAnsi="Calibri"/>
                <w:b/>
                <w:bCs/>
                <w:i w:val="false"/>
                <w:iCs w:val="false"/>
                <w:caps w:val="false"/>
                <w:color w:val="FFFFFF"/>
                <w:sz w:val="15"/>
                <w:szCs w:val="15"/>
              </w:rPr>
              <w:t xml:space="preserve">Status</w:t>
            </w:r>
          </w:p>
        </w:tc>
        <w:tc>
          <w:tcPr>
            <w:tcW w:type="dxa" w:w="431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0" w:lineRule="auto"/>
            </w:pPr>
            <w:r>
              <w:rPr>
                <w:rFonts w:ascii="Calibri" w:cs="Calibri" w:eastAsia="Calibri" w:hAnsi="Calibri"/>
                <w:b/>
                <w:bCs/>
                <w:i w:val="false"/>
                <w:iCs w:val="false"/>
                <w:caps w:val="false"/>
                <w:color w:val="FFFFFF"/>
                <w:sz w:val="15"/>
                <w:szCs w:val="15"/>
              </w:rPr>
              <w:t xml:space="preserve">Drafting instruction</w:t>
            </w:r>
          </w:p>
        </w:tc>
      </w:tr>
      <w:tr>
        <w:trPr>
          <w:cantSplit/>
        </w:trPr>
        <w:tc>
          <w:tcPr>
            <w:tcW w:type="dxa" w:w="7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3</w:t>
            </w:r>
          </w:p>
        </w:tc>
        <w:tc>
          <w:tcPr>
            <w:tcW w:type="dxa" w:w="315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Arrival while dancing; bāhya returns</w:t>
            </w:r>
          </w:p>
        </w:tc>
        <w:tc>
          <w:tcPr>
            <w:tcW w:type="dxa" w:w="12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Direct</w:t>
            </w:r>
          </w:p>
        </w:tc>
        <w:tc>
          <w:tcPr>
            <w:tcW w:type="dxa" w:w="431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The scene begins in ecstatic motion.</w:t>
            </w:r>
          </w:p>
        </w:tc>
      </w:tr>
      <w:tr>
        <w:trPr>
          <w:cantSplit/>
        </w:trPr>
        <w:tc>
          <w:tcPr>
            <w:tcW w:type="dxa" w:w="7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4</w:t>
            </w:r>
          </w:p>
        </w:tc>
        <w:tc>
          <w:tcPr>
            <w:tcW w:type="dxa" w:w="315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Inquiry; no local identification</w:t>
            </w:r>
          </w:p>
        </w:tc>
        <w:tc>
          <w:tcPr>
            <w:tcW w:type="dxa" w:w="12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Direct</w:t>
            </w:r>
          </w:p>
        </w:tc>
        <w:tc>
          <w:tcPr>
            <w:tcW w:type="dxa" w:w="431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Do not say the village itself was lost or discovered.</w:t>
            </w:r>
          </w:p>
        </w:tc>
      </w:tr>
      <w:tr>
        <w:trPr>
          <w:cantSplit/>
        </w:trPr>
        <w:tc>
          <w:tcPr>
            <w:tcW w:type="dxa" w:w="7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5</w:t>
            </w:r>
          </w:p>
        </w:tc>
        <w:tc>
          <w:tcPr>
            <w:tcW w:type="dxa" w:w="315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lupta tīrtha; omniscience; two fields; little water; bath</w:t>
            </w:r>
          </w:p>
        </w:tc>
        <w:tc>
          <w:tcPr>
            <w:tcW w:type="dxa" w:w="12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Direct</w:t>
            </w:r>
          </w:p>
        </w:tc>
        <w:tc>
          <w:tcPr>
            <w:tcW w:type="dxa" w:w="431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Recognition is direct; twin names are contextual, not both repeated in the Bengali line.</w:t>
            </w:r>
          </w:p>
        </w:tc>
      </w:tr>
      <w:tr>
        <w:trPr>
          <w:cantSplit/>
        </w:trPr>
        <w:tc>
          <w:tcPr>
            <w:tcW w:type="dxa" w:w="7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6</w:t>
            </w:r>
          </w:p>
        </w:tc>
        <w:tc>
          <w:tcPr>
            <w:tcW w:type="dxa" w:w="315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Village astonishment; praise in prema</w:t>
            </w:r>
          </w:p>
        </w:tc>
        <w:tc>
          <w:tcPr>
            <w:tcW w:type="dxa" w:w="12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Direct</w:t>
            </w:r>
          </w:p>
        </w:tc>
        <w:tc>
          <w:tcPr>
            <w:tcW w:type="dxa" w:w="431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Public recognition is devotional, not an archaeological demonstration.</w:t>
            </w:r>
          </w:p>
        </w:tc>
      </w:tr>
      <w:tr>
        <w:trPr>
          <w:cantSplit/>
        </w:trPr>
        <w:tc>
          <w:tcPr>
            <w:tcW w:type="dxa" w:w="7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7</w:t>
            </w:r>
          </w:p>
        </w:tc>
        <w:tc>
          <w:tcPr>
            <w:tcW w:type="dxa" w:w="315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Rādhā dearest; Her lake dear</w:t>
            </w:r>
          </w:p>
        </w:tc>
        <w:tc>
          <w:tcPr>
            <w:tcW w:type="dxa" w:w="12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Direct</w:t>
            </w:r>
          </w:p>
        </w:tc>
        <w:tc>
          <w:tcPr>
            <w:tcW w:type="dxa" w:w="431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Bengali theological proposition.</w:t>
            </w:r>
          </w:p>
        </w:tc>
      </w:tr>
      <w:tr>
        <w:trPr>
          <w:cantSplit/>
        </w:trPr>
        <w:tc>
          <w:tcPr>
            <w:tcW w:type="dxa" w:w="7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8</w:t>
            </w:r>
          </w:p>
        </w:tc>
        <w:tc>
          <w:tcPr>
            <w:tcW w:type="dxa" w:w="315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Sanskrit dearness authority</w:t>
            </w:r>
          </w:p>
        </w:tc>
        <w:tc>
          <w:tcPr>
            <w:tcW w:type="dxa" w:w="12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Quotation</w:t>
            </w:r>
          </w:p>
        </w:tc>
        <w:tc>
          <w:tcPr>
            <w:tcW w:type="dxa" w:w="431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Padma Purāṇa material; adjacent half-verses in MM 421–422.</w:t>
            </w:r>
          </w:p>
        </w:tc>
      </w:tr>
      <w:tr>
        <w:trPr>
          <w:cantSplit/>
        </w:trPr>
        <w:tc>
          <w:tcPr>
            <w:tcW w:type="dxa" w:w="7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9</w:t>
            </w:r>
          </w:p>
        </w:tc>
        <w:tc>
          <w:tcPr>
            <w:tcW w:type="dxa" w:w="315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nitya water-play and bank-side rāsa</w:t>
            </w:r>
          </w:p>
        </w:tc>
        <w:tc>
          <w:tcPr>
            <w:tcW w:type="dxa" w:w="12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Direct</w:t>
            </w:r>
          </w:p>
        </w:tc>
        <w:tc>
          <w:tcPr>
            <w:tcW w:type="dxa" w:w="431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Bridge from obscured physical appearance to daily līlā.</w:t>
            </w:r>
          </w:p>
        </w:tc>
      </w:tr>
      <w:tr>
        <w:trPr>
          <w:cantSplit/>
        </w:trPr>
        <w:tc>
          <w:tcPr>
            <w:tcW w:type="dxa" w:w="7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10</w:t>
            </w:r>
          </w:p>
        </w:tc>
        <w:tc>
          <w:tcPr>
            <w:tcW w:type="dxa" w:w="315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One bath; Rādhā-like prema</w:t>
            </w:r>
          </w:p>
        </w:tc>
        <w:tc>
          <w:tcPr>
            <w:tcW w:type="dxa" w:w="12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Direct</w:t>
            </w:r>
          </w:p>
        </w:tc>
        <w:tc>
          <w:tcPr>
            <w:tcW w:type="dxa" w:w="431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Quote faithfully with pastoral context.</w:t>
            </w:r>
          </w:p>
        </w:tc>
      </w:tr>
      <w:tr>
        <w:trPr>
          <w:cantSplit/>
        </w:trPr>
        <w:tc>
          <w:tcPr>
            <w:tcW w:type="dxa" w:w="7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11</w:t>
            </w:r>
          </w:p>
        </w:tc>
        <w:tc>
          <w:tcPr>
            <w:tcW w:type="dxa" w:w="315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Lake’s sweetness/glory correspond to Rādhā</w:t>
            </w:r>
          </w:p>
        </w:tc>
        <w:tc>
          <w:tcPr>
            <w:tcW w:type="dxa" w:w="12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Direct</w:t>
            </w:r>
          </w:p>
        </w:tc>
        <w:tc>
          <w:tcPr>
            <w:tcW w:type="dxa" w:w="431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Do not reduce glory to architecture, age, or size.</w:t>
            </w:r>
          </w:p>
        </w:tc>
      </w:tr>
      <w:tr>
        <w:trPr>
          <w:cantSplit/>
        </w:trPr>
        <w:tc>
          <w:tcPr>
            <w:tcW w:type="dxa" w:w="7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12</w:t>
            </w:r>
          </w:p>
        </w:tc>
        <w:tc>
          <w:tcPr>
            <w:tcW w:type="dxa" w:w="315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GL 7.102 quotation</w:t>
            </w:r>
          </w:p>
        </w:tc>
        <w:tc>
          <w:tcPr>
            <w:tcW w:type="dxa" w:w="12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Quotation</w:t>
            </w:r>
          </w:p>
        </w:tc>
        <w:tc>
          <w:tcPr>
            <w:tcW w:type="dxa" w:w="431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Preserve CC and local GL variants separately.</w:t>
            </w:r>
          </w:p>
        </w:tc>
      </w:tr>
      <w:tr>
        <w:trPr>
          <w:cantSplit/>
        </w:trPr>
        <w:tc>
          <w:tcPr>
            <w:tcW w:type="dxa" w:w="7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13</w:t>
            </w:r>
          </w:p>
        </w:tc>
        <w:tc>
          <w:tcPr>
            <w:tcW w:type="dxa" w:w="315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Praise, remembrance, dance</w:t>
            </w:r>
          </w:p>
        </w:tc>
        <w:tc>
          <w:tcPr>
            <w:tcW w:type="dxa" w:w="12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Direct</w:t>
            </w:r>
          </w:p>
        </w:tc>
        <w:tc>
          <w:tcPr>
            <w:tcW w:type="dxa" w:w="431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Do not omit smaraṇa; it explains the dance.</w:t>
            </w:r>
          </w:p>
        </w:tc>
      </w:tr>
      <w:tr>
        <w:trPr>
          <w:cantSplit/>
        </w:trPr>
        <w:tc>
          <w:tcPr>
            <w:tcW w:type="dxa" w:w="7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14</w:t>
            </w:r>
          </w:p>
        </w:tc>
        <w:tc>
          <w:tcPr>
            <w:tcW w:type="dxa" w:w="315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Earth-tilaka and carried earth</w:t>
            </w:r>
          </w:p>
        </w:tc>
        <w:tc>
          <w:tcPr>
            <w:tcW w:type="dxa" w:w="12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Direct</w:t>
            </w:r>
          </w:p>
        </w:tc>
        <w:tc>
          <w:tcPr>
            <w:tcW w:type="dxa" w:w="431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Do not attach unverified modern customs or quantities.</w:t>
            </w:r>
          </w:p>
        </w:tc>
      </w:tr>
      <w:tr>
        <w:trPr>
          <w:cantSplit/>
        </w:trPr>
        <w:tc>
          <w:tcPr>
            <w:tcW w:type="dxa" w:w="7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15</w:t>
            </w:r>
          </w:p>
        </w:tc>
        <w:tc>
          <w:tcPr>
            <w:tcW w:type="dxa" w:w="315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Sumanas-sarovara; sight of Govardhana</w:t>
            </w:r>
          </w:p>
        </w:tc>
        <w:tc>
          <w:tcPr>
            <w:tcW w:type="dxa" w:w="12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Direct</w:t>
            </w:r>
          </w:p>
        </w:tc>
        <w:tc>
          <w:tcPr>
            <w:tcW w:type="dxa" w:w="431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Narrative boundary and handoff to the Govardhana story.</w:t>
            </w:r>
          </w:p>
        </w:tc>
      </w:tr>
    </w:tbl>
    <w:p>
      <w:pPr>
        <w:spacing w:after="0" w:before="0"/>
      </w:pPr>
      <w:r>
        <w:br w:type="page"/>
      </w:r>
    </w:p>
    <w:p>
      <w:pPr>
        <w:pStyle w:val="Heading1"/>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10. Primary quotation packet — arrival and recognition</w:t>
      </w:r>
    </w:p>
    <w:p>
      <w:pPr>
        <w:keepNext w:val="false"/>
        <w:keepLines/>
        <w:spacing w:after="120" w:before="0" w:line="300" w:lineRule="auto"/>
      </w:pPr>
      <w:r>
        <w:rPr>
          <w:rFonts w:ascii="Calibri" w:cs="Calibri" w:eastAsia="Calibri" w:hAnsi="Calibri"/>
          <w:b w:val="false"/>
          <w:bCs w:val="false"/>
          <w:i w:val="false"/>
          <w:iCs w:val="false"/>
          <w:caps w:val="false"/>
          <w:color w:val="28231F"/>
          <w:sz w:val="22"/>
          <w:szCs w:val="22"/>
        </w:rPr>
        <w:t xml:space="preserve">Bengali/Sanskrit text and Roman transliteration follow the checked VedaBase witness. English renderings are concise project research translations.</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45" w:before="0" w:line="300" w:lineRule="auto"/>
            </w:pPr>
            <w:r>
              <w:rPr>
                <w:rFonts w:ascii="Calibri" w:cs="Calibri" w:eastAsia="Calibri" w:hAnsi="Calibri"/>
                <w:b/>
                <w:bCs/>
                <w:i w:val="false"/>
                <w:iCs w:val="false"/>
                <w:caps w:val="false"/>
                <w:color w:val="762F3B"/>
                <w:sz w:val="20"/>
                <w:szCs w:val="20"/>
              </w:rPr>
              <w:t xml:space="preserve">Caitanya-caritāmṛta Madhya 18.3</w:t>
            </w:r>
          </w:p>
          <w:p>
            <w:pPr>
              <w:keepLines/>
              <w:spacing w:after="45" w:before="0" w:line="285" w:lineRule="auto"/>
            </w:pPr>
            <w:r>
              <w:drawing>
                <wp:inline distT="0" distB="0" distL="0" distR="0">
                  <wp:extent cx="5905500" cy="342900"/>
                  <wp:effectExtent t="0" r="0" b="0" l="0"/>
                  <wp:docPr id="1" name="CC Madhya 18.3 Bengali" descr="এইমত মহাপ্রভু নাচিতে নাচিতে । ‘আরিট্’-গ্রামে আসি’ ‘বাহ্য’ হৈল আচম্বিতে ॥ ৩ ॥" title="Bengali source text for Caitanya-caritāmṛta Madhya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42900"/>
                          </a:xfrm>
                          <a:prstGeom prst="rect">
                            <a:avLst/>
                          </a:prstGeom>
                        </pic:spPr>
                      </pic:pic>
                    </a:graphicData>
                  </a:graphic>
                </wp:inline>
              </w:drawing>
            </w:r>
          </w:p>
          <w:p>
            <w:pPr>
              <w:keepNext w:val="false"/>
              <w:keepLines/>
              <w:spacing w:after="55" w:before="0" w:line="275" w:lineRule="auto"/>
            </w:pPr>
            <w:r>
              <w:rPr>
                <w:rFonts w:ascii="Georgia" w:cs="Georgia" w:eastAsia="Georgia" w:hAnsi="Georgia"/>
                <w:b w:val="false"/>
                <w:bCs w:val="false"/>
                <w:i/>
                <w:iCs/>
                <w:caps w:val="false"/>
                <w:color w:val="28231F"/>
                <w:sz w:val="19"/>
                <w:szCs w:val="19"/>
              </w:rPr>
              <w:t xml:space="preserve">ei-mata mahāprabhu nācite nācite / ‘āriṭ’-grāme āsi’ ‘bāhya’ haila ācambite</w:t>
            </w:r>
          </w:p>
          <w:p>
            <w:pPr>
              <w:keepNext w:val="false"/>
              <w:keepLines/>
              <w:spacing w:after="45" w:before="0" w:line="280" w:lineRule="auto"/>
            </w:pPr>
            <w:r>
              <w:rPr>
                <w:rFonts w:ascii="Calibri" w:cs="Calibri" w:eastAsia="Calibri" w:hAnsi="Calibri"/>
                <w:b w:val="false"/>
                <w:bCs w:val="false"/>
                <w:i w:val="false"/>
                <w:iCs w:val="false"/>
                <w:caps w:val="false"/>
                <w:color w:val="28231F"/>
                <w:sz w:val="19"/>
                <w:szCs w:val="19"/>
              </w:rPr>
              <w:t xml:space="preserve">Thus Mahāprabhu came dancing and dancing; upon arriving at Āriṭ-grāma He suddenly returned to external awareness.</w:t>
            </w:r>
          </w:p>
          <w:p>
            <w:pPr>
              <w:keepNext w:val="false"/>
              <w:keepLines/>
              <w:spacing w:after="0" w:before="0" w:line="250" w:lineRule="auto"/>
            </w:pPr>
            <w:r>
              <w:rPr>
                <w:rFonts w:ascii="Calibri" w:cs="Calibri" w:eastAsia="Calibri" w:hAnsi="Calibri"/>
                <w:b/>
                <w:bCs/>
                <w:i w:val="false"/>
                <w:iCs w:val="false"/>
                <w:caps w:val="false"/>
                <w:color w:val="762F3B"/>
                <w:sz w:val="17"/>
                <w:szCs w:val="17"/>
              </w:rPr>
              <w:t xml:space="preserve">Research use — </w:t>
            </w:r>
            <w:r>
              <w:rPr>
                <w:rFonts w:ascii="Calibri" w:cs="Calibri" w:eastAsia="Calibri" w:hAnsi="Calibri"/>
                <w:b w:val="false"/>
                <w:bCs w:val="false"/>
                <w:i w:val="false"/>
                <w:iCs w:val="false"/>
                <w:caps w:val="false"/>
                <w:color w:val="6E645D"/>
                <w:sz w:val="17"/>
                <w:szCs w:val="17"/>
              </w:rPr>
              <w:t xml:space="preserve">The episode opens inside ecstatic pilgrimage. The return to outward awareness marks the moment when absorbed movement becomes focused recognition of a particular līlā-place.</w:t>
            </w:r>
          </w:p>
        </w:tc>
      </w:tr>
    </w:tbl>
    <w:p>
      <w:pPr>
        <w:keepNext w:val="false"/>
        <w:keepLines/>
        <w:spacing w:after="65" w:before="0" w:line="40" w:lineRule="auto"/>
      </w:pPr>
      <w:r>
        <w:rPr>
          <w:rFonts w:ascii="Calibri" w:cs="Calibri" w:eastAsia="Calibri" w:hAnsi="Calibri"/>
          <w:b w:val="false"/>
          <w:bCs w:val="false"/>
          <w:i w:val="false"/>
          <w:iCs w:val="false"/>
          <w:caps w:val="false"/>
          <w:color w:val="28231F"/>
          <w:sz w:val="22"/>
          <w:szCs w:val="22"/>
        </w:rPr>
        <w:t xml:space="preserve"/>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45" w:before="0" w:line="300" w:lineRule="auto"/>
            </w:pPr>
            <w:r>
              <w:rPr>
                <w:rFonts w:ascii="Calibri" w:cs="Calibri" w:eastAsia="Calibri" w:hAnsi="Calibri"/>
                <w:b/>
                <w:bCs/>
                <w:i w:val="false"/>
                <w:iCs w:val="false"/>
                <w:caps w:val="false"/>
                <w:color w:val="762F3B"/>
                <w:sz w:val="20"/>
                <w:szCs w:val="20"/>
              </w:rPr>
              <w:t xml:space="preserve">Caitanya-caritāmṛta Madhya 18.4</w:t>
            </w:r>
          </w:p>
          <w:p>
            <w:pPr>
              <w:keepLines/>
              <w:spacing w:after="45" w:before="0" w:line="285" w:lineRule="auto"/>
            </w:pPr>
            <w:r>
              <w:drawing>
                <wp:inline distT="0" distB="0" distL="0" distR="0">
                  <wp:extent cx="5905500" cy="342900"/>
                  <wp:effectExtent t="0" r="0" b="0" l="0"/>
                  <wp:docPr id="1" name="CC Madhya 18.4 Bengali" descr="আরিটে রাধাকুণ্ড-বার্তা পুছে লোক-স্থানে । কেহ নাহি কহে, সঙ্গের ব্রাহ্মণ না জানে ॥ ৪ ॥" title="Bengali source text for Caitanya-caritāmṛta Madhya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42900"/>
                          </a:xfrm>
                          <a:prstGeom prst="rect">
                            <a:avLst/>
                          </a:prstGeom>
                        </pic:spPr>
                      </pic:pic>
                    </a:graphicData>
                  </a:graphic>
                </wp:inline>
              </w:drawing>
            </w:r>
          </w:p>
          <w:p>
            <w:pPr>
              <w:keepNext w:val="false"/>
              <w:keepLines/>
              <w:spacing w:after="55" w:before="0" w:line="275" w:lineRule="auto"/>
            </w:pPr>
            <w:r>
              <w:rPr>
                <w:rFonts w:ascii="Georgia" w:cs="Georgia" w:eastAsia="Georgia" w:hAnsi="Georgia"/>
                <w:b w:val="false"/>
                <w:bCs w:val="false"/>
                <w:i/>
                <w:iCs/>
                <w:caps w:val="false"/>
                <w:color w:val="28231F"/>
                <w:sz w:val="19"/>
                <w:szCs w:val="19"/>
              </w:rPr>
              <w:t xml:space="preserve">āriṭe rādhā-kuṇḍa-vārtā puche loka-sthāne / keha nāhi kahe, saṅgera brāhmaṇa nā jāne</w:t>
            </w:r>
          </w:p>
          <w:p>
            <w:pPr>
              <w:keepNext w:val="false"/>
              <w:keepLines/>
              <w:spacing w:after="45" w:before="0" w:line="280" w:lineRule="auto"/>
            </w:pPr>
            <w:r>
              <w:rPr>
                <w:rFonts w:ascii="Calibri" w:cs="Calibri" w:eastAsia="Calibri" w:hAnsi="Calibri"/>
                <w:b w:val="false"/>
                <w:bCs w:val="false"/>
                <w:i w:val="false"/>
                <w:iCs w:val="false"/>
                <w:caps w:val="false"/>
                <w:color w:val="28231F"/>
                <w:sz w:val="19"/>
                <w:szCs w:val="19"/>
              </w:rPr>
              <w:t xml:space="preserve">At Āriṭ He asked the local people for news of Rādhā-kuṇḍa. No one could tell Him, and the accompanying brāhmaṇa did not know.</w:t>
            </w:r>
          </w:p>
          <w:p>
            <w:pPr>
              <w:keepNext w:val="false"/>
              <w:keepLines/>
              <w:spacing w:after="0" w:before="0" w:line="250" w:lineRule="auto"/>
            </w:pPr>
            <w:r>
              <w:rPr>
                <w:rFonts w:ascii="Calibri" w:cs="Calibri" w:eastAsia="Calibri" w:hAnsi="Calibri"/>
                <w:b/>
                <w:bCs/>
                <w:i w:val="false"/>
                <w:iCs w:val="false"/>
                <w:caps w:val="false"/>
                <w:color w:val="762F3B"/>
                <w:sz w:val="17"/>
                <w:szCs w:val="17"/>
              </w:rPr>
              <w:t xml:space="preserve">Research use — </w:t>
            </w:r>
            <w:r>
              <w:rPr>
                <w:rFonts w:ascii="Calibri" w:cs="Calibri" w:eastAsia="Calibri" w:hAnsi="Calibri"/>
                <w:b w:val="false"/>
                <w:bCs w:val="false"/>
                <w:i w:val="false"/>
                <w:iCs w:val="false"/>
                <w:caps w:val="false"/>
                <w:color w:val="6E645D"/>
                <w:sz w:val="17"/>
                <w:szCs w:val="17"/>
              </w:rPr>
              <w:t xml:space="preserve">The village is inhabited and known; the tīrtha’s identity is not. The verse states inability to identify, not hostility or disbelief.</w:t>
            </w:r>
          </w:p>
        </w:tc>
      </w:tr>
    </w:tbl>
    <w:p>
      <w:pPr>
        <w:keepNext w:val="false"/>
        <w:keepLines/>
        <w:spacing w:after="65" w:before="0" w:line="40" w:lineRule="auto"/>
      </w:pPr>
      <w:r>
        <w:rPr>
          <w:rFonts w:ascii="Calibri" w:cs="Calibri" w:eastAsia="Calibri" w:hAnsi="Calibri"/>
          <w:b w:val="false"/>
          <w:bCs w:val="false"/>
          <w:i w:val="false"/>
          <w:iCs w:val="false"/>
          <w:caps w:val="false"/>
          <w:color w:val="28231F"/>
          <w:sz w:val="22"/>
          <w:szCs w:val="22"/>
        </w:rPr>
        <w:t xml:space="preserve"/>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45" w:before="0" w:line="300" w:lineRule="auto"/>
            </w:pPr>
            <w:r>
              <w:rPr>
                <w:rFonts w:ascii="Calibri" w:cs="Calibri" w:eastAsia="Calibri" w:hAnsi="Calibri"/>
                <w:b/>
                <w:bCs/>
                <w:i w:val="false"/>
                <w:iCs w:val="false"/>
                <w:caps w:val="false"/>
                <w:color w:val="762F3B"/>
                <w:sz w:val="20"/>
                <w:szCs w:val="20"/>
              </w:rPr>
              <w:t xml:space="preserve">Caitanya-caritāmṛta Madhya 18.5</w:t>
            </w:r>
          </w:p>
          <w:p>
            <w:pPr>
              <w:keepLines/>
              <w:spacing w:after="45" w:before="0" w:line="285" w:lineRule="auto"/>
            </w:pPr>
            <w:r>
              <w:drawing>
                <wp:inline distT="0" distB="0" distL="0" distR="0">
                  <wp:extent cx="5905500" cy="342900"/>
                  <wp:effectExtent t="0" r="0" b="0" l="0"/>
                  <wp:docPr id="1" name="CC Madhya 18.5 Bengali" descr="তীর্থ ‘লুপ্ত’ জানি’ প্রভু সর্বজ্ঞ ভগবান্‌ । দুই ধান্যক্ষেত্রে অল্পজলে কৈলা স্নান ॥ ৫ ॥" title="Bengali source text for Caitanya-caritāmṛta Madhya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2900"/>
                          </a:xfrm>
                          <a:prstGeom prst="rect">
                            <a:avLst/>
                          </a:prstGeom>
                        </pic:spPr>
                      </pic:pic>
                    </a:graphicData>
                  </a:graphic>
                </wp:inline>
              </w:drawing>
            </w:r>
          </w:p>
          <w:p>
            <w:pPr>
              <w:keepNext w:val="false"/>
              <w:keepLines/>
              <w:spacing w:after="55" w:before="0" w:line="275" w:lineRule="auto"/>
            </w:pPr>
            <w:r>
              <w:rPr>
                <w:rFonts w:ascii="Georgia" w:cs="Georgia" w:eastAsia="Georgia" w:hAnsi="Georgia"/>
                <w:b w:val="false"/>
                <w:bCs w:val="false"/>
                <w:i/>
                <w:iCs/>
                <w:caps w:val="false"/>
                <w:color w:val="28231F"/>
                <w:sz w:val="19"/>
                <w:szCs w:val="19"/>
              </w:rPr>
              <w:t xml:space="preserve">tīrtha ‘lupta’ jāni’ prabhu sarvajña bhagavān / dui dhānya-kṣetre alpa-jale kailā snāna</w:t>
            </w:r>
          </w:p>
          <w:p>
            <w:pPr>
              <w:keepNext w:val="false"/>
              <w:keepLines/>
              <w:spacing w:after="45" w:before="0" w:line="280" w:lineRule="auto"/>
            </w:pPr>
            <w:r>
              <w:rPr>
                <w:rFonts w:ascii="Calibri" w:cs="Calibri" w:eastAsia="Calibri" w:hAnsi="Calibri"/>
                <w:b w:val="false"/>
                <w:bCs w:val="false"/>
                <w:i w:val="false"/>
                <w:iCs w:val="false"/>
                <w:caps w:val="false"/>
                <w:color w:val="28231F"/>
                <w:sz w:val="19"/>
                <w:szCs w:val="19"/>
              </w:rPr>
              <w:t xml:space="preserve">Knowing the tīrtha to be obscured or lost, the omniscient Lord bathed in the little water of two paddy fields.</w:t>
            </w:r>
          </w:p>
          <w:p>
            <w:pPr>
              <w:keepNext w:val="false"/>
              <w:keepLines/>
              <w:spacing w:after="0" w:before="0" w:line="250" w:lineRule="auto"/>
            </w:pPr>
            <w:r>
              <w:rPr>
                <w:rFonts w:ascii="Calibri" w:cs="Calibri" w:eastAsia="Calibri" w:hAnsi="Calibri"/>
                <w:b/>
                <w:bCs/>
                <w:i w:val="false"/>
                <w:iCs w:val="false"/>
                <w:caps w:val="false"/>
                <w:color w:val="762F3B"/>
                <w:sz w:val="17"/>
                <w:szCs w:val="17"/>
              </w:rPr>
              <w:t xml:space="preserve">Research use — </w:t>
            </w:r>
            <w:r>
              <w:rPr>
                <w:rFonts w:ascii="Calibri" w:cs="Calibri" w:eastAsia="Calibri" w:hAnsi="Calibri"/>
                <w:b w:val="false"/>
                <w:bCs w:val="false"/>
                <w:i w:val="false"/>
                <w:iCs w:val="false"/>
                <w:caps w:val="false"/>
                <w:color w:val="6E645D"/>
                <w:sz w:val="17"/>
                <w:szCs w:val="17"/>
              </w:rPr>
              <w:t xml:space="preserve">The direct text grounds recognition in sarvajñatā, omniscience. It records bathing, not excavation, construction, or creation of the waters.</w:t>
            </w:r>
          </w:p>
        </w:tc>
      </w:tr>
    </w:tbl>
    <w:p>
      <w:pPr>
        <w:spacing w:after="0" w:before="0"/>
      </w:pPr>
      <w:r>
        <w:br w:type="page"/>
      </w:r>
    </w:p>
    <w:p>
      <w:pPr>
        <w:pStyle w:val="Heading1"/>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11. Primary quotation packet — public praise and dearness</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45" w:before="0" w:line="300" w:lineRule="auto"/>
            </w:pPr>
            <w:r>
              <w:rPr>
                <w:rFonts w:ascii="Calibri" w:cs="Calibri" w:eastAsia="Calibri" w:hAnsi="Calibri"/>
                <w:b/>
                <w:bCs/>
                <w:i w:val="false"/>
                <w:iCs w:val="false"/>
                <w:caps w:val="false"/>
                <w:color w:val="762F3B"/>
                <w:sz w:val="20"/>
                <w:szCs w:val="20"/>
              </w:rPr>
              <w:t xml:space="preserve">Caitanya-caritāmṛta Madhya 18.6</w:t>
            </w:r>
          </w:p>
          <w:p>
            <w:pPr>
              <w:keepLines/>
              <w:spacing w:after="45" w:before="0" w:line="285" w:lineRule="auto"/>
            </w:pPr>
            <w:r>
              <w:drawing>
                <wp:inline distT="0" distB="0" distL="0" distR="0">
                  <wp:extent cx="5905500" cy="342900"/>
                  <wp:effectExtent t="0" r="0" b="0" l="0"/>
                  <wp:docPr id="1" name="CC Madhya 18.6 Bengali" descr="দেখি’ সব গ্রাম্য-লোকের বিস্ময় হৈল মন । প্রেমে প্রভু করে রাধাকুণ্ডের স্তবন ॥ ৬ ॥" title="Bengali source text for Caitanya-caritāmṛta Madhya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2900"/>
                          </a:xfrm>
                          <a:prstGeom prst="rect">
                            <a:avLst/>
                          </a:prstGeom>
                        </pic:spPr>
                      </pic:pic>
                    </a:graphicData>
                  </a:graphic>
                </wp:inline>
              </w:drawing>
            </w:r>
          </w:p>
          <w:p>
            <w:pPr>
              <w:keepNext w:val="false"/>
              <w:keepLines/>
              <w:spacing w:after="55" w:before="0" w:line="275" w:lineRule="auto"/>
            </w:pPr>
            <w:r>
              <w:rPr>
                <w:rFonts w:ascii="Georgia" w:cs="Georgia" w:eastAsia="Georgia" w:hAnsi="Georgia"/>
                <w:b w:val="false"/>
                <w:bCs w:val="false"/>
                <w:i/>
                <w:iCs/>
                <w:caps w:val="false"/>
                <w:color w:val="28231F"/>
                <w:sz w:val="19"/>
                <w:szCs w:val="19"/>
              </w:rPr>
              <w:t xml:space="preserve">dekhi’ saba grāmya-lokera vismaya haila mana / preme prabhu kare rādhā-kuṇḍera stavana</w:t>
            </w:r>
          </w:p>
          <w:p>
            <w:pPr>
              <w:keepNext w:val="false"/>
              <w:keepLines/>
              <w:spacing w:after="45" w:before="0" w:line="280" w:lineRule="auto"/>
            </w:pPr>
            <w:r>
              <w:rPr>
                <w:rFonts w:ascii="Calibri" w:cs="Calibri" w:eastAsia="Calibri" w:hAnsi="Calibri"/>
                <w:b w:val="false"/>
                <w:bCs w:val="false"/>
                <w:i w:val="false"/>
                <w:iCs w:val="false"/>
                <w:caps w:val="false"/>
                <w:color w:val="28231F"/>
                <w:sz w:val="19"/>
                <w:szCs w:val="19"/>
              </w:rPr>
              <w:t xml:space="preserve">Seeing this, the minds of all the village people were filled with astonishment. In prema the Lord offered praise of Rādhā-kuṇḍa.</w:t>
            </w:r>
          </w:p>
          <w:p>
            <w:pPr>
              <w:keepNext w:val="false"/>
              <w:keepLines/>
              <w:spacing w:after="0" w:before="0" w:line="250" w:lineRule="auto"/>
            </w:pPr>
            <w:r>
              <w:rPr>
                <w:rFonts w:ascii="Calibri" w:cs="Calibri" w:eastAsia="Calibri" w:hAnsi="Calibri"/>
                <w:b/>
                <w:bCs/>
                <w:i w:val="false"/>
                <w:iCs w:val="false"/>
                <w:caps w:val="false"/>
                <w:color w:val="762F3B"/>
                <w:sz w:val="17"/>
                <w:szCs w:val="17"/>
              </w:rPr>
              <w:t xml:space="preserve">Research use — </w:t>
            </w:r>
            <w:r>
              <w:rPr>
                <w:rFonts w:ascii="Calibri" w:cs="Calibri" w:eastAsia="Calibri" w:hAnsi="Calibri"/>
                <w:b w:val="false"/>
                <w:bCs w:val="false"/>
                <w:i w:val="false"/>
                <w:iCs w:val="false"/>
                <w:caps w:val="false"/>
                <w:color w:val="6E645D"/>
                <w:sz w:val="17"/>
                <w:szCs w:val="17"/>
              </w:rPr>
              <w:t xml:space="preserve">The recognition becomes public through embodied action and praise. The interpretive register is prema rather than archaeological demonstration.</w:t>
            </w:r>
          </w:p>
        </w:tc>
      </w:tr>
    </w:tbl>
    <w:p>
      <w:pPr>
        <w:keepNext w:val="false"/>
        <w:keepLines/>
        <w:spacing w:after="65" w:before="0" w:line="40" w:lineRule="auto"/>
      </w:pPr>
      <w:r>
        <w:rPr>
          <w:rFonts w:ascii="Calibri" w:cs="Calibri" w:eastAsia="Calibri" w:hAnsi="Calibri"/>
          <w:b w:val="false"/>
          <w:bCs w:val="false"/>
          <w:i w:val="false"/>
          <w:iCs w:val="false"/>
          <w:caps w:val="false"/>
          <w:color w:val="28231F"/>
          <w:sz w:val="22"/>
          <w:szCs w:val="22"/>
        </w:rPr>
        <w:t xml:space="preserve"/>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45" w:before="0" w:line="300" w:lineRule="auto"/>
            </w:pPr>
            <w:r>
              <w:rPr>
                <w:rFonts w:ascii="Calibri" w:cs="Calibri" w:eastAsia="Calibri" w:hAnsi="Calibri"/>
                <w:b/>
                <w:bCs/>
                <w:i w:val="false"/>
                <w:iCs w:val="false"/>
                <w:caps w:val="false"/>
                <w:color w:val="762F3B"/>
                <w:sz w:val="20"/>
                <w:szCs w:val="20"/>
              </w:rPr>
              <w:t xml:space="preserve">Caitanya-caritāmṛta Madhya 18.7</w:t>
            </w:r>
          </w:p>
          <w:p>
            <w:pPr>
              <w:keepLines/>
              <w:spacing w:after="45" w:before="0" w:line="285" w:lineRule="auto"/>
            </w:pPr>
            <w:r>
              <w:drawing>
                <wp:inline distT="0" distB="0" distL="0" distR="0">
                  <wp:extent cx="5905500" cy="342900"/>
                  <wp:effectExtent t="0" r="0" b="0" l="0"/>
                  <wp:docPr id="1" name="CC Madhya 18.7 Bengali" descr="সব গোপী হৈতে রাধা কৃষ্ণের প্রেয়সী । তৈছে রাধাকুণ্ড প্রিয় ‘প্রিয়ার সরসী’ ॥ ৭ ॥" title="Bengali source text for Caitanya-caritāmṛta Madhya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42900"/>
                          </a:xfrm>
                          <a:prstGeom prst="rect">
                            <a:avLst/>
                          </a:prstGeom>
                        </pic:spPr>
                      </pic:pic>
                    </a:graphicData>
                  </a:graphic>
                </wp:inline>
              </w:drawing>
            </w:r>
          </w:p>
          <w:p>
            <w:pPr>
              <w:keepNext w:val="false"/>
              <w:keepLines/>
              <w:spacing w:after="55" w:before="0" w:line="275" w:lineRule="auto"/>
            </w:pPr>
            <w:r>
              <w:rPr>
                <w:rFonts w:ascii="Georgia" w:cs="Georgia" w:eastAsia="Georgia" w:hAnsi="Georgia"/>
                <w:b w:val="false"/>
                <w:bCs w:val="false"/>
                <w:i/>
                <w:iCs/>
                <w:caps w:val="false"/>
                <w:color w:val="28231F"/>
                <w:sz w:val="19"/>
                <w:szCs w:val="19"/>
              </w:rPr>
              <w:t xml:space="preserve">saba gopī haite rādhā kṛṣṇera preyasī / taiche rādhā-kuṇḍa priya ‘priyāra sarasī’</w:t>
            </w:r>
          </w:p>
          <w:p>
            <w:pPr>
              <w:keepNext w:val="false"/>
              <w:keepLines/>
              <w:spacing w:after="45" w:before="0" w:line="280" w:lineRule="auto"/>
            </w:pPr>
            <w:r>
              <w:rPr>
                <w:rFonts w:ascii="Calibri" w:cs="Calibri" w:eastAsia="Calibri" w:hAnsi="Calibri"/>
                <w:b w:val="false"/>
                <w:bCs w:val="false"/>
                <w:i w:val="false"/>
                <w:iCs w:val="false"/>
                <w:caps w:val="false"/>
                <w:color w:val="28231F"/>
                <w:sz w:val="19"/>
                <w:szCs w:val="19"/>
              </w:rPr>
              <w:t xml:space="preserve">Among all the gopīs, Rādhā is Kṛṣṇa’s dearest; likewise Rādhā-kuṇḍa is dear as the lake of His beloved.</w:t>
            </w:r>
          </w:p>
          <w:p>
            <w:pPr>
              <w:keepNext w:val="false"/>
              <w:keepLines/>
              <w:spacing w:after="0" w:before="0" w:line="250" w:lineRule="auto"/>
            </w:pPr>
            <w:r>
              <w:rPr>
                <w:rFonts w:ascii="Calibri" w:cs="Calibri" w:eastAsia="Calibri" w:hAnsi="Calibri"/>
                <w:b/>
                <w:bCs/>
                <w:i w:val="false"/>
                <w:iCs w:val="false"/>
                <w:caps w:val="false"/>
                <w:color w:val="762F3B"/>
                <w:sz w:val="17"/>
                <w:szCs w:val="17"/>
              </w:rPr>
              <w:t xml:space="preserve">Research use — </w:t>
            </w:r>
            <w:r>
              <w:rPr>
                <w:rFonts w:ascii="Calibri" w:cs="Calibri" w:eastAsia="Calibri" w:hAnsi="Calibri"/>
                <w:b w:val="false"/>
                <w:bCs w:val="false"/>
                <w:i w:val="false"/>
                <w:iCs w:val="false"/>
                <w:caps w:val="false"/>
                <w:color w:val="6E645D"/>
                <w:sz w:val="17"/>
                <w:szCs w:val="17"/>
              </w:rPr>
              <w:t xml:space="preserve">The theological identity of the place is relational. Its dearness follows from Rādhā’s dearness.</w:t>
            </w:r>
          </w:p>
        </w:tc>
      </w:tr>
    </w:tbl>
    <w:p>
      <w:pPr>
        <w:keepNext w:val="false"/>
        <w:keepLines/>
        <w:spacing w:after="65" w:before="0" w:line="40" w:lineRule="auto"/>
      </w:pPr>
      <w:r>
        <w:rPr>
          <w:rFonts w:ascii="Calibri" w:cs="Calibri" w:eastAsia="Calibri" w:hAnsi="Calibri"/>
          <w:b w:val="false"/>
          <w:bCs w:val="false"/>
          <w:i w:val="false"/>
          <w:iCs w:val="false"/>
          <w:caps w:val="false"/>
          <w:color w:val="28231F"/>
          <w:sz w:val="22"/>
          <w:szCs w:val="22"/>
        </w:rPr>
        <w:t xml:space="preserve"/>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45" w:before="0" w:line="300" w:lineRule="auto"/>
            </w:pPr>
            <w:r>
              <w:rPr>
                <w:rFonts w:ascii="Calibri" w:cs="Calibri" w:eastAsia="Calibri" w:hAnsi="Calibri"/>
                <w:b/>
                <w:bCs/>
                <w:i w:val="false"/>
                <w:iCs w:val="false"/>
                <w:caps w:val="false"/>
                <w:color w:val="762F3B"/>
                <w:sz w:val="20"/>
                <w:szCs w:val="20"/>
              </w:rPr>
              <w:t xml:space="preserve">Caitanya-caritāmṛta Madhya 18.8</w:t>
            </w:r>
          </w:p>
          <w:p>
            <w:pPr>
              <w:keepLines/>
              <w:spacing w:after="45" w:before="0" w:line="285" w:lineRule="auto"/>
            </w:pPr>
            <w:r>
              <w:drawing>
                <wp:inline distT="0" distB="0" distL="0" distR="0">
                  <wp:extent cx="5905500" cy="342900"/>
                  <wp:effectExtent t="0" r="0" b="0" l="0"/>
                  <wp:docPr id="1" name="CC Madhya 18.8 Bengali" descr="যথা রাধা প্রিয়া বিষ্ণোস্তস্যাঃ কুণ্ডং প্রিয়ং তথা । সর্বগোপীষু সৈবৈকা বিষ্ণোরত্যন্তবল্লভা ॥ ৮ ॥" title="Bengali source text for Caitanya-caritāmṛta Madhya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42900"/>
                          </a:xfrm>
                          <a:prstGeom prst="rect">
                            <a:avLst/>
                          </a:prstGeom>
                        </pic:spPr>
                      </pic:pic>
                    </a:graphicData>
                  </a:graphic>
                </wp:inline>
              </w:drawing>
            </w:r>
          </w:p>
          <w:p>
            <w:pPr>
              <w:keepNext w:val="false"/>
              <w:keepLines/>
              <w:spacing w:after="55" w:before="0" w:line="275" w:lineRule="auto"/>
            </w:pPr>
            <w:r>
              <w:rPr>
                <w:rFonts w:ascii="Georgia" w:cs="Georgia" w:eastAsia="Georgia" w:hAnsi="Georgia"/>
                <w:b w:val="false"/>
                <w:bCs w:val="false"/>
                <w:i/>
                <w:iCs/>
                <w:caps w:val="false"/>
                <w:color w:val="28231F"/>
                <w:sz w:val="19"/>
                <w:szCs w:val="19"/>
              </w:rPr>
              <w:t xml:space="preserve">yathā rādhā priyā viṣṇos / tasyāḥ kuṇḍaṁ priyaṁ tathā / sarva-gopīṣu saivaikā / viṣṇor atyanta-vallabhā</w:t>
            </w:r>
          </w:p>
          <w:p>
            <w:pPr>
              <w:keepNext w:val="false"/>
              <w:keepLines/>
              <w:spacing w:after="45" w:before="0" w:line="280" w:lineRule="auto"/>
            </w:pPr>
            <w:r>
              <w:rPr>
                <w:rFonts w:ascii="Calibri" w:cs="Calibri" w:eastAsia="Calibri" w:hAnsi="Calibri"/>
                <w:b w:val="false"/>
                <w:bCs w:val="false"/>
                <w:i w:val="false"/>
                <w:iCs w:val="false"/>
                <w:caps w:val="false"/>
                <w:color w:val="28231F"/>
                <w:sz w:val="19"/>
                <w:szCs w:val="19"/>
              </w:rPr>
              <w:t xml:space="preserve">As Rādhā is dear to Viṣṇu or Kṛṣṇa, so Her kuṇḍa is dear to Him. Among all the gopīs, She alone is supremely beloved of Him.</w:t>
            </w:r>
          </w:p>
          <w:p>
            <w:pPr>
              <w:keepNext w:val="false"/>
              <w:keepLines/>
              <w:spacing w:after="0" w:before="0" w:line="250" w:lineRule="auto"/>
            </w:pPr>
            <w:r>
              <w:rPr>
                <w:rFonts w:ascii="Calibri" w:cs="Calibri" w:eastAsia="Calibri" w:hAnsi="Calibri"/>
                <w:b/>
                <w:bCs/>
                <w:i w:val="false"/>
                <w:iCs w:val="false"/>
                <w:caps w:val="false"/>
                <w:color w:val="762F3B"/>
                <w:sz w:val="17"/>
                <w:szCs w:val="17"/>
              </w:rPr>
              <w:t xml:space="preserve">Research use — </w:t>
            </w:r>
            <w:r>
              <w:rPr>
                <w:rFonts w:ascii="Calibri" w:cs="Calibri" w:eastAsia="Calibri" w:hAnsi="Calibri"/>
                <w:b w:val="false"/>
                <w:bCs w:val="false"/>
                <w:i w:val="false"/>
                <w:iCs w:val="false"/>
                <w:caps w:val="false"/>
                <w:color w:val="6E645D"/>
                <w:sz w:val="17"/>
                <w:szCs w:val="17"/>
              </w:rPr>
              <w:t xml:space="preserve">Kṛṣṇadāsa gives a Sanskrit authority for verse 7. In the project Mathurā-māhātmya witness, these lines occur as adjacent half-verses in 421–422 and are traced to the Padma Purāṇa.</w:t>
            </w:r>
          </w:p>
        </w:tc>
      </w:tr>
    </w:tbl>
    <w:p>
      <w:pPr>
        <w:spacing w:after="0" w:before="0"/>
      </w:pPr>
      <w:r>
        <w:br w:type="page"/>
      </w:r>
    </w:p>
    <w:p>
      <w:pPr>
        <w:pStyle w:val="Heading1"/>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12. Primary quotation packet — nitya-līlā, bathing, and correspondence</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45" w:before="0" w:line="300" w:lineRule="auto"/>
            </w:pPr>
            <w:r>
              <w:rPr>
                <w:rFonts w:ascii="Calibri" w:cs="Calibri" w:eastAsia="Calibri" w:hAnsi="Calibri"/>
                <w:b/>
                <w:bCs/>
                <w:i w:val="false"/>
                <w:iCs w:val="false"/>
                <w:caps w:val="false"/>
                <w:color w:val="762F3B"/>
                <w:sz w:val="20"/>
                <w:szCs w:val="20"/>
              </w:rPr>
              <w:t xml:space="preserve">Caitanya-caritāmṛta Madhya 18.9</w:t>
            </w:r>
          </w:p>
          <w:p>
            <w:pPr>
              <w:keepLines/>
              <w:spacing w:after="45" w:before="0" w:line="285" w:lineRule="auto"/>
            </w:pPr>
            <w:r>
              <w:drawing>
                <wp:inline distT="0" distB="0" distL="0" distR="0">
                  <wp:extent cx="5905500" cy="342900"/>
                  <wp:effectExtent t="0" r="0" b="0" l="0"/>
                  <wp:docPr id="1" name="CC Madhya 18.9 Bengali" descr="যেই কুণ্ডে নিত্য কৃষ্ণ রাধিকার সঙ্গে । জলে জলকেলি করে, তীরে রাস-রঙ্গে ॥ ৯ ॥" title="Bengali source text for Caitanya-caritāmṛta Madhya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42900"/>
                          </a:xfrm>
                          <a:prstGeom prst="rect">
                            <a:avLst/>
                          </a:prstGeom>
                        </pic:spPr>
                      </pic:pic>
                    </a:graphicData>
                  </a:graphic>
                </wp:inline>
              </w:drawing>
            </w:r>
          </w:p>
          <w:p>
            <w:pPr>
              <w:keepNext w:val="false"/>
              <w:keepLines/>
              <w:spacing w:after="55" w:before="0" w:line="275" w:lineRule="auto"/>
            </w:pPr>
            <w:r>
              <w:rPr>
                <w:rFonts w:ascii="Georgia" w:cs="Georgia" w:eastAsia="Georgia" w:hAnsi="Georgia"/>
                <w:b w:val="false"/>
                <w:bCs w:val="false"/>
                <w:i/>
                <w:iCs/>
                <w:caps w:val="false"/>
                <w:color w:val="28231F"/>
                <w:sz w:val="19"/>
                <w:szCs w:val="19"/>
              </w:rPr>
              <w:t xml:space="preserve">yei kuṇḍe nitya kṛṣṇa rādhikāra saṅge / jale jala-keli kare, tīre rāsa-raṅge</w:t>
            </w:r>
          </w:p>
          <w:p>
            <w:pPr>
              <w:keepNext w:val="false"/>
              <w:keepLines/>
              <w:spacing w:after="45" w:before="0" w:line="280" w:lineRule="auto"/>
            </w:pPr>
            <w:r>
              <w:rPr>
                <w:rFonts w:ascii="Calibri" w:cs="Calibri" w:eastAsia="Calibri" w:hAnsi="Calibri"/>
                <w:b w:val="false"/>
                <w:bCs w:val="false"/>
                <w:i w:val="false"/>
                <w:iCs w:val="false"/>
                <w:caps w:val="false"/>
                <w:color w:val="28231F"/>
                <w:sz w:val="19"/>
                <w:szCs w:val="19"/>
              </w:rPr>
              <w:t xml:space="preserve">In this kuṇḍa Kṛṣṇa daily and eternally performs water-play with Rādhikā, and on its bank delights in rāsa.</w:t>
            </w:r>
          </w:p>
          <w:p>
            <w:pPr>
              <w:keepNext w:val="false"/>
              <w:keepLines/>
              <w:spacing w:after="0" w:before="0" w:line="250" w:lineRule="auto"/>
            </w:pPr>
            <w:r>
              <w:rPr>
                <w:rFonts w:ascii="Calibri" w:cs="Calibri" w:eastAsia="Calibri" w:hAnsi="Calibri"/>
                <w:b/>
                <w:bCs/>
                <w:i w:val="false"/>
                <w:iCs w:val="false"/>
                <w:caps w:val="false"/>
                <w:color w:val="762F3B"/>
                <w:sz w:val="17"/>
                <w:szCs w:val="17"/>
              </w:rPr>
              <w:t xml:space="preserve">Research use — </w:t>
            </w:r>
            <w:r>
              <w:rPr>
                <w:rFonts w:ascii="Calibri" w:cs="Calibri" w:eastAsia="Calibri" w:hAnsi="Calibri"/>
                <w:b w:val="false"/>
                <w:bCs w:val="false"/>
                <w:i w:val="false"/>
                <w:iCs w:val="false"/>
                <w:caps w:val="false"/>
                <w:color w:val="6E645D"/>
                <w:sz w:val="17"/>
                <w:szCs w:val="17"/>
              </w:rPr>
              <w:t xml:space="preserve">The little visible water is interpreted through nitya-līlā: daily water-play in the lake and rāsa on its bank.</w:t>
            </w:r>
          </w:p>
        </w:tc>
      </w:tr>
    </w:tbl>
    <w:p>
      <w:pPr>
        <w:keepNext w:val="false"/>
        <w:keepLines/>
        <w:spacing w:after="65" w:before="0" w:line="40" w:lineRule="auto"/>
      </w:pPr>
      <w:r>
        <w:rPr>
          <w:rFonts w:ascii="Calibri" w:cs="Calibri" w:eastAsia="Calibri" w:hAnsi="Calibri"/>
          <w:b w:val="false"/>
          <w:bCs w:val="false"/>
          <w:i w:val="false"/>
          <w:iCs w:val="false"/>
          <w:caps w:val="false"/>
          <w:color w:val="28231F"/>
          <w:sz w:val="22"/>
          <w:szCs w:val="22"/>
        </w:rPr>
        <w:t xml:space="preserve"/>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45" w:before="0" w:line="300" w:lineRule="auto"/>
            </w:pPr>
            <w:r>
              <w:rPr>
                <w:rFonts w:ascii="Calibri" w:cs="Calibri" w:eastAsia="Calibri" w:hAnsi="Calibri"/>
                <w:b/>
                <w:bCs/>
                <w:i w:val="false"/>
                <w:iCs w:val="false"/>
                <w:caps w:val="false"/>
                <w:color w:val="762F3B"/>
                <w:sz w:val="20"/>
                <w:szCs w:val="20"/>
              </w:rPr>
              <w:t xml:space="preserve">Caitanya-caritāmṛta Madhya 18.10</w:t>
            </w:r>
          </w:p>
          <w:p>
            <w:pPr>
              <w:keepLines/>
              <w:spacing w:after="45" w:before="0" w:line="285" w:lineRule="auto"/>
            </w:pPr>
            <w:r>
              <w:drawing>
                <wp:inline distT="0" distB="0" distL="0" distR="0">
                  <wp:extent cx="5905500" cy="342900"/>
                  <wp:effectExtent t="0" r="0" b="0" l="0"/>
                  <wp:docPr id="1" name="CC Madhya 18.10 Bengali" descr="সেই কুণ্ডে যেই একবার করে স্নান । তাঁরে রাধা-সম ‘প্রেম’ কৃষ্ণ করে দান ॥ ১০ ॥" title="Bengali source text for Caitanya-caritāmṛta Madhya 1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42900"/>
                          </a:xfrm>
                          <a:prstGeom prst="rect">
                            <a:avLst/>
                          </a:prstGeom>
                        </pic:spPr>
                      </pic:pic>
                    </a:graphicData>
                  </a:graphic>
                </wp:inline>
              </w:drawing>
            </w:r>
          </w:p>
          <w:p>
            <w:pPr>
              <w:keepNext w:val="false"/>
              <w:keepLines/>
              <w:spacing w:after="55" w:before="0" w:line="275" w:lineRule="auto"/>
            </w:pPr>
            <w:r>
              <w:rPr>
                <w:rFonts w:ascii="Georgia" w:cs="Georgia" w:eastAsia="Georgia" w:hAnsi="Georgia"/>
                <w:b w:val="false"/>
                <w:bCs w:val="false"/>
                <w:i/>
                <w:iCs/>
                <w:caps w:val="false"/>
                <w:color w:val="28231F"/>
                <w:sz w:val="19"/>
                <w:szCs w:val="19"/>
              </w:rPr>
              <w:t xml:space="preserve">sei kuṇḍe yei eka-bāra kare snāna / tāṅre rādhā-sama ‘prema’ kṛṣṇa kare dāna</w:t>
            </w:r>
          </w:p>
          <w:p>
            <w:pPr>
              <w:keepNext w:val="false"/>
              <w:keepLines/>
              <w:spacing w:after="45" w:before="0" w:line="280" w:lineRule="auto"/>
            </w:pPr>
            <w:r>
              <w:rPr>
                <w:rFonts w:ascii="Calibri" w:cs="Calibri" w:eastAsia="Calibri" w:hAnsi="Calibri"/>
                <w:b w:val="false"/>
                <w:bCs w:val="false"/>
                <w:i w:val="false"/>
                <w:iCs w:val="false"/>
                <w:caps w:val="false"/>
                <w:color w:val="28231F"/>
                <w:sz w:val="19"/>
                <w:szCs w:val="19"/>
              </w:rPr>
              <w:t xml:space="preserve">To one who bathes in that kuṇḍa even once, Kṛṣṇa gives prema like Rādhā’s.</w:t>
            </w:r>
          </w:p>
          <w:p>
            <w:pPr>
              <w:keepNext w:val="false"/>
              <w:keepLines/>
              <w:spacing w:after="0" w:before="0" w:line="250" w:lineRule="auto"/>
            </w:pPr>
            <w:r>
              <w:rPr>
                <w:rFonts w:ascii="Calibri" w:cs="Calibri" w:eastAsia="Calibri" w:hAnsi="Calibri"/>
                <w:b/>
                <w:bCs/>
                <w:i w:val="false"/>
                <w:iCs w:val="false"/>
                <w:caps w:val="false"/>
                <w:color w:val="762F3B"/>
                <w:sz w:val="17"/>
                <w:szCs w:val="17"/>
              </w:rPr>
              <w:t xml:space="preserve">Research use — </w:t>
            </w:r>
            <w:r>
              <w:rPr>
                <w:rFonts w:ascii="Calibri" w:cs="Calibri" w:eastAsia="Calibri" w:hAnsi="Calibri"/>
                <w:b w:val="false"/>
                <w:bCs w:val="false"/>
                <w:i w:val="false"/>
                <w:iCs w:val="false"/>
                <w:caps w:val="false"/>
                <w:color w:val="6E645D"/>
                <w:sz w:val="17"/>
                <w:szCs w:val="17"/>
              </w:rPr>
              <w:t xml:space="preserve">The promised fruit is prema, not generic merit. RS-03 retains RS-02’s pastoral control: the verse belongs within praise, shelter, remembrance, and devotional orientation.</w:t>
            </w:r>
          </w:p>
        </w:tc>
      </w:tr>
    </w:tbl>
    <w:p>
      <w:pPr>
        <w:keepNext w:val="false"/>
        <w:keepLines/>
        <w:spacing w:after="65" w:before="0" w:line="40" w:lineRule="auto"/>
      </w:pPr>
      <w:r>
        <w:rPr>
          <w:rFonts w:ascii="Calibri" w:cs="Calibri" w:eastAsia="Calibri" w:hAnsi="Calibri"/>
          <w:b w:val="false"/>
          <w:bCs w:val="false"/>
          <w:i w:val="false"/>
          <w:iCs w:val="false"/>
          <w:caps w:val="false"/>
          <w:color w:val="28231F"/>
          <w:sz w:val="22"/>
          <w:szCs w:val="22"/>
        </w:rPr>
        <w:t xml:space="preserve"/>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45" w:before="0" w:line="300" w:lineRule="auto"/>
            </w:pPr>
            <w:r>
              <w:rPr>
                <w:rFonts w:ascii="Calibri" w:cs="Calibri" w:eastAsia="Calibri" w:hAnsi="Calibri"/>
                <w:b/>
                <w:bCs/>
                <w:i w:val="false"/>
                <w:iCs w:val="false"/>
                <w:caps w:val="false"/>
                <w:color w:val="762F3B"/>
                <w:sz w:val="20"/>
                <w:szCs w:val="20"/>
              </w:rPr>
              <w:t xml:space="preserve">Caitanya-caritāmṛta Madhya 18.11</w:t>
            </w:r>
          </w:p>
          <w:p>
            <w:pPr>
              <w:keepLines/>
              <w:spacing w:after="45" w:before="0" w:line="285" w:lineRule="auto"/>
            </w:pPr>
            <w:r>
              <w:drawing>
                <wp:inline distT="0" distB="0" distL="0" distR="0">
                  <wp:extent cx="5905500" cy="342900"/>
                  <wp:effectExtent t="0" r="0" b="0" l="0"/>
                  <wp:docPr id="1" name="CC Madhya 18.11 Bengali" descr="কুণ্ডের ‘মাধুরী’ — যেন রাধার ‘মধুরিমা’ । কুণ্ডের ‘মহিমা’ — যেন রাধার ‘মহিমা’ ॥ ১১ ॥" title="Bengali source text for Caitanya-caritāmṛta Madhya 1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42900"/>
                          </a:xfrm>
                          <a:prstGeom prst="rect">
                            <a:avLst/>
                          </a:prstGeom>
                        </pic:spPr>
                      </pic:pic>
                    </a:graphicData>
                  </a:graphic>
                </wp:inline>
              </w:drawing>
            </w:r>
          </w:p>
          <w:p>
            <w:pPr>
              <w:keepNext w:val="false"/>
              <w:keepLines/>
              <w:spacing w:after="55" w:before="0" w:line="275" w:lineRule="auto"/>
            </w:pPr>
            <w:r>
              <w:rPr>
                <w:rFonts w:ascii="Georgia" w:cs="Georgia" w:eastAsia="Georgia" w:hAnsi="Georgia"/>
                <w:b w:val="false"/>
                <w:bCs w:val="false"/>
                <w:i/>
                <w:iCs/>
                <w:caps w:val="false"/>
                <w:color w:val="28231F"/>
                <w:sz w:val="19"/>
                <w:szCs w:val="19"/>
              </w:rPr>
              <w:t xml:space="preserve">kuṇḍera ‘mādhurī’ — yena rādhāra ‘madhurimā’ / kuṇḍera ‘mahimā’ — yena rādhāra ‘mahimā’</w:t>
            </w:r>
          </w:p>
          <w:p>
            <w:pPr>
              <w:keepNext w:val="false"/>
              <w:keepLines/>
              <w:spacing w:after="45" w:before="0" w:line="280" w:lineRule="auto"/>
            </w:pPr>
            <w:r>
              <w:rPr>
                <w:rFonts w:ascii="Calibri" w:cs="Calibri" w:eastAsia="Calibri" w:hAnsi="Calibri"/>
                <w:b w:val="false"/>
                <w:bCs w:val="false"/>
                <w:i w:val="false"/>
                <w:iCs w:val="false"/>
                <w:caps w:val="false"/>
                <w:color w:val="28231F"/>
                <w:sz w:val="19"/>
                <w:szCs w:val="19"/>
              </w:rPr>
              <w:t xml:space="preserve">The sweetness of the kuṇḍa is like Rādhā’s sweetness; the greatness of the kuṇḍa is like Rādhā’s greatness.</w:t>
            </w:r>
          </w:p>
          <w:p>
            <w:pPr>
              <w:keepNext w:val="false"/>
              <w:keepLines/>
              <w:spacing w:after="0" w:before="0" w:line="250" w:lineRule="auto"/>
            </w:pPr>
            <w:r>
              <w:rPr>
                <w:rFonts w:ascii="Calibri" w:cs="Calibri" w:eastAsia="Calibri" w:hAnsi="Calibri"/>
                <w:b/>
                <w:bCs/>
                <w:i w:val="false"/>
                <w:iCs w:val="false"/>
                <w:caps w:val="false"/>
                <w:color w:val="762F3B"/>
                <w:sz w:val="17"/>
                <w:szCs w:val="17"/>
              </w:rPr>
              <w:t xml:space="preserve">Research use — </w:t>
            </w:r>
            <w:r>
              <w:rPr>
                <w:rFonts w:ascii="Calibri" w:cs="Calibri" w:eastAsia="Calibri" w:hAnsi="Calibri"/>
                <w:b w:val="false"/>
                <w:bCs w:val="false"/>
                <w:i w:val="false"/>
                <w:iCs w:val="false"/>
                <w:caps w:val="false"/>
                <w:color w:val="6E645D"/>
                <w:sz w:val="17"/>
                <w:szCs w:val="17"/>
              </w:rPr>
              <w:t xml:space="preserve">The lake is not judged by apparent size or development. Its sweetness and glory correspond to Rādhā.</w:t>
            </w:r>
          </w:p>
        </w:tc>
      </w:tr>
    </w:tbl>
    <w:p>
      <w:pPr>
        <w:spacing w:after="0" w:before="0"/>
      </w:pPr>
      <w:r>
        <w:br w:type="page"/>
      </w:r>
    </w:p>
    <w:p>
      <w:pPr>
        <w:pStyle w:val="Heading1"/>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13. Primary quotation packet — Sanskrit culmination and remembrance</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45" w:before="0" w:line="300" w:lineRule="auto"/>
            </w:pPr>
            <w:r>
              <w:rPr>
                <w:rFonts w:ascii="Calibri" w:cs="Calibri" w:eastAsia="Calibri" w:hAnsi="Calibri"/>
                <w:b/>
                <w:bCs/>
                <w:i w:val="false"/>
                <w:iCs w:val="false"/>
                <w:caps w:val="false"/>
                <w:color w:val="762F3B"/>
                <w:sz w:val="20"/>
                <w:szCs w:val="20"/>
              </w:rPr>
              <w:t xml:space="preserve">Caitanya-caritāmṛta Madhya 18.12</w:t>
            </w:r>
          </w:p>
          <w:p>
            <w:pPr>
              <w:keepLines/>
              <w:spacing w:after="45" w:before="0" w:line="285" w:lineRule="auto"/>
            </w:pPr>
            <w:r>
              <w:drawing>
                <wp:inline distT="0" distB="0" distL="0" distR="0">
                  <wp:extent cx="5905500" cy="657225"/>
                  <wp:effectExtent t="0" r="0" b="0" l="0"/>
                  <wp:docPr id="1" name="CC Madhya 18.12 Bengali" descr="শ্রীরাধেব হরেস্তদীয়সরসী প্রেষ্ঠাদ্ভুতৈঃ স্বৈর্গুণৈ- র্যস্যাং শ্রীযুত-মাধববেন্দুরনিশং প্রীত্যা তয়া ক্রীড়তি । প্রেমাস্মিন্ বত রাধিকেব লভতে যস্যাং সকৃৎ স্নানকৃৎ তস্যা বৈ মহিমা তথা মধুরিমা কেনাস্তু বর্ণ্যঃ ক্ষিতৌ ॥ ১২ ॥" title="Bengali source text for Caitanya-caritāmṛta Madhya 1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657225"/>
                          </a:xfrm>
                          <a:prstGeom prst="rect">
                            <a:avLst/>
                          </a:prstGeom>
                        </pic:spPr>
                      </pic:pic>
                    </a:graphicData>
                  </a:graphic>
                </wp:inline>
              </w:drawing>
            </w:r>
          </w:p>
          <w:p>
            <w:pPr>
              <w:keepNext w:val="false"/>
              <w:keepLines/>
              <w:spacing w:after="55" w:before="0" w:line="275" w:lineRule="auto"/>
            </w:pPr>
            <w:r>
              <w:rPr>
                <w:rFonts w:ascii="Georgia" w:cs="Georgia" w:eastAsia="Georgia" w:hAnsi="Georgia"/>
                <w:b w:val="false"/>
                <w:bCs w:val="false"/>
                <w:i/>
                <w:iCs/>
                <w:caps w:val="false"/>
                <w:color w:val="28231F"/>
                <w:sz w:val="19"/>
                <w:szCs w:val="19"/>
              </w:rPr>
              <w:t xml:space="preserve">śrī-rādheva hares tadīya-sarasī preṣṭhādbhutaiḥ svair guṇair / yasyāṁ śrī-yuta-mādhavendur aniśaṁ prītyā tayā krīḍati / premāsmin bata rādhikeva labhate yasyāṁ sakṛt snāna-kṛt / tasyā vai mahimā tathā madhurimā kenāstu varṇyaḥ kṣitau</w:t>
            </w:r>
          </w:p>
          <w:p>
            <w:pPr>
              <w:keepNext w:val="false"/>
              <w:keepLines/>
              <w:spacing w:after="45" w:before="0" w:line="280" w:lineRule="auto"/>
            </w:pPr>
            <w:r>
              <w:rPr>
                <w:rFonts w:ascii="Calibri" w:cs="Calibri" w:eastAsia="Calibri" w:hAnsi="Calibri"/>
                <w:b w:val="false"/>
                <w:bCs w:val="false"/>
                <w:i w:val="false"/>
                <w:iCs w:val="false"/>
                <w:caps w:val="false"/>
                <w:color w:val="28231F"/>
                <w:sz w:val="19"/>
                <w:szCs w:val="19"/>
              </w:rPr>
              <w:t xml:space="preserve">By its own wonderful qualities Her lake is as dear to Hari as Śrī Rādhā. There the moonlike, all-opulent Mādhava plays incessantly with Her in affection. One who bathes there even once obtains love for Him like Rādhikā’s. Who on earth can describe the lake’s greatness and sweetness?</w:t>
            </w:r>
          </w:p>
          <w:p>
            <w:pPr>
              <w:keepNext w:val="false"/>
              <w:keepLines/>
              <w:spacing w:after="0" w:before="0" w:line="250" w:lineRule="auto"/>
            </w:pPr>
            <w:r>
              <w:rPr>
                <w:rFonts w:ascii="Calibri" w:cs="Calibri" w:eastAsia="Calibri" w:hAnsi="Calibri"/>
                <w:b/>
                <w:bCs/>
                <w:i w:val="false"/>
                <w:iCs w:val="false"/>
                <w:caps w:val="false"/>
                <w:color w:val="762F3B"/>
                <w:sz w:val="17"/>
                <w:szCs w:val="17"/>
              </w:rPr>
              <w:t xml:space="preserve">Research use — </w:t>
            </w:r>
            <w:r>
              <w:rPr>
                <w:rFonts w:ascii="Calibri" w:cs="Calibri" w:eastAsia="Calibri" w:hAnsi="Calibri"/>
                <w:b w:val="false"/>
                <w:bCs w:val="false"/>
                <w:i w:val="false"/>
                <w:iCs w:val="false"/>
                <w:caps w:val="false"/>
                <w:color w:val="6E645D"/>
                <w:sz w:val="17"/>
                <w:szCs w:val="17"/>
              </w:rPr>
              <w:t xml:space="preserve">This is Govinda-līlāmṛta 7.102 in the Caitanya-caritāmṛta witness. It unites dearness, ceaseless play, bathing, prema, glory, and sweetness; its variants are preserved separately below.</w:t>
            </w:r>
          </w:p>
        </w:tc>
      </w:tr>
    </w:tbl>
    <w:p>
      <w:pPr>
        <w:keepNext w:val="false"/>
        <w:keepLines/>
        <w:spacing w:after="65" w:before="0" w:line="40" w:lineRule="auto"/>
      </w:pPr>
      <w:r>
        <w:rPr>
          <w:rFonts w:ascii="Calibri" w:cs="Calibri" w:eastAsia="Calibri" w:hAnsi="Calibri"/>
          <w:b w:val="false"/>
          <w:bCs w:val="false"/>
          <w:i w:val="false"/>
          <w:iCs w:val="false"/>
          <w:caps w:val="false"/>
          <w:color w:val="28231F"/>
          <w:sz w:val="22"/>
          <w:szCs w:val="22"/>
        </w:rPr>
        <w:t xml:space="preserve"/>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45" w:before="0" w:line="300" w:lineRule="auto"/>
            </w:pPr>
            <w:r>
              <w:rPr>
                <w:rFonts w:ascii="Calibri" w:cs="Calibri" w:eastAsia="Calibri" w:hAnsi="Calibri"/>
                <w:b/>
                <w:bCs/>
                <w:i w:val="false"/>
                <w:iCs w:val="false"/>
                <w:caps w:val="false"/>
                <w:color w:val="762F3B"/>
                <w:sz w:val="20"/>
                <w:szCs w:val="20"/>
              </w:rPr>
              <w:t xml:space="preserve">Caitanya-caritāmṛta Madhya 18.13</w:t>
            </w:r>
          </w:p>
          <w:p>
            <w:pPr>
              <w:keepLines/>
              <w:spacing w:after="45" w:before="0" w:line="285" w:lineRule="auto"/>
            </w:pPr>
            <w:r>
              <w:drawing>
                <wp:inline distT="0" distB="0" distL="0" distR="0">
                  <wp:extent cx="5905500" cy="342900"/>
                  <wp:effectExtent t="0" r="0" b="0" l="0"/>
                  <wp:docPr id="1" name="CC Madhya 18.13 Bengali" descr="এইমত স্তুতি করে প্রেমাবিষ্ট হঞা । তীরে নৃত্য করে কুণ্ডলীলা সঙরিয়া ॥ ১৩ ॥" title="Bengali source text for Caitanya-caritāmṛta Madhya 1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42900"/>
                          </a:xfrm>
                          <a:prstGeom prst="rect">
                            <a:avLst/>
                          </a:prstGeom>
                        </pic:spPr>
                      </pic:pic>
                    </a:graphicData>
                  </a:graphic>
                </wp:inline>
              </w:drawing>
            </w:r>
          </w:p>
          <w:p>
            <w:pPr>
              <w:keepNext w:val="false"/>
              <w:keepLines/>
              <w:spacing w:after="55" w:before="0" w:line="275" w:lineRule="auto"/>
            </w:pPr>
            <w:r>
              <w:rPr>
                <w:rFonts w:ascii="Georgia" w:cs="Georgia" w:eastAsia="Georgia" w:hAnsi="Georgia"/>
                <w:b w:val="false"/>
                <w:bCs w:val="false"/>
                <w:i/>
                <w:iCs/>
                <w:caps w:val="false"/>
                <w:color w:val="28231F"/>
                <w:sz w:val="19"/>
                <w:szCs w:val="19"/>
              </w:rPr>
              <w:t xml:space="preserve">ei-mata stuti kare premāviṣṭa hañā / tīre nṛtya kare kuṇḍa-līlā saṅariyā</w:t>
            </w:r>
          </w:p>
          <w:p>
            <w:pPr>
              <w:keepNext w:val="false"/>
              <w:keepLines/>
              <w:spacing w:after="45" w:before="0" w:line="280" w:lineRule="auto"/>
            </w:pPr>
            <w:r>
              <w:rPr>
                <w:rFonts w:ascii="Calibri" w:cs="Calibri" w:eastAsia="Calibri" w:hAnsi="Calibri"/>
                <w:b w:val="false"/>
                <w:bCs w:val="false"/>
                <w:i w:val="false"/>
                <w:iCs w:val="false"/>
                <w:caps w:val="false"/>
                <w:color w:val="28231F"/>
                <w:sz w:val="19"/>
                <w:szCs w:val="19"/>
              </w:rPr>
              <w:t xml:space="preserve">Having praised in this way and become overwhelmed with prema, He danced on the bank while remembering the kuṇḍa-līlā.</w:t>
            </w:r>
          </w:p>
          <w:p>
            <w:pPr>
              <w:keepNext w:val="false"/>
              <w:keepLines/>
              <w:spacing w:after="0" w:before="0" w:line="250" w:lineRule="auto"/>
            </w:pPr>
            <w:r>
              <w:rPr>
                <w:rFonts w:ascii="Calibri" w:cs="Calibri" w:eastAsia="Calibri" w:hAnsi="Calibri"/>
                <w:b/>
                <w:bCs/>
                <w:i w:val="false"/>
                <w:iCs w:val="false"/>
                <w:caps w:val="false"/>
                <w:color w:val="762F3B"/>
                <w:sz w:val="17"/>
                <w:szCs w:val="17"/>
              </w:rPr>
              <w:t xml:space="preserve">Research use — </w:t>
            </w:r>
            <w:r>
              <w:rPr>
                <w:rFonts w:ascii="Calibri" w:cs="Calibri" w:eastAsia="Calibri" w:hAnsi="Calibri"/>
                <w:b w:val="false"/>
                <w:bCs w:val="false"/>
                <w:i w:val="false"/>
                <w:iCs w:val="false"/>
                <w:caps w:val="false"/>
                <w:color w:val="6E645D"/>
                <w:sz w:val="17"/>
                <w:szCs w:val="17"/>
              </w:rPr>
              <w:t xml:space="preserve">Praise becomes remembrance, and remembrance becomes dance. The place is revealed through embodied līlā-smaraṇa.</w:t>
            </w:r>
          </w:p>
        </w:tc>
      </w:tr>
    </w:tbl>
    <w:p>
      <w:pPr>
        <w:spacing w:after="0" w:before="0"/>
      </w:pPr>
      <w:r>
        <w:br w:type="page"/>
      </w:r>
    </w:p>
    <w:p>
      <w:pPr>
        <w:pStyle w:val="Heading1"/>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14. Primary quotation packet — earth and Govardhana handoff</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45" w:before="0" w:line="300" w:lineRule="auto"/>
            </w:pPr>
            <w:r>
              <w:rPr>
                <w:rFonts w:ascii="Calibri" w:cs="Calibri" w:eastAsia="Calibri" w:hAnsi="Calibri"/>
                <w:b/>
                <w:bCs/>
                <w:i w:val="false"/>
                <w:iCs w:val="false"/>
                <w:caps w:val="false"/>
                <w:color w:val="762F3B"/>
                <w:sz w:val="20"/>
                <w:szCs w:val="20"/>
              </w:rPr>
              <w:t xml:space="preserve">Caitanya-caritāmṛta Madhya 18.14</w:t>
            </w:r>
          </w:p>
          <w:p>
            <w:pPr>
              <w:keepLines/>
              <w:spacing w:after="45" w:before="0" w:line="285" w:lineRule="auto"/>
            </w:pPr>
            <w:r>
              <w:drawing>
                <wp:inline distT="0" distB="0" distL="0" distR="0">
                  <wp:extent cx="5905500" cy="342900"/>
                  <wp:effectExtent t="0" r="0" b="0" l="0"/>
                  <wp:docPr id="1" name="CC Madhya 18.14 Bengali" descr="কুণ্ডের মৃত্তিকা লঞা তিলক করিল । ভট্টাচার্য-দ্বারা মৃত্তিকা সঙ্গে করি’ লৈল ॥ ১৪ ॥" title="Bengali source text for Caitanya-caritāmṛta Madhya 1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42900"/>
                          </a:xfrm>
                          <a:prstGeom prst="rect">
                            <a:avLst/>
                          </a:prstGeom>
                        </pic:spPr>
                      </pic:pic>
                    </a:graphicData>
                  </a:graphic>
                </wp:inline>
              </w:drawing>
            </w:r>
          </w:p>
          <w:p>
            <w:pPr>
              <w:keepNext w:val="false"/>
              <w:keepLines/>
              <w:spacing w:after="55" w:before="0" w:line="275" w:lineRule="auto"/>
            </w:pPr>
            <w:r>
              <w:rPr>
                <w:rFonts w:ascii="Georgia" w:cs="Georgia" w:eastAsia="Georgia" w:hAnsi="Georgia"/>
                <w:b w:val="false"/>
                <w:bCs w:val="false"/>
                <w:i/>
                <w:iCs/>
                <w:caps w:val="false"/>
                <w:color w:val="28231F"/>
                <w:sz w:val="19"/>
                <w:szCs w:val="19"/>
              </w:rPr>
              <w:t xml:space="preserve">kuṇḍera mṛttikā lañā tilaka karila / bhaṭṭācārya-dvārā mṛttikā saṅge kari’ laila</w:t>
            </w:r>
          </w:p>
          <w:p>
            <w:pPr>
              <w:keepNext w:val="false"/>
              <w:keepLines/>
              <w:spacing w:after="45" w:before="0" w:line="280" w:lineRule="auto"/>
            </w:pPr>
            <w:r>
              <w:rPr>
                <w:rFonts w:ascii="Calibri" w:cs="Calibri" w:eastAsia="Calibri" w:hAnsi="Calibri"/>
                <w:b w:val="false"/>
                <w:bCs w:val="false"/>
                <w:i w:val="false"/>
                <w:iCs w:val="false"/>
                <w:caps w:val="false"/>
                <w:color w:val="28231F"/>
                <w:sz w:val="19"/>
                <w:szCs w:val="19"/>
              </w:rPr>
              <w:t xml:space="preserve">Taking earth from the kuṇḍa, He made tilaka; through Bhaṭṭācārya He also took some of that earth with Him.</w:t>
            </w:r>
          </w:p>
          <w:p>
            <w:pPr>
              <w:keepNext w:val="false"/>
              <w:keepLines/>
              <w:spacing w:after="0" w:before="0" w:line="250" w:lineRule="auto"/>
            </w:pPr>
            <w:r>
              <w:rPr>
                <w:rFonts w:ascii="Calibri" w:cs="Calibri" w:eastAsia="Calibri" w:hAnsi="Calibri"/>
                <w:b/>
                <w:bCs/>
                <w:i w:val="false"/>
                <w:iCs w:val="false"/>
                <w:caps w:val="false"/>
                <w:color w:val="762F3B"/>
                <w:sz w:val="17"/>
                <w:szCs w:val="17"/>
              </w:rPr>
              <w:t xml:space="preserve">Research use — </w:t>
            </w:r>
            <w:r>
              <w:rPr>
                <w:rFonts w:ascii="Calibri" w:cs="Calibri" w:eastAsia="Calibri" w:hAnsi="Calibri"/>
                <w:b w:val="false"/>
                <w:bCs w:val="false"/>
                <w:i w:val="false"/>
                <w:iCs w:val="false"/>
                <w:caps w:val="false"/>
                <w:color w:val="6E645D"/>
                <w:sz w:val="17"/>
                <w:szCs w:val="17"/>
              </w:rPr>
              <w:t xml:space="preserve">Earth becomes a portable form of honoring and remembering the tīrtha. The verse does not establish a modern sales or collection practice.</w:t>
            </w:r>
          </w:p>
        </w:tc>
      </w:tr>
    </w:tbl>
    <w:p>
      <w:pPr>
        <w:keepNext w:val="false"/>
        <w:keepLines/>
        <w:spacing w:after="65" w:before="0" w:line="40" w:lineRule="auto"/>
      </w:pPr>
      <w:r>
        <w:rPr>
          <w:rFonts w:ascii="Calibri" w:cs="Calibri" w:eastAsia="Calibri" w:hAnsi="Calibri"/>
          <w:b w:val="false"/>
          <w:bCs w:val="false"/>
          <w:i w:val="false"/>
          <w:iCs w:val="false"/>
          <w:caps w:val="false"/>
          <w:color w:val="28231F"/>
          <w:sz w:val="22"/>
          <w:szCs w:val="22"/>
        </w:rPr>
        <w:t xml:space="preserve"/>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45" w:before="0" w:line="300" w:lineRule="auto"/>
            </w:pPr>
            <w:r>
              <w:rPr>
                <w:rFonts w:ascii="Calibri" w:cs="Calibri" w:eastAsia="Calibri" w:hAnsi="Calibri"/>
                <w:b/>
                <w:bCs/>
                <w:i w:val="false"/>
                <w:iCs w:val="false"/>
                <w:caps w:val="false"/>
                <w:color w:val="762F3B"/>
                <w:sz w:val="20"/>
                <w:szCs w:val="20"/>
              </w:rPr>
              <w:t xml:space="preserve">Caitanya-caritāmṛta Madhya 18.15</w:t>
            </w:r>
          </w:p>
          <w:p>
            <w:pPr>
              <w:keepLines/>
              <w:spacing w:after="45" w:before="0" w:line="285" w:lineRule="auto"/>
            </w:pPr>
            <w:r>
              <w:drawing>
                <wp:inline distT="0" distB="0" distL="0" distR="0">
                  <wp:extent cx="5905500" cy="342900"/>
                  <wp:effectExtent t="0" r="0" b="0" l="0"/>
                  <wp:docPr id="1" name="CC Madhya 18.15 Bengali" descr="তবে চলি’ আইলা প্রভু ‘সুমনঃ-সরোবর’ । তাহাঁ ‘গোবর্ধন’ দেখি’ হইলা বিহ্বল ॥ ১৫ ॥" title="Bengali source text for Caitanya-caritāmṛta Madhya 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42900"/>
                          </a:xfrm>
                          <a:prstGeom prst="rect">
                            <a:avLst/>
                          </a:prstGeom>
                        </pic:spPr>
                      </pic:pic>
                    </a:graphicData>
                  </a:graphic>
                </wp:inline>
              </w:drawing>
            </w:r>
          </w:p>
          <w:p>
            <w:pPr>
              <w:keepNext w:val="false"/>
              <w:keepLines/>
              <w:spacing w:after="55" w:before="0" w:line="275" w:lineRule="auto"/>
            </w:pPr>
            <w:r>
              <w:rPr>
                <w:rFonts w:ascii="Georgia" w:cs="Georgia" w:eastAsia="Georgia" w:hAnsi="Georgia"/>
                <w:b w:val="false"/>
                <w:bCs w:val="false"/>
                <w:i/>
                <w:iCs/>
                <w:caps w:val="false"/>
                <w:color w:val="28231F"/>
                <w:sz w:val="19"/>
                <w:szCs w:val="19"/>
              </w:rPr>
              <w:t xml:space="preserve">tabe cali’ āilā prabhu ‘sumanaḥ-sarovara’ / tāhāṅ ‘govardhana’ dekhi’ ha-ilā vihvala</w:t>
            </w:r>
          </w:p>
          <w:p>
            <w:pPr>
              <w:keepNext w:val="false"/>
              <w:keepLines/>
              <w:spacing w:after="45" w:before="0" w:line="280" w:lineRule="auto"/>
            </w:pPr>
            <w:r>
              <w:rPr>
                <w:rFonts w:ascii="Calibri" w:cs="Calibri" w:eastAsia="Calibri" w:hAnsi="Calibri"/>
                <w:b w:val="false"/>
                <w:bCs w:val="false"/>
                <w:i w:val="false"/>
                <w:iCs w:val="false"/>
                <w:caps w:val="false"/>
                <w:color w:val="28231F"/>
                <w:sz w:val="19"/>
                <w:szCs w:val="19"/>
              </w:rPr>
              <w:t xml:space="preserve">Then the Lord traveled to Sumanas-sarovara. Seeing Govardhana from there, He became overwhelmed.</w:t>
            </w:r>
          </w:p>
          <w:p>
            <w:pPr>
              <w:keepNext w:val="false"/>
              <w:keepLines/>
              <w:spacing w:after="0" w:before="0" w:line="250" w:lineRule="auto"/>
            </w:pPr>
            <w:r>
              <w:rPr>
                <w:rFonts w:ascii="Calibri" w:cs="Calibri" w:eastAsia="Calibri" w:hAnsi="Calibri"/>
                <w:b/>
                <w:bCs/>
                <w:i w:val="false"/>
                <w:iCs w:val="false"/>
                <w:caps w:val="false"/>
                <w:color w:val="762F3B"/>
                <w:sz w:val="17"/>
                <w:szCs w:val="17"/>
              </w:rPr>
              <w:t xml:space="preserve">Research use — </w:t>
            </w:r>
            <w:r>
              <w:rPr>
                <w:rFonts w:ascii="Calibri" w:cs="Calibri" w:eastAsia="Calibri" w:hAnsi="Calibri"/>
                <w:b w:val="false"/>
                <w:bCs w:val="false"/>
                <w:i w:val="false"/>
                <w:iCs w:val="false"/>
                <w:caps w:val="false"/>
                <w:color w:val="6E645D"/>
                <w:sz w:val="17"/>
                <w:szCs w:val="17"/>
              </w:rPr>
              <w:t xml:space="preserve">This is the narrative handoff from the Rādhā-kuṇḍa unit to the Govardhana unit. Precise modern localization of Sumanas-sarovara remains a separate geography question.</w:t>
            </w:r>
          </w:p>
        </w:tc>
      </w:tr>
    </w:tbl>
    <w:p>
      <w:pPr>
        <w:keepNext w:val="false"/>
        <w:keepLines/>
        <w:pBdr>
          <w:top w:val="single" w:color="B58A3A" w:sz="8"/>
          <w:bottom w:val="single" w:color="D6C7B6" w:sz="3"/>
          <w:left w:val="single" w:color="B58A3A" w:sz="8"/>
          <w:right w:val="single" w:color="D6C7B6" w:sz="3"/>
        </w:pBdr>
        <w:shd w:fill="E8EEF5" w:color="auto" w:val="clear"/>
        <w:spacing w:after="120" w:before="80" w:line="285" w:lineRule="auto"/>
        <w:ind w:left="180" w:right="180"/>
      </w:pPr>
      <w:r>
        <w:rPr>
          <w:rFonts w:ascii="Calibri" w:cs="Calibri" w:eastAsia="Calibri" w:hAnsi="Calibri"/>
          <w:b/>
          <w:bCs/>
          <w:i w:val="false"/>
          <w:iCs w:val="false"/>
          <w:caps w:val="false"/>
          <w:color w:val="762F3B"/>
          <w:sz w:val="19"/>
          <w:szCs w:val="19"/>
        </w:rPr>
        <w:t xml:space="preserve">QUOTATION DISCIPLINE  </w:t>
      </w:r>
      <w:r>
        <w:rPr>
          <w:rFonts w:ascii="Calibri" w:cs="Calibri" w:eastAsia="Calibri" w:hAnsi="Calibri"/>
          <w:b w:val="false"/>
          <w:bCs w:val="false"/>
          <w:i w:val="false"/>
          <w:iCs w:val="false"/>
          <w:caps w:val="false"/>
          <w:color w:val="28231F"/>
          <w:sz w:val="20"/>
          <w:szCs w:val="20"/>
        </w:rPr>
        <w:t xml:space="preserve">The packet preserves the primary sequence without importing the later Raghunātha restoration narrative, present ghāṭs, or local memorial structures.</w:t>
      </w:r>
    </w:p>
    <w:p>
      <w:pPr>
        <w:spacing w:after="0" w:before="0"/>
      </w:pPr>
      <w:r>
        <w:br w:type="page"/>
      </w:r>
    </w:p>
    <w:p>
      <w:pPr>
        <w:pStyle w:val="Heading1"/>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15. Embedded-source genealogy and variant record</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CC Madhya 18.8 and the Padma Purāṇa / Mathurā-māhātmya stream</w:t>
      </w:r>
    </w:p>
    <w:p>
      <w:pPr>
        <w:keepNext w:val="false"/>
        <w:keepLines/>
        <w:spacing w:after="120" w:before="0" w:line="300" w:lineRule="auto"/>
      </w:pPr>
      <w:r>
        <w:rPr>
          <w:rFonts w:ascii="Calibri" w:cs="Calibri" w:eastAsia="Calibri" w:hAnsi="Calibri"/>
          <w:b w:val="false"/>
          <w:bCs w:val="false"/>
          <w:i w:val="false"/>
          <w:iCs w:val="false"/>
          <w:caps w:val="false"/>
          <w:color w:val="28231F"/>
          <w:sz w:val="22"/>
          <w:szCs w:val="22"/>
        </w:rPr>
        <w:t xml:space="preserve">VedaBase identifies verse 18.8 as Padma Purāṇa. In the project’s searchable Mathurā-māhātmya witness, yathā rādhā priyā viṣṇos / tasyāḥ kuṇḍaṁ priyaṁ tathā forms the second half of verse 421, while sarva-gopīṣu saivaikā / viṣṇor atyanta-vallabhā opens verse 422. Caitanya-caritāmṛta combines these adjacent half-verses into one focused authority on Rādhā’s and Her lake’s unique dearness.</w:t>
      </w:r>
    </w:p>
    <w:p>
      <w:pPr>
        <w:keepNext w:val="false"/>
        <w:keepLines/>
        <w:pBdr>
          <w:top w:val="single" w:color="B58A3A" w:sz="8"/>
          <w:bottom w:val="single" w:color="D6C7B6" w:sz="3"/>
          <w:left w:val="single" w:color="B58A3A" w:sz="8"/>
          <w:right w:val="single" w:color="D6C7B6" w:sz="3"/>
        </w:pBdr>
        <w:shd w:fill="E6F0E8" w:color="auto" w:val="clear"/>
        <w:spacing w:after="120" w:before="80" w:line="285" w:lineRule="auto"/>
        <w:ind w:left="180" w:right="180"/>
      </w:pPr>
      <w:r>
        <w:rPr>
          <w:rFonts w:ascii="Calibri" w:cs="Calibri" w:eastAsia="Calibri" w:hAnsi="Calibri"/>
          <w:b/>
          <w:bCs/>
          <w:i w:val="false"/>
          <w:iCs w:val="false"/>
          <w:caps w:val="false"/>
          <w:color w:val="762F3B"/>
          <w:sz w:val="19"/>
          <w:szCs w:val="19"/>
        </w:rPr>
        <w:t xml:space="preserve">RESEARCH SIGNIFICANCE  </w:t>
      </w:r>
      <w:r>
        <w:rPr>
          <w:rFonts w:ascii="Calibri" w:cs="Calibri" w:eastAsia="Calibri" w:hAnsi="Calibri"/>
          <w:b w:val="false"/>
          <w:bCs w:val="false"/>
          <w:i w:val="false"/>
          <w:iCs w:val="false"/>
          <w:caps w:val="false"/>
          <w:color w:val="28231F"/>
          <w:sz w:val="20"/>
          <w:szCs w:val="20"/>
        </w:rPr>
        <w:t xml:space="preserve">The quotation is not ornamental. Kṛṣṇadāsa’s Bengali proposition in verse 7 is immediately grounded in an older Sanskrit tīrtha-theology stream.</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CC Madhya 18.12 and Govinda-līlāmṛta 7.102</w:t>
      </w:r>
    </w:p>
    <w:p>
      <w:pPr>
        <w:keepNext w:val="false"/>
        <w:keepLines/>
        <w:spacing w:after="120" w:before="0" w:line="300" w:lineRule="auto"/>
      </w:pPr>
      <w:r>
        <w:rPr>
          <w:rFonts w:ascii="Calibri" w:cs="Calibri" w:eastAsia="Calibri" w:hAnsi="Calibri"/>
          <w:b w:val="false"/>
          <w:bCs w:val="false"/>
          <w:i w:val="false"/>
          <w:iCs w:val="false"/>
          <w:caps w:val="false"/>
          <w:color w:val="28231F"/>
          <w:sz w:val="22"/>
          <w:szCs w:val="22"/>
        </w:rPr>
        <w:t xml:space="preserve">VedaBase identifies verse 18.12 as Govinda-līlāmṛta 7.102. The checked project mūla and the Caitanya-caritāmṛta witness are closely related but not identical. RS-03 preserves the difference rather than silently standardizing one text to the other.</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200"/>
        <w:gridCol w:w="2200"/>
        <w:gridCol w:w="3660"/>
      </w:tblGrid>
      <w:tr>
        <w:trPr>
          <w:cantSplit/>
          <w:tblHeader/>
        </w:trPr>
        <w:tc>
          <w:tcPr>
            <w:tcW w:type="dxa" w:w="13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0" w:lineRule="auto"/>
            </w:pPr>
            <w:r>
              <w:rPr>
                <w:rFonts w:ascii="Calibri" w:cs="Calibri" w:eastAsia="Calibri" w:hAnsi="Calibri"/>
                <w:b/>
                <w:bCs/>
                <w:i w:val="false"/>
                <w:iCs w:val="false"/>
                <w:caps w:val="false"/>
                <w:color w:val="FFFFFF"/>
                <w:sz w:val="16"/>
                <w:szCs w:val="16"/>
              </w:rPr>
              <w:t xml:space="preserve">Location</w:t>
            </w:r>
          </w:p>
        </w:tc>
        <w:tc>
          <w:tcPr>
            <w:tcW w:type="dxa" w:w="22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0" w:lineRule="auto"/>
            </w:pPr>
            <w:r>
              <w:rPr>
                <w:rFonts w:ascii="Calibri" w:cs="Calibri" w:eastAsia="Calibri" w:hAnsi="Calibri"/>
                <w:b/>
                <w:bCs/>
                <w:i w:val="false"/>
                <w:iCs w:val="false"/>
                <w:caps w:val="false"/>
                <w:color w:val="FFFFFF"/>
                <w:sz w:val="16"/>
                <w:szCs w:val="16"/>
              </w:rPr>
              <w:t xml:space="preserve">CC Madhya 18.12</w:t>
            </w:r>
          </w:p>
        </w:tc>
        <w:tc>
          <w:tcPr>
            <w:tcW w:type="dxa" w:w="22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0" w:lineRule="auto"/>
            </w:pPr>
            <w:r>
              <w:rPr>
                <w:rFonts w:ascii="Calibri" w:cs="Calibri" w:eastAsia="Calibri" w:hAnsi="Calibri"/>
                <w:b/>
                <w:bCs/>
                <w:i w:val="false"/>
                <w:iCs w:val="false"/>
                <w:caps w:val="false"/>
                <w:color w:val="FFFFFF"/>
                <w:sz w:val="16"/>
                <w:szCs w:val="16"/>
              </w:rPr>
              <w:t xml:space="preserve">Project GL mūla 7.102</w:t>
            </w:r>
          </w:p>
        </w:tc>
        <w:tc>
          <w:tcPr>
            <w:tcW w:type="dxa" w:w="366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0" w:lineRule="auto"/>
            </w:pPr>
            <w:r>
              <w:rPr>
                <w:rFonts w:ascii="Calibri" w:cs="Calibri" w:eastAsia="Calibri" w:hAnsi="Calibri"/>
                <w:b/>
                <w:bCs/>
                <w:i w:val="false"/>
                <w:iCs w:val="false"/>
                <w:caps w:val="false"/>
                <w:color w:val="FFFFFF"/>
                <w:sz w:val="16"/>
                <w:szCs w:val="16"/>
              </w:rPr>
              <w:t xml:space="preserve">Ruling</w:t>
            </w:r>
          </w:p>
        </w:tc>
      </w:tr>
      <w:tr>
        <w:trPr>
          <w:cantSplit/>
        </w:trPr>
        <w:tc>
          <w:tcPr>
            <w:tcW w:type="dxa" w:w="13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Line 2</w:t>
            </w:r>
          </w:p>
        </w:tc>
        <w:tc>
          <w:tcPr>
            <w:tcW w:type="dxa" w:w="22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prītyā</w:t>
            </w:r>
          </w:p>
        </w:tc>
        <w:tc>
          <w:tcPr>
            <w:tcW w:type="dxa" w:w="22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premṇā</w:t>
            </w:r>
          </w:p>
        </w:tc>
        <w:tc>
          <w:tcPr>
            <w:tcW w:type="dxa" w:w="36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Affection/love wording differs; preserve each witness.</w:t>
            </w:r>
          </w:p>
        </w:tc>
      </w:tr>
      <w:tr>
        <w:trPr>
          <w:cantSplit/>
        </w:trPr>
        <w:tc>
          <w:tcPr>
            <w:tcW w:type="dxa" w:w="13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Line 3</w:t>
            </w:r>
          </w:p>
        </w:tc>
        <w:tc>
          <w:tcPr>
            <w:tcW w:type="dxa" w:w="22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yasyāṁ</w:t>
            </w:r>
          </w:p>
        </w:tc>
        <w:tc>
          <w:tcPr>
            <w:tcW w:type="dxa" w:w="22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yasmin</w:t>
            </w:r>
          </w:p>
        </w:tc>
        <w:tc>
          <w:tcPr>
            <w:tcW w:type="dxa" w:w="36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Locative relative form differs.</w:t>
            </w:r>
          </w:p>
        </w:tc>
      </w:tr>
      <w:tr>
        <w:trPr>
          <w:cantSplit/>
        </w:trPr>
        <w:tc>
          <w:tcPr>
            <w:tcW w:type="dxa" w:w="13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Line 4</w:t>
            </w:r>
          </w:p>
        </w:tc>
        <w:tc>
          <w:tcPr>
            <w:tcW w:type="dxa" w:w="22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tasyā vai</w:t>
            </w:r>
          </w:p>
        </w:tc>
        <w:tc>
          <w:tcPr>
            <w:tcW w:type="dxa" w:w="22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tat tasyā</w:t>
            </w:r>
          </w:p>
        </w:tc>
        <w:tc>
          <w:tcPr>
            <w:tcW w:type="dxa" w:w="36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Phrase differs; do not silently harmonize.</w:t>
            </w:r>
          </w:p>
        </w:tc>
      </w:tr>
    </w:tbl>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Kṛṣṇadāsa’s Bengali interpretive voice</w:t>
      </w:r>
    </w:p>
    <w:p>
      <w:pPr>
        <w:keepNext w:val="false"/>
        <w:keepLines/>
        <w:spacing w:after="120" w:before="0" w:line="300" w:lineRule="auto"/>
      </w:pPr>
      <w:r>
        <w:rPr>
          <w:rFonts w:ascii="Calibri" w:cs="Calibri" w:eastAsia="Calibri" w:hAnsi="Calibri"/>
          <w:b w:val="false"/>
          <w:bCs w:val="false"/>
          <w:i w:val="false"/>
          <w:iCs w:val="false"/>
          <w:caps w:val="false"/>
          <w:color w:val="28231F"/>
          <w:sz w:val="22"/>
          <w:szCs w:val="22"/>
        </w:rPr>
        <w:t xml:space="preserve">Verses 7 and 9–11 are not labeled as external quotations. They function as Kṛṣṇadāsa Kavirāja’s Bengali theological framing of Mahāprabhu’s praise, while verses 8 and 12 supply Sanskrit authorities. This alternating structure should remain visible in the eventual narrative.</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Witness chronology</w:t>
      </w:r>
    </w:p>
    <w:p>
      <w:pPr>
        <w:keepNext w:val="false"/>
        <w:keepLines/>
        <w:spacing w:after="120" w:before="0" w:line="300" w:lineRule="auto"/>
      </w:pPr>
      <w:r>
        <w:rPr>
          <w:rFonts w:ascii="Calibri" w:cs="Calibri" w:eastAsia="Calibri" w:hAnsi="Calibri"/>
          <w:b w:val="false"/>
          <w:bCs w:val="false"/>
          <w:i w:val="false"/>
          <w:iCs w:val="false"/>
          <w:caps w:val="false"/>
          <w:color w:val="28231F"/>
          <w:sz w:val="22"/>
          <w:szCs w:val="22"/>
        </w:rPr>
        <w:t xml:space="preserve">Caitanya-caritāmṛta Antya 20.157 dates completion of the work to 1537 Śaka (1615 CE) in Vṛndāvana. This dates the literary witness, not the visit itself, and does not prove a modern Rādhā-kuṇḍa composition site.</w:t>
      </w:r>
    </w:p>
    <w:p>
      <w:pPr>
        <w:spacing w:after="0" w:before="0"/>
      </w:pPr>
      <w:r>
        <w:br w:type="page"/>
      </w:r>
    </w:p>
    <w:p>
      <w:pPr>
        <w:pStyle w:val="Heading1"/>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16. Drafting protocol for the Story of Rādhā-kuṇḍa</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Narrative sequence</w:t>
      </w:r>
    </w:p>
    <w:p>
      <w:pPr>
        <w:pStyle w:val="ListParagraph"/>
        <w:numPr>
          <w:ilvl w:val="0"/>
          <w:numId w:val="3"/>
        </w:numPr>
        <w:spacing w:after="80" w:line="300" w:lineRule="auto"/>
      </w:pPr>
      <w:r>
        <w:rPr>
          <w:rFonts w:ascii="Calibri" w:cs="Calibri" w:eastAsia="Calibri" w:hAnsi="Calibri"/>
          <w:b w:val="false"/>
          <w:bCs w:val="false"/>
          <w:i w:val="false"/>
          <w:iCs w:val="false"/>
          <w:caps w:val="false"/>
          <w:color w:val="28231F"/>
          <w:sz w:val="21"/>
          <w:szCs w:val="21"/>
        </w:rPr>
        <w:t xml:space="preserve">Introduce Mahāprabhu already dancing through Vraja and arriving at Āriṭ-grāma.</w:t>
      </w:r>
    </w:p>
    <w:p>
      <w:pPr>
        <w:pStyle w:val="ListParagraph"/>
        <w:numPr>
          <w:ilvl w:val="0"/>
          <w:numId w:val="3"/>
        </w:numPr>
        <w:spacing w:after="80" w:line="300" w:lineRule="auto"/>
      </w:pPr>
      <w:r>
        <w:rPr>
          <w:rFonts w:ascii="Calibri" w:cs="Calibri" w:eastAsia="Calibri" w:hAnsi="Calibri"/>
          <w:b w:val="false"/>
          <w:bCs w:val="false"/>
          <w:i w:val="false"/>
          <w:iCs w:val="false"/>
          <w:caps w:val="false"/>
          <w:color w:val="28231F"/>
          <w:sz w:val="21"/>
          <w:szCs w:val="21"/>
        </w:rPr>
        <w:t xml:space="preserve">Let His return to outward awareness focus the narrative on the village and the forgotten tīrtha.</w:t>
      </w:r>
    </w:p>
    <w:p>
      <w:pPr>
        <w:pStyle w:val="ListParagraph"/>
        <w:numPr>
          <w:ilvl w:val="0"/>
          <w:numId w:val="3"/>
        </w:numPr>
        <w:spacing w:after="80" w:line="300" w:lineRule="auto"/>
      </w:pPr>
      <w:r>
        <w:rPr>
          <w:rFonts w:ascii="Calibri" w:cs="Calibri" w:eastAsia="Calibri" w:hAnsi="Calibri"/>
          <w:b w:val="false"/>
          <w:bCs w:val="false"/>
          <w:i w:val="false"/>
          <w:iCs w:val="false"/>
          <w:caps w:val="false"/>
          <w:color w:val="28231F"/>
          <w:sz w:val="21"/>
          <w:szCs w:val="21"/>
        </w:rPr>
        <w:t xml:space="preserve">Preserve the inquiry and the inability of both villagers and the accompanying brāhmaṇa to identify Rādhā-kuṇḍa.</w:t>
      </w:r>
    </w:p>
    <w:p>
      <w:pPr>
        <w:pStyle w:val="ListParagraph"/>
        <w:numPr>
          <w:ilvl w:val="0"/>
          <w:numId w:val="3"/>
        </w:numPr>
        <w:spacing w:after="80" w:line="300" w:lineRule="auto"/>
      </w:pPr>
      <w:r>
        <w:rPr>
          <w:rFonts w:ascii="Calibri" w:cs="Calibri" w:eastAsia="Calibri" w:hAnsi="Calibri"/>
          <w:b w:val="false"/>
          <w:bCs w:val="false"/>
          <w:i w:val="false"/>
          <w:iCs w:val="false"/>
          <w:caps w:val="false"/>
          <w:color w:val="28231F"/>
          <w:sz w:val="21"/>
          <w:szCs w:val="21"/>
        </w:rPr>
        <w:t xml:space="preserve">Describe the two paddy fields and little water without imposing the later monumental landscape.</w:t>
      </w:r>
    </w:p>
    <w:p>
      <w:pPr>
        <w:pStyle w:val="ListParagraph"/>
        <w:numPr>
          <w:ilvl w:val="0"/>
          <w:numId w:val="3"/>
        </w:numPr>
        <w:spacing w:after="80" w:line="300" w:lineRule="auto"/>
      </w:pPr>
      <w:r>
        <w:rPr>
          <w:rFonts w:ascii="Calibri" w:cs="Calibri" w:eastAsia="Calibri" w:hAnsi="Calibri"/>
          <w:b w:val="false"/>
          <w:bCs w:val="false"/>
          <w:i w:val="false"/>
          <w:iCs w:val="false"/>
          <w:caps w:val="false"/>
          <w:color w:val="28231F"/>
          <w:sz w:val="21"/>
          <w:szCs w:val="21"/>
        </w:rPr>
        <w:t xml:space="preserve">Name Mahāprabhu’s omniscience before describing His bath, so recognition is not reduced to guesswork.</w:t>
      </w:r>
    </w:p>
    <w:p>
      <w:pPr>
        <w:pStyle w:val="ListParagraph"/>
        <w:numPr>
          <w:ilvl w:val="0"/>
          <w:numId w:val="3"/>
        </w:numPr>
        <w:spacing w:after="80" w:line="300" w:lineRule="auto"/>
      </w:pPr>
      <w:r>
        <w:rPr>
          <w:rFonts w:ascii="Calibri" w:cs="Calibri" w:eastAsia="Calibri" w:hAnsi="Calibri"/>
          <w:b w:val="false"/>
          <w:bCs w:val="false"/>
          <w:i w:val="false"/>
          <w:iCs w:val="false"/>
          <w:caps w:val="false"/>
          <w:color w:val="28231F"/>
          <w:sz w:val="21"/>
          <w:szCs w:val="21"/>
        </w:rPr>
        <w:t xml:space="preserve">Allow the villagers’ astonishment to mark the public disclosure.</w:t>
      </w:r>
    </w:p>
    <w:p>
      <w:pPr>
        <w:pStyle w:val="ListParagraph"/>
        <w:numPr>
          <w:ilvl w:val="0"/>
          <w:numId w:val="3"/>
        </w:numPr>
        <w:spacing w:after="80" w:line="300" w:lineRule="auto"/>
      </w:pPr>
      <w:r>
        <w:rPr>
          <w:rFonts w:ascii="Calibri" w:cs="Calibri" w:eastAsia="Calibri" w:hAnsi="Calibri"/>
          <w:b w:val="false"/>
          <w:bCs w:val="false"/>
          <w:i w:val="false"/>
          <w:iCs w:val="false"/>
          <w:caps w:val="false"/>
          <w:color w:val="28231F"/>
          <w:sz w:val="21"/>
          <w:szCs w:val="21"/>
        </w:rPr>
        <w:t xml:space="preserve">Give the praise unit its full structure: dearness, Sanskrit authority, nitya-līlā, bathing/prema, sweetness/glory, and GL 7.102.</w:t>
      </w:r>
    </w:p>
    <w:p>
      <w:pPr>
        <w:pStyle w:val="ListParagraph"/>
        <w:numPr>
          <w:ilvl w:val="0"/>
          <w:numId w:val="3"/>
        </w:numPr>
        <w:spacing w:after="80" w:line="300" w:lineRule="auto"/>
      </w:pPr>
      <w:r>
        <w:rPr>
          <w:rFonts w:ascii="Calibri" w:cs="Calibri" w:eastAsia="Calibri" w:hAnsi="Calibri"/>
          <w:b w:val="false"/>
          <w:bCs w:val="false"/>
          <w:i w:val="false"/>
          <w:iCs w:val="false"/>
          <w:caps w:val="false"/>
          <w:color w:val="28231F"/>
          <w:sz w:val="21"/>
          <w:szCs w:val="21"/>
        </w:rPr>
        <w:t xml:space="preserve">Move from praise into remembrance and dance; do not omit kuṇḍa-līlā-smaraṇa.</w:t>
      </w:r>
    </w:p>
    <w:p>
      <w:pPr>
        <w:pStyle w:val="ListParagraph"/>
        <w:numPr>
          <w:ilvl w:val="0"/>
          <w:numId w:val="3"/>
        </w:numPr>
        <w:spacing w:after="80" w:line="300" w:lineRule="auto"/>
      </w:pPr>
      <w:r>
        <w:rPr>
          <w:rFonts w:ascii="Calibri" w:cs="Calibri" w:eastAsia="Calibri" w:hAnsi="Calibri"/>
          <w:b w:val="false"/>
          <w:bCs w:val="false"/>
          <w:i w:val="false"/>
          <w:iCs w:val="false"/>
          <w:caps w:val="false"/>
          <w:color w:val="28231F"/>
          <w:sz w:val="21"/>
          <w:szCs w:val="21"/>
        </w:rPr>
        <w:t xml:space="preserve">Include earth-tilaka and carried earth as the final embodied response at the site.</w:t>
      </w:r>
    </w:p>
    <w:p>
      <w:pPr>
        <w:pStyle w:val="ListParagraph"/>
        <w:numPr>
          <w:ilvl w:val="0"/>
          <w:numId w:val="3"/>
        </w:numPr>
        <w:spacing w:after="80" w:line="300" w:lineRule="auto"/>
      </w:pPr>
      <w:r>
        <w:rPr>
          <w:rFonts w:ascii="Calibri" w:cs="Calibri" w:eastAsia="Calibri" w:hAnsi="Calibri"/>
          <w:b w:val="false"/>
          <w:bCs w:val="false"/>
          <w:i w:val="false"/>
          <w:iCs w:val="false"/>
          <w:caps w:val="false"/>
          <w:color w:val="28231F"/>
          <w:sz w:val="21"/>
          <w:szCs w:val="21"/>
        </w:rPr>
        <w:t xml:space="preserve">Close with Sumanas-sarovara and the first sight of Govardhana.</w:t>
      </w:r>
    </w:p>
    <w:p>
      <w:pPr>
        <w:spacing w:after="0" w:before="0"/>
      </w:pPr>
      <w:r>
        <w:br w:type="page"/>
      </w:r>
    </w:p>
    <w:p>
      <w:pPr>
        <w:pStyle w:val="Heading1"/>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17. Language controls and exclusions</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Preferred language</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060"/>
      </w:tblGrid>
      <w:tr>
        <w:trPr>
          <w:cantSplit/>
          <w:tblHeader/>
        </w:trPr>
        <w:tc>
          <w:tcPr>
            <w:tcW w:type="dxa" w:w="33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0" w:lineRule="auto"/>
            </w:pPr>
            <w:r>
              <w:rPr>
                <w:rFonts w:ascii="Calibri" w:cs="Calibri" w:eastAsia="Calibri" w:hAnsi="Calibri"/>
                <w:b/>
                <w:bCs/>
                <w:i w:val="false"/>
                <w:iCs w:val="false"/>
                <w:caps w:val="false"/>
                <w:color w:val="FFFFFF"/>
                <w:sz w:val="16"/>
                <w:szCs w:val="16"/>
              </w:rPr>
              <w:t xml:space="preserve">Instead of</w:t>
            </w:r>
          </w:p>
        </w:tc>
        <w:tc>
          <w:tcPr>
            <w:tcW w:type="dxa" w:w="606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0" w:lineRule="auto"/>
            </w:pPr>
            <w:r>
              <w:rPr>
                <w:rFonts w:ascii="Calibri" w:cs="Calibri" w:eastAsia="Calibri" w:hAnsi="Calibri"/>
                <w:b/>
                <w:bCs/>
                <w:i w:val="false"/>
                <w:iCs w:val="false"/>
                <w:caps w:val="false"/>
                <w:color w:val="FFFFFF"/>
                <w:sz w:val="16"/>
                <w:szCs w:val="16"/>
              </w:rPr>
              <w:t xml:space="preserve">Prefer</w:t>
            </w:r>
          </w:p>
        </w:tc>
      </w:tr>
      <w:tr>
        <w:trPr>
          <w:cantSplit/>
        </w:trPr>
        <w:tc>
          <w:tcPr>
            <w:tcW w:type="dxa" w:w="33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Mahāprabhu created Rādhā-kuṇḍa</w:t>
            </w:r>
          </w:p>
        </w:tc>
        <w:tc>
          <w:tcPr>
            <w:tcW w:type="dxa" w:w="60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Mahāprabhu recognized or reidentified the obscured tīrtha.</w:t>
            </w:r>
          </w:p>
        </w:tc>
      </w:tr>
      <w:tr>
        <w:trPr>
          <w:cantSplit/>
        </w:trPr>
        <w:tc>
          <w:tcPr>
            <w:tcW w:type="dxa" w:w="33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He excavated the twin lakes</w:t>
            </w:r>
          </w:p>
        </w:tc>
        <w:tc>
          <w:tcPr>
            <w:tcW w:type="dxa" w:w="60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He bathed in the little water of two paddy fields; later excavation belongs to a different source layer.</w:t>
            </w:r>
          </w:p>
        </w:tc>
      </w:tr>
      <w:tr>
        <w:trPr>
          <w:cantSplit/>
        </w:trPr>
        <w:tc>
          <w:tcPr>
            <w:tcW w:type="dxa" w:w="33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He discovered the village</w:t>
            </w:r>
          </w:p>
        </w:tc>
        <w:tc>
          <w:tcPr>
            <w:tcW w:type="dxa" w:w="60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He arrived at inhabited Āriṭ-grāma and asked its people for Rādhā-kuṇḍa.</w:t>
            </w:r>
          </w:p>
        </w:tc>
      </w:tr>
      <w:tr>
        <w:trPr>
          <w:cantSplit/>
        </w:trPr>
        <w:tc>
          <w:tcPr>
            <w:tcW w:type="dxa" w:w="33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The lake had ceased to exist</w:t>
            </w:r>
          </w:p>
        </w:tc>
        <w:tc>
          <w:tcPr>
            <w:tcW w:type="dxa" w:w="60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Its identity and visible tīrtha form had become lupta—lost or obscured.</w:t>
            </w:r>
          </w:p>
        </w:tc>
      </w:tr>
      <w:tr>
        <w:trPr>
          <w:cantSplit/>
        </w:trPr>
        <w:tc>
          <w:tcPr>
            <w:tcW w:type="dxa" w:w="33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The villagers had forgotten God</w:t>
            </w:r>
          </w:p>
        </w:tc>
        <w:tc>
          <w:tcPr>
            <w:tcW w:type="dxa" w:w="60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No one present could identify or report Rādhā-kuṇḍa.</w:t>
            </w:r>
          </w:p>
        </w:tc>
      </w:tr>
      <w:tr>
        <w:trPr>
          <w:cantSplit/>
        </w:trPr>
        <w:tc>
          <w:tcPr>
            <w:tcW w:type="dxa" w:w="33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A muddy puddle became holy</w:t>
            </w:r>
          </w:p>
        </w:tc>
        <w:tc>
          <w:tcPr>
            <w:tcW w:type="dxa" w:w="60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The omniscient Lord recognized the sacred waters despite their slight visible form.</w:t>
            </w:r>
          </w:p>
        </w:tc>
      </w:tr>
      <w:tr>
        <w:trPr>
          <w:cantSplit/>
        </w:trPr>
        <w:tc>
          <w:tcPr>
            <w:tcW w:type="dxa" w:w="33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He celebrated at the pond</w:t>
            </w:r>
          </w:p>
        </w:tc>
        <w:tc>
          <w:tcPr>
            <w:tcW w:type="dxa" w:w="60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He praised in prema, remembered kuṇḍa-līlā, and danced on the bank.</w:t>
            </w:r>
          </w:p>
        </w:tc>
      </w:tr>
      <w:tr>
        <w:trPr>
          <w:cantSplit/>
        </w:trPr>
        <w:tc>
          <w:tcPr>
            <w:tcW w:type="dxa" w:w="33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He collected souvenir mud</w:t>
            </w:r>
          </w:p>
        </w:tc>
        <w:tc>
          <w:tcPr>
            <w:tcW w:type="dxa" w:w="60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He made tilaka from the kuṇḍa’s earth and carried some onward through Balabhadra Bhaṭṭācārya.</w:t>
            </w:r>
          </w:p>
        </w:tc>
      </w:tr>
    </w:tbl>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Do not import into this episode</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Raghunātha dāsa’s later desilting and excavation/restoration narrative.</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Present masonry ghāṭs, causeway, drainage, temples, baithaks, kuṭīras, or town morphology.</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A precise modern Sumanas-sarovara identification unless separately verified.</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Claims that Mahāprabhu founded a modern institution or prescribed a commercial earth-distribution practice.</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A generalized promise that physical bathing mechanically grants prema independent of service, shelter, humility, and devotional orientation.</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A conflation of Mahāprabhu’s pilgrimage route with the eternal aṣṭa-kālīya geography.</w:t>
      </w:r>
    </w:p>
    <w:p>
      <w:pPr>
        <w:spacing w:after="0" w:before="0"/>
      </w:pPr>
      <w:r>
        <w:br w:type="page"/>
      </w:r>
    </w:p>
    <w:p>
      <w:pPr>
        <w:pStyle w:val="Heading1"/>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18. Open questions and RS-03 completion ruling</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2950"/>
        <w:gridCol w:w="3210"/>
      </w:tblGrid>
      <w:tr>
        <w:trPr>
          <w:cantSplit/>
          <w:tblHeader/>
        </w:trPr>
        <w:tc>
          <w:tcPr>
            <w:tcW w:type="dxa" w:w="32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0" w:lineRule="auto"/>
            </w:pPr>
            <w:r>
              <w:rPr>
                <w:rFonts w:ascii="Calibri" w:cs="Calibri" w:eastAsia="Calibri" w:hAnsi="Calibri"/>
                <w:b/>
                <w:bCs/>
                <w:i w:val="false"/>
                <w:iCs w:val="false"/>
                <w:caps w:val="false"/>
                <w:color w:val="FFFFFF"/>
                <w:sz w:val="15"/>
                <w:szCs w:val="15"/>
              </w:rPr>
              <w:t xml:space="preserve">Question</w:t>
            </w:r>
          </w:p>
        </w:tc>
        <w:tc>
          <w:tcPr>
            <w:tcW w:type="dxa" w:w="295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0" w:lineRule="auto"/>
            </w:pPr>
            <w:r>
              <w:rPr>
                <w:rFonts w:ascii="Calibri" w:cs="Calibri" w:eastAsia="Calibri" w:hAnsi="Calibri"/>
                <w:b/>
                <w:bCs/>
                <w:i w:val="false"/>
                <w:iCs w:val="false"/>
                <w:caps w:val="false"/>
                <w:color w:val="FFFFFF"/>
                <w:sz w:val="15"/>
                <w:szCs w:val="15"/>
              </w:rPr>
              <w:t xml:space="preserve">Current status</w:t>
            </w:r>
          </w:p>
        </w:tc>
        <w:tc>
          <w:tcPr>
            <w:tcW w:type="dxa" w:w="321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0" w:lineRule="auto"/>
            </w:pPr>
            <w:r>
              <w:rPr>
                <w:rFonts w:ascii="Calibri" w:cs="Calibri" w:eastAsia="Calibri" w:hAnsi="Calibri"/>
                <w:b/>
                <w:bCs/>
                <w:i w:val="false"/>
                <w:iCs w:val="false"/>
                <w:caps w:val="false"/>
                <w:color w:val="FFFFFF"/>
                <w:sz w:val="15"/>
                <w:szCs w:val="15"/>
              </w:rPr>
              <w:t xml:space="preserve">Effect on story</w:t>
            </w:r>
          </w:p>
        </w:tc>
      </w:tr>
      <w:tr>
        <w:trPr>
          <w:cantSplit/>
        </w:trPr>
        <w:tc>
          <w:tcPr>
            <w:tcW w:type="dxa" w:w="32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Is there an independently checked early biography that narrates this precise Rādhā-kuṇḍa visit?</w:t>
            </w:r>
          </w:p>
        </w:tc>
        <w:tc>
          <w:tcPr>
            <w:tcW w:type="dxa" w:w="295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No parallel witness recovered in the present project search.</w:t>
            </w:r>
          </w:p>
        </w:tc>
        <w:tc>
          <w:tcPr>
            <w:tcW w:type="dxa" w:w="321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Use Caitanya-caritāmṛta as the sole controlled narrative source; do not claim exhaustive absence.</w:t>
            </w:r>
          </w:p>
        </w:tc>
      </w:tr>
      <w:tr>
        <w:trPr>
          <w:cantSplit/>
        </w:trPr>
        <w:tc>
          <w:tcPr>
            <w:tcW w:type="dxa" w:w="32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What is the best full semantic range of bāhya haila in 18.3?</w:t>
            </w:r>
          </w:p>
        </w:tc>
        <w:tc>
          <w:tcPr>
            <w:tcW w:type="dxa" w:w="295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External awareness/sense perception is secure; deeper bhāva analysis remains optional.</w:t>
            </w:r>
          </w:p>
        </w:tc>
        <w:tc>
          <w:tcPr>
            <w:tcW w:type="dxa" w:w="321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Use “returned to outward awareness” without implying spiritual absence.</w:t>
            </w:r>
          </w:p>
        </w:tc>
      </w:tr>
      <w:tr>
        <w:trPr>
          <w:cantSplit/>
        </w:trPr>
        <w:tc>
          <w:tcPr>
            <w:tcW w:type="dxa" w:w="32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How should lupta-tīrtha-uddhāra elsewhere in CC affect wording here?</w:t>
            </w:r>
          </w:p>
        </w:tc>
        <w:tc>
          <w:tcPr>
            <w:tcW w:type="dxa" w:w="295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Broader mission context is relevant; 18.5 itself says bathing, not excavation.</w:t>
            </w:r>
          </w:p>
        </w:tc>
        <w:tc>
          <w:tcPr>
            <w:tcW w:type="dxa" w:w="321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Keep recognition distinct from later physical restoration.</w:t>
            </w:r>
          </w:p>
        </w:tc>
      </w:tr>
      <w:tr>
        <w:trPr>
          <w:cantSplit/>
        </w:trPr>
        <w:tc>
          <w:tcPr>
            <w:tcW w:type="dxa" w:w="32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Where exactly is Sumanas-sarovara today?</w:t>
            </w:r>
          </w:p>
        </w:tc>
        <w:tc>
          <w:tcPr>
            <w:tcW w:type="dxa" w:w="295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Modern-localization question remains open.</w:t>
            </w:r>
          </w:p>
        </w:tc>
        <w:tc>
          <w:tcPr>
            <w:tcW w:type="dxa" w:w="321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Name the textual stop; do not map it prematurely.</w:t>
            </w:r>
          </w:p>
        </w:tc>
      </w:tr>
      <w:tr>
        <w:trPr>
          <w:cantSplit/>
        </w:trPr>
        <w:tc>
          <w:tcPr>
            <w:tcW w:type="dxa" w:w="32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Which GL 7.102 reading should a critical edition prefer?</w:t>
            </w:r>
          </w:p>
        </w:tc>
        <w:tc>
          <w:tcPr>
            <w:tcW w:type="dxa" w:w="295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Text-critical question remains open.</w:t>
            </w:r>
          </w:p>
        </w:tc>
        <w:tc>
          <w:tcPr>
            <w:tcW w:type="dxa" w:w="321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Quote each checked witness separately.</w:t>
            </w:r>
          </w:p>
        </w:tc>
      </w:tr>
      <w:tr>
        <w:trPr>
          <w:cantSplit/>
        </w:trPr>
        <w:tc>
          <w:tcPr>
            <w:tcW w:type="dxa" w:w="32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What modern bathing and earth-taking guidance should the visitor guide give?</w:t>
            </w:r>
          </w:p>
        </w:tc>
        <w:tc>
          <w:tcPr>
            <w:tcW w:type="dxa" w:w="295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Requires pastoral, safety, and tradition-specific review.</w:t>
            </w:r>
          </w:p>
        </w:tc>
        <w:tc>
          <w:tcPr>
            <w:tcW w:type="dxa" w:w="321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15" w:lineRule="auto"/>
            </w:pPr>
            <w:r>
              <w:rPr>
                <w:rFonts w:ascii="Calibri" w:cs="Calibri" w:eastAsia="Calibri" w:hAnsi="Calibri"/>
                <w:b w:val="false"/>
                <w:bCs w:val="false"/>
                <w:i w:val="false"/>
                <w:iCs w:val="false"/>
                <w:caps w:val="false"/>
                <w:color w:val="28231F"/>
                <w:sz w:val="15"/>
                <w:szCs w:val="15"/>
              </w:rPr>
              <w:t xml:space="preserve">Do not derive practical rules solely from 18.10 and 18.14.</w:t>
            </w:r>
          </w:p>
        </w:tc>
      </w:tr>
    </w:tbl>
    <w:p>
      <w:pPr>
        <w:keepNext w:val="false"/>
        <w:keepLines/>
        <w:pBdr>
          <w:top w:val="single" w:color="B58A3A" w:sz="8"/>
          <w:bottom w:val="single" w:color="D6C7B6" w:sz="3"/>
          <w:left w:val="single" w:color="B58A3A" w:sz="8"/>
          <w:right w:val="single" w:color="D6C7B6" w:sz="3"/>
        </w:pBdr>
        <w:shd w:fill="E6F0E8" w:color="auto" w:val="clear"/>
        <w:spacing w:after="120" w:before="80" w:line="285" w:lineRule="auto"/>
        <w:ind w:left="180" w:right="180"/>
      </w:pPr>
      <w:r>
        <w:rPr>
          <w:rFonts w:ascii="Calibri" w:cs="Calibri" w:eastAsia="Calibri" w:hAnsi="Calibri"/>
          <w:b/>
          <w:bCs/>
          <w:i w:val="false"/>
          <w:iCs w:val="false"/>
          <w:caps w:val="false"/>
          <w:color w:val="762F3B"/>
          <w:sz w:val="19"/>
          <w:szCs w:val="19"/>
        </w:rPr>
        <w:t xml:space="preserve">RS-03 COMPLETION RULING  </w:t>
      </w:r>
      <w:r>
        <w:rPr>
          <w:rFonts w:ascii="Calibri" w:cs="Calibri" w:eastAsia="Calibri" w:hAnsi="Calibri"/>
          <w:b w:val="false"/>
          <w:bCs w:val="false"/>
          <w:i w:val="false"/>
          <w:iCs w:val="false"/>
          <w:caps w:val="false"/>
          <w:color w:val="28231F"/>
          <w:sz w:val="20"/>
          <w:szCs w:val="20"/>
        </w:rPr>
        <w:t xml:space="preserve">The Caitanya-līlā unit is sufficiently controlled for literary composition. The Story of Rādhā-kuṇḍa may now be drafted from RS-01/RS-02/RS-03 together: manifestation narrative, theological architecture, and Mahāprabhu’s recognition and reception. Historical-physical research remains necessary for the later visitor-guide and site-history sections, but it is not a blocker for the devotional story.</w:t>
      </w:r>
    </w:p>
    <w:p>
      <w:pPr>
        <w:spacing w:after="0" w:before="0"/>
      </w:pPr>
      <w:r>
        <w:br w:type="page"/>
      </w:r>
    </w:p>
    <w:p>
      <w:pPr>
        <w:pStyle w:val="Heading1"/>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19. Source register and verification record</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Primary and project witnesses</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4760"/>
        <w:gridCol w:w="3500"/>
      </w:tblGrid>
      <w:tr>
        <w:trPr>
          <w:cantSplit/>
          <w:tblHeader/>
        </w:trPr>
        <w:tc>
          <w:tcPr>
            <w:tcW w:type="dxa" w:w="11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0" w:lineRule="auto"/>
            </w:pPr>
            <w:r>
              <w:rPr>
                <w:rFonts w:ascii="Calibri" w:cs="Calibri" w:eastAsia="Calibri" w:hAnsi="Calibri"/>
                <w:b/>
                <w:bCs/>
                <w:i w:val="false"/>
                <w:iCs w:val="false"/>
                <w:caps w:val="false"/>
                <w:color w:val="FFFFFF"/>
                <w:sz w:val="16"/>
                <w:szCs w:val="16"/>
              </w:rPr>
              <w:t xml:space="preserve">Siglum</w:t>
            </w:r>
          </w:p>
        </w:tc>
        <w:tc>
          <w:tcPr>
            <w:tcW w:type="dxa" w:w="476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0" w:lineRule="auto"/>
            </w:pPr>
            <w:r>
              <w:rPr>
                <w:rFonts w:ascii="Calibri" w:cs="Calibri" w:eastAsia="Calibri" w:hAnsi="Calibri"/>
                <w:b/>
                <w:bCs/>
                <w:i w:val="false"/>
                <w:iCs w:val="false"/>
                <w:caps w:val="false"/>
                <w:color w:val="FFFFFF"/>
                <w:sz w:val="16"/>
                <w:szCs w:val="16"/>
              </w:rPr>
              <w:t xml:space="preserve">Witness</w:t>
            </w:r>
          </w:p>
        </w:tc>
        <w:tc>
          <w:tcPr>
            <w:tcW w:type="dxa" w:w="35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0" w:lineRule="auto"/>
            </w:pPr>
            <w:r>
              <w:rPr>
                <w:rFonts w:ascii="Calibri" w:cs="Calibri" w:eastAsia="Calibri" w:hAnsi="Calibri"/>
                <w:b/>
                <w:bCs/>
                <w:i w:val="false"/>
                <w:iCs w:val="false"/>
                <w:caps w:val="false"/>
                <w:color w:val="FFFFFF"/>
                <w:sz w:val="16"/>
                <w:szCs w:val="16"/>
              </w:rPr>
              <w:t xml:space="preserve">Use in RS-03</w:t>
            </w:r>
          </w:p>
        </w:tc>
      </w:tr>
      <w:tr>
        <w:trPr>
          <w:cantSplit/>
        </w:trPr>
        <w:tc>
          <w:tcPr>
            <w:tcW w:type="dxa" w:w="11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CC-RK</w:t>
            </w:r>
          </w:p>
        </w:tc>
        <w:tc>
          <w:tcPr>
            <w:tcW w:type="dxa" w:w="47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Kṛṣṇadāsa Kavirāja, Caitanya-caritāmṛta Madhya 18.3–15</w:t>
            </w:r>
          </w:p>
        </w:tc>
        <w:tc>
          <w:tcPr>
            <w:tcW w:type="dxa" w:w="35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Complete Caitanya-at-Rādhā-kuṇḍa narrative.</w:t>
            </w:r>
          </w:p>
        </w:tc>
      </w:tr>
      <w:tr>
        <w:trPr>
          <w:cantSplit/>
        </w:trPr>
        <w:tc>
          <w:tcPr>
            <w:tcW w:type="dxa" w:w="11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CC-LT</w:t>
            </w:r>
          </w:p>
        </w:tc>
        <w:tc>
          <w:tcPr>
            <w:tcW w:type="dxa" w:w="47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Caitanya-caritāmṛta Antya 4.80</w:t>
            </w:r>
          </w:p>
        </w:tc>
        <w:tc>
          <w:tcPr>
            <w:tcW w:type="dxa" w:w="35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Broader lupta-tīrtha-uddhāra mission context; not proof of excavation in 18.5.</w:t>
            </w:r>
          </w:p>
        </w:tc>
      </w:tr>
      <w:tr>
        <w:trPr>
          <w:cantSplit/>
        </w:trPr>
        <w:tc>
          <w:tcPr>
            <w:tcW w:type="dxa" w:w="11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CC-COL</w:t>
            </w:r>
          </w:p>
        </w:tc>
        <w:tc>
          <w:tcPr>
            <w:tcW w:type="dxa" w:w="47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Caitanya-caritāmṛta Antya 20.157</w:t>
            </w:r>
          </w:p>
        </w:tc>
        <w:tc>
          <w:tcPr>
            <w:tcW w:type="dxa" w:w="35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Completion colophon: Vṛndāvana, 1537 Śaka / 1615 CE.</w:t>
            </w:r>
          </w:p>
        </w:tc>
      </w:tr>
      <w:tr>
        <w:trPr>
          <w:cantSplit/>
        </w:trPr>
        <w:tc>
          <w:tcPr>
            <w:tcW w:type="dxa" w:w="11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MM</w:t>
            </w:r>
          </w:p>
        </w:tc>
        <w:tc>
          <w:tcPr>
            <w:tcW w:type="dxa" w:w="47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Rūpa Gosvāmī, Mathurā-māhātmya 421–422</w:t>
            </w:r>
          </w:p>
        </w:tc>
        <w:tc>
          <w:tcPr>
            <w:tcW w:type="dxa" w:w="35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Padma Purāṇa dearness lines embedded in CC 18.8.</w:t>
            </w:r>
          </w:p>
        </w:tc>
      </w:tr>
      <w:tr>
        <w:trPr>
          <w:cantSplit/>
        </w:trPr>
        <w:tc>
          <w:tcPr>
            <w:tcW w:type="dxa" w:w="11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GL</w:t>
            </w:r>
          </w:p>
        </w:tc>
        <w:tc>
          <w:tcPr>
            <w:tcW w:type="dxa" w:w="47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Kṛṣṇadāsa Kavirāja, Govinda-līlāmṛta 7.102</w:t>
            </w:r>
          </w:p>
        </w:tc>
        <w:tc>
          <w:tcPr>
            <w:tcW w:type="dxa" w:w="35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Sanskrit culmination quoted in CC 18.12; variant witness.</w:t>
            </w:r>
          </w:p>
        </w:tc>
      </w:tr>
      <w:tr>
        <w:trPr>
          <w:cantSplit/>
        </w:trPr>
        <w:tc>
          <w:tcPr>
            <w:tcW w:type="dxa" w:w="11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RK-04</w:t>
            </w:r>
          </w:p>
        </w:tc>
        <w:tc>
          <w:tcPr>
            <w:tcW w:type="dxa" w:w="47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Caitanya, Gosvāmīs &amp; Gauḍīya History Ledger v0.3</w:t>
            </w:r>
          </w:p>
        </w:tc>
        <w:tc>
          <w:tcPr>
            <w:tcW w:type="dxa" w:w="35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Existing source-layer and negative-claim controls.</w:t>
            </w:r>
          </w:p>
        </w:tc>
      </w:tr>
      <w:tr>
        <w:trPr>
          <w:cantSplit/>
        </w:trPr>
        <w:tc>
          <w:tcPr>
            <w:tcW w:type="dxa" w:w="11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RS-02</w:t>
            </w:r>
          </w:p>
        </w:tc>
        <w:tc>
          <w:tcPr>
            <w:tcW w:type="dxa" w:w="47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Theological Architecture of the Manifestation Līlā v1.0</w:t>
            </w:r>
          </w:p>
        </w:tc>
        <w:tc>
          <w:tcPr>
            <w:tcW w:type="dxa" w:w="35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30" w:before="0" w:line="225" w:lineRule="auto"/>
            </w:pPr>
            <w:r>
              <w:rPr>
                <w:rFonts w:ascii="Calibri" w:cs="Calibri" w:eastAsia="Calibri" w:hAnsi="Calibri"/>
                <w:b w:val="false"/>
                <w:bCs w:val="false"/>
                <w:i w:val="false"/>
                <w:iCs w:val="false"/>
                <w:caps w:val="false"/>
                <w:color w:val="28231F"/>
                <w:sz w:val="16"/>
                <w:szCs w:val="16"/>
              </w:rPr>
              <w:t xml:space="preserve">Nitya-līlā, dearness, bathing, and drafting controls.</w:t>
            </w:r>
          </w:p>
        </w:tc>
      </w:tr>
    </w:tbl>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Verification notes</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CC Madhya 18.3–15 Bengali, Roman transliteration, verse sequence, and embedded-source identifications were checked against the current VedaBase witness on 20 August 2026.</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Mathurā-māhātmya 421–422 was checked in the local searchable project witness, including its Padma Purāṇa source index.</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Govinda-līlāmṛta 7.102 was checked in the local searchable mūla; its differences from CC Madhya 18.12 were retained.</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English renderings in the quotation packet are project research translations, not published literary translations.</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No later physical construction history or modern-site identification was promoted into the A-level Caitanya narrative.</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Digital references</w:t>
      </w:r>
    </w:p>
    <w:p>
      <w:pPr>
        <w:keepNext w:val="false"/>
        <w:keepLines/>
        <w:spacing w:after="100" w:before="0" w:line="280" w:lineRule="auto"/>
      </w:pPr>
      <w:hyperlink w:history="1" r:id="rId4fafntsxpeykpgxvsgdpk">
        <w:r>
          <w:rPr>
            <w:rFonts w:ascii="Calibri" w:cs="Calibri" w:eastAsia="Calibri" w:hAnsi="Calibri"/>
            <w:b w:val="false"/>
            <w:bCs w:val="false"/>
            <w:i w:val="false"/>
            <w:iCs w:val="false"/>
            <w:caps w:val="false"/>
            <w:color w:val="1F4D78"/>
            <w:sz w:val="19"/>
            <w:szCs w:val="19"/>
            <w:u w:val="single"/>
          </w:rPr>
          <w:t xml:space="preserve">Caitanya-caritāmṛta Madhya 18</w:t>
        </w:r>
      </w:hyperlink>
      <w:r>
        <w:rPr>
          <w:rFonts w:ascii="Calibri" w:cs="Calibri" w:eastAsia="Calibri" w:hAnsi="Calibri"/>
          <w:b w:val="false"/>
          <w:bCs w:val="false"/>
          <w:i w:val="false"/>
          <w:iCs w:val="false"/>
          <w:caps w:val="false"/>
          <w:color w:val="6E645D"/>
          <w:sz w:val="19"/>
          <w:szCs w:val="19"/>
        </w:rPr>
        <w:t xml:space="preserve">  ·  </w:t>
      </w:r>
      <w:hyperlink w:history="1" r:id="rIdem0giubdu_bc8hhv6ivdn">
        <w:r>
          <w:rPr>
            <w:rFonts w:ascii="Calibri" w:cs="Calibri" w:eastAsia="Calibri" w:hAnsi="Calibri"/>
            <w:b w:val="false"/>
            <w:bCs w:val="false"/>
            <w:i w:val="false"/>
            <w:iCs w:val="false"/>
            <w:caps w:val="false"/>
            <w:color w:val="1F4D78"/>
            <w:sz w:val="19"/>
            <w:szCs w:val="19"/>
            <w:u w:val="single"/>
          </w:rPr>
          <w:t xml:space="preserve">Antya 4.80</w:t>
        </w:r>
      </w:hyperlink>
      <w:r>
        <w:rPr>
          <w:rFonts w:ascii="Calibri" w:cs="Calibri" w:eastAsia="Calibri" w:hAnsi="Calibri"/>
          <w:b w:val="false"/>
          <w:bCs w:val="false"/>
          <w:i w:val="false"/>
          <w:iCs w:val="false"/>
          <w:caps w:val="false"/>
          <w:color w:val="6E645D"/>
          <w:sz w:val="19"/>
          <w:szCs w:val="19"/>
        </w:rPr>
        <w:t xml:space="preserve">  ·  </w:t>
      </w:r>
      <w:hyperlink w:history="1" r:id="rIdntvyd8xbfhzhqkz3rnc9j">
        <w:r>
          <w:rPr>
            <w:rFonts w:ascii="Calibri" w:cs="Calibri" w:eastAsia="Calibri" w:hAnsi="Calibri"/>
            <w:b w:val="false"/>
            <w:bCs w:val="false"/>
            <w:i w:val="false"/>
            <w:iCs w:val="false"/>
            <w:caps w:val="false"/>
            <w:color w:val="1F4D78"/>
            <w:sz w:val="19"/>
            <w:szCs w:val="19"/>
            <w:u w:val="single"/>
          </w:rPr>
          <w:t xml:space="preserve">Antya 20.157</w:t>
        </w:r>
      </w:hyperlink>
    </w:p>
    <w:p>
      <w:pPr>
        <w:keepNext w:val="false"/>
        <w:keepLines/>
        <w:pBdr>
          <w:top w:val="single" w:color="B58A3A" w:sz="8"/>
          <w:bottom w:val="single" w:color="D6C7B6" w:sz="3"/>
          <w:left w:val="single" w:color="B58A3A" w:sz="8"/>
          <w:right w:val="single" w:color="D6C7B6" w:sz="3"/>
        </w:pBdr>
        <w:shd w:fill="E8EEF5" w:color="auto" w:val="clear"/>
        <w:spacing w:after="120" w:before="80" w:line="285" w:lineRule="auto"/>
        <w:ind w:left="180" w:right="180"/>
      </w:pPr>
      <w:r>
        <w:rPr>
          <w:rFonts w:ascii="Calibri" w:cs="Calibri" w:eastAsia="Calibri" w:hAnsi="Calibri"/>
          <w:b/>
          <w:bCs/>
          <w:i w:val="false"/>
          <w:iCs w:val="false"/>
          <w:caps w:val="false"/>
          <w:color w:val="762F3B"/>
          <w:sz w:val="19"/>
          <w:szCs w:val="19"/>
        </w:rPr>
        <w:t xml:space="preserve">FINAL STATUS  </w:t>
      </w:r>
      <w:r>
        <w:rPr>
          <w:rFonts w:ascii="Calibri" w:cs="Calibri" w:eastAsia="Calibri" w:hAnsi="Calibri"/>
          <w:b w:val="false"/>
          <w:bCs w:val="false"/>
          <w:i w:val="false"/>
          <w:iCs w:val="false"/>
          <w:caps w:val="false"/>
          <w:color w:val="28231F"/>
          <w:sz w:val="20"/>
          <w:szCs w:val="20"/>
        </w:rPr>
        <w:t xml:space="preserve">RS-03 v1.0 completes the research prerequisite named in RS-02. The next content task is literary composition of the Story of Rādhā-kuṇḍa, not additional contemporary history.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line="300" w:lineRule="auto"/>
        <w:ind w:left="540" w:hanging="270"/>
      </w:pPr>
      <w:rPr>
        <w:rFonts w:ascii="Calibri" w:cs="Calibri" w:eastAsia="Calibri" w:hAnsi="Calibri"/>
        <w:sz w:val="21"/>
        <w:szCs w:val="21"/>
      </w:rPr>
    </w:lvl>
  </w:abstractNum>
  <w:abstractNum w:abstractNumId="3" w15:restartNumberingAfterBreak="0">
    <w:multiLevelType w:val="hybridMultilevel"/>
    <w:lvl w:ilvl="0" w15:tentative="1">
      <w:start w:val="1"/>
      <w:numFmt w:val="decimal"/>
      <w:lvlText w:val="%1."/>
      <w:lvlJc w:val="left"/>
      <w:pPr>
        <w:spacing w:after="80" w:line="300" w:lineRule="auto"/>
        <w:ind w:left="540" w:hanging="270"/>
      </w:pPr>
      <w:rPr>
        <w:rFonts w:ascii="Calibri" w:cs="Calibri" w:eastAsia="Calibri" w:hAnsi="Calibri"/>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8231F"/>
        <w:sz w:val="22"/>
        <w:szCs w:val="22"/>
      </w:rPr>
    </w:rPrDefault>
    <w:pPrDefault>
      <w:pPr>
        <w:spacing w:after="120"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basedOn w:val="Normal"/>
    <w:next w:val="Normal"/>
    <w:qFormat/>
    <w:pPr>
      <w:spacing w:after="120" w:before="0" w:line="300" w:lineRule="auto"/>
    </w:pPr>
    <w:rPr>
      <w:rFonts w:ascii="Calibri" w:cs="Calibri" w:eastAsia="Calibri" w:hAnsi="Calibri"/>
      <w:color w:val="28231F"/>
      <w:sz w:val="22"/>
      <w:szCs w:val="22"/>
    </w:rPr>
  </w:style>
  <w:style w:type="paragraph" w:styleId="Heading1">
    <w:name w:val="Heading 1"/>
    <w:basedOn w:val="Normal"/>
    <w:next w:val="Normal"/>
    <w:qFormat/>
    <w:pPr>
      <w:keepNext/>
      <w:pBdr>
        <w:bottom w:val="single" w:color="B58A3A" w:sz="8"/>
      </w:pBdr>
      <w:spacing w:after="200" w:before="360" w:line="340" w:lineRule="auto"/>
      <w:outlineLvl w:val="0"/>
    </w:pPr>
    <w:rPr>
      <w:rFonts w:ascii="Calibri" w:cs="Calibri" w:eastAsia="Calibri" w:hAnsi="Calibri"/>
      <w:b/>
      <w:bCs/>
      <w:color w:val="762F3B"/>
      <w:sz w:val="32"/>
      <w:szCs w:val="32"/>
    </w:rPr>
  </w:style>
  <w:style w:type="paragraph" w:styleId="Heading2">
    <w:name w:val="Heading 2"/>
    <w:basedOn w:val="Normal"/>
    <w:next w:val="Normal"/>
    <w:qFormat/>
    <w:pPr>
      <w:keepNext/>
      <w:spacing w:after="140" w:before="280" w:line="300" w:lineRule="auto"/>
      <w:outlineLvl w:val="1"/>
    </w:pPr>
    <w:rPr>
      <w:rFonts w:ascii="Calibri" w:cs="Calibri" w:eastAsia="Calibri" w:hAnsi="Calibri"/>
      <w:b/>
      <w:bCs/>
      <w:color w:val="762F3B"/>
      <w:sz w:val="26"/>
      <w:szCs w:val="26"/>
    </w:rPr>
  </w:style>
  <w:style w:type="paragraph" w:styleId="Heading3">
    <w:name w:val="Heading 3"/>
    <w:basedOn w:val="Normal"/>
    <w:next w:val="Normal"/>
    <w:qFormat/>
    <w:pPr>
      <w:keepNext/>
      <w:spacing w:after="100" w:before="200" w:line="290" w:lineRule="auto"/>
      <w:outlineLvl w:val="2"/>
    </w:pPr>
    <w:rPr>
      <w:rFonts w:ascii="Calibri" w:cs="Calibri" w:eastAsia="Calibri" w:hAnsi="Calibri"/>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fafntsxpeykpgxvsgdpk" Type="http://schemas.openxmlformats.org/officeDocument/2006/relationships/hyperlink" Target="https://vedabase.io/en/library/cc/madhya/18/" TargetMode="External"/><Relationship Id="rIdem0giubdu_bc8hhv6ivdn" Type="http://schemas.openxmlformats.org/officeDocument/2006/relationships/hyperlink" Target="https://vedabase.io/en/library/cc/antya/4/80/" TargetMode="External"/><Relationship Id="rIdntvyd8xbfhzhqkz3rnc9j" Type="http://schemas.openxmlformats.org/officeDocument/2006/relationships/hyperlink" Target="https://vedabase.io/en/library/cc/antya/20/157/" TargetMode="External"/><Relationship Id="rId7" Type="http://schemas.openxmlformats.org/officeDocument/2006/relationships/image" Target="media/a8999a19e8703cd1693650776222bb624531246c.png"/><Relationship Id="rId8" Type="http://schemas.openxmlformats.org/officeDocument/2006/relationships/image" Target="media/21c124a93078fc759de6f88e03bbbff6e9a2c1d9.png"/><Relationship Id="rId9" Type="http://schemas.openxmlformats.org/officeDocument/2006/relationships/image" Target="media/d78409551f91ffd624e3b60283c523d295933c6e.png"/><Relationship Id="rId10" Type="http://schemas.openxmlformats.org/officeDocument/2006/relationships/image" Target="media/ff6152480d6ce689802eefa8f1d54b3e884b31b5.png"/><Relationship Id="rId11" Type="http://schemas.openxmlformats.org/officeDocument/2006/relationships/image" Target="media/7eada389a0ff598433bed4fd2f8e217c4eecf55f.png"/><Relationship Id="rId12" Type="http://schemas.openxmlformats.org/officeDocument/2006/relationships/image" Target="media/d31eccb4916d30712faaa02a3c931cfb2752f353.png"/><Relationship Id="rId13" Type="http://schemas.openxmlformats.org/officeDocument/2006/relationships/image" Target="media/8dfd0c1fae378fb8e60bcb3ee774a38c8e9148de.png"/><Relationship Id="rId14" Type="http://schemas.openxmlformats.org/officeDocument/2006/relationships/image" Target="media/fc8559a52b670d416d94e59aabef6cfa25b25038.png"/><Relationship Id="rId15" Type="http://schemas.openxmlformats.org/officeDocument/2006/relationships/image" Target="media/25c461197349e4647ad3532cb98b506b103a7763.png"/><Relationship Id="rId16" Type="http://schemas.openxmlformats.org/officeDocument/2006/relationships/image" Target="media/5de215d9ecd59111406acc56f8c049a02727cb90.png"/><Relationship Id="rId17" Type="http://schemas.openxmlformats.org/officeDocument/2006/relationships/image" Target="media/d808f6d3395ecea23d9129423b55483c853c3960.png"/><Relationship Id="rId18" Type="http://schemas.openxmlformats.org/officeDocument/2006/relationships/image" Target="media/83bff54b63cad470050f9cb42e277983b06de058.png"/><Relationship Id="rId19" Type="http://schemas.openxmlformats.org/officeDocument/2006/relationships/image" Target="media/3f81d1c49aecac03badff3a184ee067dafc3bb42.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RS-03 — Śrī Caitanya Mahāprabhu at Rādhā-kuṇḍa</dc:title>
  <dc:creator>Govardhana Pilgrimage Project</dc:creator>
  <dc:description>Research control document on Caitanya-caritāmṛta Madhya 18.3–15.</dc:description>
  <cp:lastModifiedBy>Un-named</cp:lastModifiedBy>
  <cp:revision>1</cp:revision>
  <dcterms:created xsi:type="dcterms:W3CDTF">2026-08-20T23:37:03.180Z</dcterms:created>
  <dcterms:modified xsi:type="dcterms:W3CDTF">2026-08-20T23:37:03.181Z</dcterms:modified>
</cp:coreProperties>
</file>

<file path=docProps/custom.xml><?xml version="1.0" encoding="utf-8"?>
<Properties xmlns="http://schemas.openxmlformats.org/officeDocument/2006/custom-properties" xmlns:vt="http://schemas.openxmlformats.org/officeDocument/2006/docPropsVTypes"/>
</file>