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center"/>
      </w:pPr>
      <w:r>
        <w:t>GOVARDHANA PILGRIMAGE</w:t>
      </w:r>
    </w:p>
    <w:p>
      <w:pPr>
        <w:jc w:val="center"/>
      </w:pPr>
      <w:r>
        <w:rPr>
          <w:b/>
          <w:color w:val="A9853E"/>
          <w:sz w:val="30"/>
        </w:rPr>
        <w:t>Rādhā-kuṇḍa Story</w:t>
      </w:r>
    </w:p>
    <w:p>
      <w:pPr>
        <w:jc w:val="center"/>
      </w:pPr>
      <w:r>
        <w:rPr>
          <w:b/>
          <w:color w:val="7B2638"/>
          <w:sz w:val="56"/>
        </w:rPr>
        <w:t>RKST-01</w:t>
      </w:r>
    </w:p>
    <w:p>
      <w:pPr>
        <w:jc w:val="center"/>
      </w:pPr>
      <w:r>
        <w:rPr>
          <w:b/>
          <w:color w:val="7B2638"/>
          <w:sz w:val="40"/>
        </w:rPr>
        <w:t>At the Foot of Govardhana: The Two Waters</w:t>
      </w:r>
    </w:p>
    <w:p>
      <w:pPr>
        <w:jc w:val="center"/>
      </w:pPr>
      <w:r>
        <w:rPr>
          <w:i/>
          <w:sz w:val="22"/>
        </w:rPr>
        <w:t>Opening section • manifestation and meaning, Part I</w:t>
      </w:r>
    </w:p>
    <w:p/>
    <w:tbl>
      <w:tblPr>
        <w:tblW w:type="auto" w:w="0"/>
        <w:jc w:val="center"/>
        <w:tblLook w:firstColumn="1" w:firstRow="1" w:lastColumn="0" w:lastRow="0" w:noHBand="0" w:noVBand="1" w:val="04A0"/>
      </w:tblPr>
      <w:tblGrid>
        <w:gridCol w:w="9994"/>
      </w:tblGrid>
      <w:tr>
        <w:tc>
          <w:tcPr>
            <w:tcW w:type="dxa" w:w="9994"/>
            <w:shd w:fill="F5EFE3"/>
            <w:tcMar>
              <w:top w:w="100" w:type="dxa"/>
              <w:start w:w="120" w:type="dxa"/>
              <w:bottom w:w="100" w:type="dxa"/>
              <w:end w:w="120" w:type="dxa"/>
            </w:tcMar>
          </w:tcPr>
          <w:p>
            <w:pPr>
              <w:spacing w:after="20"/>
            </w:pPr>
            <w:r>
              <w:rPr>
                <w:b/>
                <w:color w:val="7B2638"/>
              </w:rPr>
              <w:t xml:space="preserve">DRAFT STATUS  </w:t>
            </w:r>
            <w:r>
              <w:t>Working literary draft v0.1. The reader-facing prose is ready for review. Source notes and control blocks remain attached so later revisions can be made without losing the evidence trail.</w:t>
            </w:r>
          </w:p>
        </w:tc>
      </w:tr>
    </w:tbl>
    <w:p>
      <w:pPr>
        <w:jc w:val="center"/>
      </w:pPr>
      <w:r>
        <w:rPr>
          <w:color w:val="666666"/>
          <w:sz w:val="20"/>
        </w:rPr>
        <w:t>Primary/Gosvāmī evidence dominates this section. Modern physical orientation is deliberately minimal.</w:t>
      </w:r>
    </w:p>
    <w:p>
      <w:r>
        <w:br w:type="page"/>
      </w:r>
    </w:p>
    <w:p>
      <w:pPr>
        <w:pStyle w:val="Kicker"/>
      </w:pPr>
      <w:r>
        <w:t>SOURCE CARD • VERIFIED BEFORE DRAFTING</w:t>
      </w:r>
    </w:p>
    <w:p>
      <w:pPr>
        <w:pStyle w:val="Heading1"/>
      </w:pPr>
      <w:r>
        <w:t>Upadeśāmṛta 9–11 and Mathurā-māhātmya 418–423</w:t>
      </w:r>
    </w:p>
    <w:p>
      <w:r>
        <w:t>The Writing Blueprint requires these passages to be controlled before the opening prose is written. Upadeśāmṛta 9–11 was checked against the Vedabase Sanskrit/transliteration witness on 22 August 2026. Mathurā-māhātmya 418–423 was checked directly in the project’s searchable Rūpa Gosvāmī source file.</w:t>
      </w:r>
    </w:p>
    <w:p>
      <w:r>
        <w:rPr>
          <w:b/>
          <w:color w:val="7B2638"/>
        </w:rPr>
        <w:t>Upadeśāmṛta 9</w:t>
      </w:r>
    </w:p>
    <w:p>
      <w:pPr>
        <w:pStyle w:val="SourceSanskrit"/>
      </w:pPr>
      <w:r>
        <w:t>vaikuṇṭhāj janito varā madhu-purī tatrāpi rāsotsavād / vṛndāraṇyam udāra-pāṇi-ramaṇāt tatrāpi govardhanaḥ / rādhā-kuṇḍam ihāpi gokula-pateḥ premāmṛtāplāvanāt / kuryād asya virājato giri-taṭe sevāṁ vivekī na kaḥ ||9||</w:t>
      </w:r>
    </w:p>
    <w:p>
      <w:pPr>
        <w:ind w:left="403" w:right="259"/>
      </w:pPr>
      <w:r>
        <w:rPr>
          <w:sz w:val="20"/>
        </w:rPr>
        <w:t>Mathurā is higher than Vaikuṇṭha because of Kṛṣṇa’s birth there; Vṛndāvana is higher because of the festival of rāsa; Govardhana is higher because of Kṛṣṇa’s loving pastimes there; and Rādhā-kuṇḍa is higher still because it is flooded by the nectar of the love of the Lord of Gokula. What discerning person would not serve this Rādhā-kuṇḍa, shining at the foot of Govardhana?</w:t>
      </w:r>
    </w:p>
    <w:p>
      <w:pPr>
        <w:ind w:left="403" w:right="259"/>
      </w:pPr>
      <w:r>
        <w:rPr>
          <w:b/>
          <w:color w:val="A9853E"/>
        </w:rPr>
        <w:t xml:space="preserve">Research note: </w:t>
      </w:r>
      <w:r>
        <w:t>Primary opening hierarchy. The translation is project wording, not a quotation of a modern English edition.</w:t>
      </w:r>
    </w:p>
    <w:p>
      <w:r>
        <w:rPr>
          <w:b/>
          <w:color w:val="7B2638"/>
        </w:rPr>
        <w:t>Upadeśāmṛta 10</w:t>
      </w:r>
    </w:p>
    <w:p>
      <w:pPr>
        <w:pStyle w:val="SourceSanskrit"/>
      </w:pPr>
      <w:r>
        <w:t>karmibhyaḥ parito hareḥ priyatayā vyaktiṁ yayur jñāninas / tebhyo jñāna-vimukta-bhakti-paramāḥ premaika-niṣṭhās tataḥ / tebhyas tāḥ paśu-pāla-paṅkaja-dṛśas tābhyo ’pi sā rādhikā / preṣṭhā tadvad iyaṁ tadīya-sarasī tāṁ nāśrayet kaḥ kṛtī ||10||</w:t>
      </w:r>
    </w:p>
    <w:p>
      <w:pPr>
        <w:ind w:left="403" w:right="259"/>
      </w:pPr>
      <w:r>
        <w:rPr>
          <w:sz w:val="20"/>
        </w:rPr>
        <w:t>Above fruitive workers are those established in knowledge; above them are devotees freed from the limits of mere knowledge; above them are those fixed in prema; above them are the lotus-eyed cowherd girls; and among them Rādhikā is most dear. In the same way, this lake belonging to Her is most dear. What fortunate person would not take shelter of it?</w:t>
      </w:r>
    </w:p>
    <w:p>
      <w:pPr>
        <w:ind w:left="403" w:right="259"/>
      </w:pPr>
      <w:r>
        <w:rPr>
          <w:b/>
          <w:color w:val="A9853E"/>
        </w:rPr>
        <w:t xml:space="preserve">Research note: </w:t>
      </w:r>
      <w:r>
        <w:t>Research use: Rūpa moves from a hierarchy of persons to Rādhā and then directly to Her lake.</w:t>
      </w:r>
    </w:p>
    <w:p>
      <w:r>
        <w:rPr>
          <w:b/>
          <w:color w:val="7B2638"/>
        </w:rPr>
        <w:t>Upadeśāmṛta 11</w:t>
      </w:r>
    </w:p>
    <w:p>
      <w:pPr>
        <w:pStyle w:val="SourceSanskrit"/>
      </w:pPr>
      <w:r>
        <w:t>kṛṣṇasyoccaiḥ praṇaya-vasatiḥ preyasībhyo ’pi rādhā / kuṇḍaṁ cāsyā munibhir abhitas tādṛg eva vyadhāyi / yat preṣṭhair apy alam asulabhaṁ kiṁ punar bhakti-bhājāṁ / tat premedaṁ sakṛd api saraḥ snātur āviṣkaroti ||11||</w:t>
      </w:r>
    </w:p>
    <w:p>
      <w:pPr>
        <w:ind w:left="403" w:right="259"/>
      </w:pPr>
      <w:r>
        <w:rPr>
          <w:sz w:val="20"/>
        </w:rPr>
        <w:t>Among Kṛṣṇa’s beloveds, Rādhā is the highest abode of His love; and Her kuṇḍa is described by the sages as being similarly dear in every respect. It is difficult to attain even for His dearest devotees, what then of ordinary practitioners; yet this lake reveals that prema to one who bathes in it even once.</w:t>
      </w:r>
    </w:p>
    <w:p>
      <w:pPr>
        <w:ind w:left="403" w:right="259"/>
      </w:pPr>
      <w:r>
        <w:rPr>
          <w:b/>
          <w:color w:val="A9853E"/>
        </w:rPr>
        <w:t xml:space="preserve">Research note: </w:t>
      </w:r>
      <w:r>
        <w:t>Research use: the section should not isolate the final bathing statement from verses 9–10, where service and shelter frame the ascent.</w:t>
      </w:r>
    </w:p>
    <w:p>
      <w:pPr>
        <w:spacing w:before="20" w:after="120"/>
        <w:pBdr>
          <w:bottom w:val="single" w:sz="8" w:space="1" w:color="A9853E"/>
        </w:pBdr>
      </w:pPr>
    </w:p>
    <w:p>
      <w:pPr>
        <w:pStyle w:val="Heading2"/>
      </w:pPr>
      <w:r>
        <w:t>Mathurā-māhātmya 418–423</w:t>
      </w:r>
    </w:p>
    <w:p>
      <w:r>
        <w:rPr>
          <w:b/>
          <w:color w:val="7B2638"/>
        </w:rPr>
        <w:t>Mathurā-māhātmya 418</w:t>
      </w:r>
    </w:p>
    <w:p>
      <w:pPr>
        <w:pStyle w:val="SourceSanskrit"/>
      </w:pPr>
      <w:r>
        <w:t>ariṣṭa-rādhā-kuṇḍābhyāṁ / snānāt phalam avāpyate | rājasūyāśvamedhābhyāṁ / nātra kāryā vicāraṇā ||418||</w:t>
      </w:r>
    </w:p>
    <w:p>
      <w:pPr>
        <w:ind w:left="403" w:right="259"/>
      </w:pPr>
      <w:r>
        <w:rPr>
          <w:sz w:val="20"/>
        </w:rPr>
        <w:t>By bathing in Ariṣṭa-kuṇḍa and Rādhā-kuṇḍa, one obtains the fruit associated with the Rājasūya and Aśvamedha sacrifices; there is no need for doubt here.</w:t>
      </w:r>
    </w:p>
    <w:p>
      <w:pPr>
        <w:ind w:left="403" w:right="259"/>
      </w:pPr>
      <w:r>
        <w:rPr>
          <w:b/>
          <w:color w:val="A9853E"/>
        </w:rPr>
        <w:t xml:space="preserve">Research note: </w:t>
      </w:r>
      <w:r>
        <w:t>Rūpa introduces this under Ādi-varāha attribution.</w:t>
      </w:r>
    </w:p>
    <w:p>
      <w:r>
        <w:rPr>
          <w:b/>
          <w:color w:val="7B2638"/>
        </w:rPr>
        <w:t>Mathurā-māhātmya 419</w:t>
      </w:r>
    </w:p>
    <w:p>
      <w:pPr>
        <w:pStyle w:val="SourceSanskrit"/>
      </w:pPr>
      <w:r>
        <w:t>dīpotsave kārttike ca / rādhā-kuṇḍe yudhiṣṭhira | dṛśyate sakalaṁ viśvaṁ / bhṛtyair viṣṇu-parāyaṇaiḥ ||419||</w:t>
      </w:r>
    </w:p>
    <w:p>
      <w:pPr>
        <w:ind w:left="403" w:right="259"/>
      </w:pPr>
      <w:r>
        <w:rPr>
          <w:sz w:val="20"/>
        </w:rPr>
        <w:t>At the festival of lamps in Kārttika, at Rādhā-kuṇḍa, O Yudhiṣṭhira, the whole universe is seen by servants devoted to Viṣṇu.</w:t>
      </w:r>
    </w:p>
    <w:p>
      <w:pPr>
        <w:ind w:left="403" w:right="259"/>
      </w:pPr>
      <w:r>
        <w:rPr>
          <w:b/>
          <w:color w:val="A9853E"/>
        </w:rPr>
        <w:t xml:space="preserve">Research note: </w:t>
      </w:r>
      <w:r>
        <w:t>Literal working translation; not used in the reader-facing prose.</w:t>
      </w:r>
    </w:p>
    <w:p>
      <w:r>
        <w:rPr>
          <w:b/>
          <w:color w:val="7B2638"/>
        </w:rPr>
        <w:t>Mathurā-māhātmya 420</w:t>
      </w:r>
    </w:p>
    <w:p>
      <w:pPr>
        <w:pStyle w:val="SourceSanskrit"/>
      </w:pPr>
      <w:r>
        <w:t>govardhane girau ramye / rādhā-kuṇḍaṁ priyaṁ hareḥ | kārttike bahulāṣṭamyāṁ / tatra snātvā hareḥ priyaḥ ||420||</w:t>
      </w:r>
    </w:p>
    <w:p>
      <w:pPr>
        <w:ind w:left="403" w:right="259"/>
      </w:pPr>
      <w:r>
        <w:rPr>
          <w:sz w:val="20"/>
        </w:rPr>
        <w:t>On lovely Govardhana is Rādhā-kuṇḍa, dear to Hari. Bathing there on Bahulāṣṭamī in Kārttika, one becomes dear to Hari.</w:t>
      </w:r>
    </w:p>
    <w:p>
      <w:pPr>
        <w:ind w:left="403" w:right="259"/>
      </w:pPr>
      <w:r>
        <w:rPr>
          <w:b/>
          <w:color w:val="A9853E"/>
        </w:rPr>
        <w:t xml:space="preserve">Research note: </w:t>
      </w:r>
      <w:r>
        <w:t>Rūpa introduces this under Padma Purāṇa, Kārttika-māhātmya attribution.</w:t>
      </w:r>
    </w:p>
    <w:p>
      <w:r>
        <w:rPr>
          <w:b/>
          <w:color w:val="7B2638"/>
        </w:rPr>
        <w:t>Mathurā-māhātmya 421</w:t>
      </w:r>
    </w:p>
    <w:p>
      <w:pPr>
        <w:pStyle w:val="SourceSanskrit"/>
      </w:pPr>
      <w:r>
        <w:t>naro bhakto bhaved vipras / tat-sthitasya pratoṣaṇam | yathā rādhā priyā visnos / tasyāḥ kuṇḍaṁ priyaṁ tathā ||421||</w:t>
      </w:r>
    </w:p>
    <w:p>
      <w:pPr>
        <w:ind w:left="403" w:right="259"/>
      </w:pPr>
      <w:r>
        <w:rPr>
          <w:sz w:val="20"/>
        </w:rPr>
        <w:t>Key controlled half-verse: “As Rādhā is dear to Viṣṇu/Kṛṣṇa, so Her kuṇḍa is dear to Him.”</w:t>
      </w:r>
    </w:p>
    <w:p>
      <w:pPr>
        <w:ind w:left="403" w:right="259"/>
      </w:pPr>
      <w:r>
        <w:rPr>
          <w:b/>
          <w:color w:val="A9853E"/>
        </w:rPr>
        <w:t xml:space="preserve">Research note: </w:t>
      </w:r>
      <w:r>
        <w:t>The first hemistich is preserved exactly but is not translated or used in prose here; its syntax deserves separate philological review. The second hemistich is the central dearness formula.</w:t>
      </w:r>
    </w:p>
    <w:p>
      <w:r>
        <w:rPr>
          <w:b/>
          <w:color w:val="7B2638"/>
        </w:rPr>
        <w:t>Mathurā-māhātmya 422</w:t>
      </w:r>
    </w:p>
    <w:p>
      <w:pPr>
        <w:pStyle w:val="SourceSanskrit"/>
      </w:pPr>
      <w:r>
        <w:t>sarva-gopīṣu saivaikā / visnor atyanta-vallabhā | tat-kuṇḍe kārttikāṣṭamyāṁ / tatra snātvā hareḥ priyaḥ ||422||</w:t>
      </w:r>
    </w:p>
    <w:p>
      <w:pPr>
        <w:ind w:left="403" w:right="259"/>
      </w:pPr>
      <w:r>
        <w:rPr>
          <w:sz w:val="20"/>
        </w:rPr>
        <w:t>Among all the gopīs, She alone is supremely beloved of Viṣṇu. Bathing at Her kuṇḍa on Kārttika Aṣṭamī, one becomes dear to Hari.</w:t>
      </w:r>
    </w:p>
    <w:p>
      <w:pPr>
        <w:ind w:left="403" w:right="259"/>
      </w:pPr>
      <w:r>
        <w:rPr>
          <w:b/>
          <w:color w:val="A9853E"/>
        </w:rPr>
        <w:t xml:space="preserve">Research note: </w:t>
      </w:r>
      <w:r>
        <w:t>Closely parallels the dearness movement preserved in Upadeśāmṛta 10.</w:t>
      </w:r>
    </w:p>
    <w:p>
      <w:r>
        <w:rPr>
          <w:b/>
          <w:color w:val="7B2638"/>
        </w:rPr>
        <w:t>Mathurā-māhātmya 423</w:t>
      </w:r>
    </w:p>
    <w:p>
      <w:pPr>
        <w:pStyle w:val="SourceSanskrit"/>
      </w:pPr>
      <w:r>
        <w:t>natvā stutvā ca sampūjyo / deva-deva-janārdanaḥ | prabodhinyāṁ yathā prītas / tathā prītas tato bhavet ||423||</w:t>
      </w:r>
    </w:p>
    <w:p>
      <w:pPr>
        <w:ind w:left="403" w:right="259"/>
      </w:pPr>
      <w:r>
        <w:rPr>
          <w:sz w:val="20"/>
        </w:rPr>
        <w:t>Janārdana, God of gods, should be bowed to, praised, and fully worshiped; He becomes pleased as He is on Prabodhinī.</w:t>
      </w:r>
    </w:p>
    <w:p>
      <w:pPr>
        <w:ind w:left="403" w:right="259"/>
      </w:pPr>
      <w:r>
        <w:rPr>
          <w:b/>
          <w:color w:val="A9853E"/>
        </w:rPr>
        <w:t xml:space="preserve">Research note: </w:t>
      </w:r>
      <w:r>
        <w:t>Working translation; retained for the source card, not needed in opening prose.</w:t>
      </w:r>
    </w:p>
    <w:tbl>
      <w:tblPr>
        <w:tblW w:type="auto" w:w="0"/>
        <w:jc w:val="center"/>
        <w:tblLook w:firstColumn="1" w:firstRow="1" w:lastColumn="0" w:lastRow="0" w:noHBand="0" w:noVBand="1" w:val="04A0"/>
      </w:tblPr>
      <w:tblGrid>
        <w:gridCol w:w="9994"/>
      </w:tblGrid>
      <w:tr>
        <w:tc>
          <w:tcPr>
            <w:tcW w:type="dxa" w:w="9994"/>
            <w:shd w:fill="F5EFE3"/>
            <w:tcMar>
              <w:top w:w="100" w:type="dxa"/>
              <w:start w:w="120" w:type="dxa"/>
              <w:bottom w:w="100" w:type="dxa"/>
              <w:end w:w="120" w:type="dxa"/>
            </w:tcMar>
          </w:tcPr>
          <w:p>
            <w:pPr>
              <w:spacing w:after="20"/>
            </w:pPr>
            <w:r>
              <w:rPr>
                <w:b/>
                <w:color w:val="7B2638"/>
              </w:rPr>
              <w:t xml:space="preserve">ATTRIBUTION RULE  </w:t>
            </w:r>
            <w:r>
              <w:t>When these verses are cited in the Story, preserve Rūpa Gosvāmī’s own Purāṇic headings as his attributions. Do not silently claim that every quoted wording has already been independently verified in the extant recensions of those Purāṇas.</w:t>
            </w:r>
          </w:p>
        </w:tc>
      </w:tr>
    </w:tbl>
    <w:p>
      <w:pPr>
        <w:pStyle w:val="Kicker"/>
      </w:pPr>
      <w:r>
        <w:t>READER-FACING PROSE</w:t>
      </w:r>
    </w:p>
    <w:p>
      <w:pPr>
        <w:pStyle w:val="Heading1"/>
      </w:pPr>
      <w:r>
        <w:t>1. At the Foot of Govardhana: The Two Waters</w:t>
      </w:r>
    </w:p>
    <w:p>
      <w:pPr>
        <w:spacing w:after="160"/>
      </w:pPr>
      <w:r>
        <w:t>At the foot of Govardhana are two sacred waters that Gauḍīya Vaiṣṇava tradition asks the pilgrim to contemplate together. One is Rādhā-kuṇḍa, the lake of Śrī Rādhā. The adjoining companion is now ordinarily called Śyāma-kuṇḍa. To stand before them is to encounter a striking disproportion between outward scale and theological weight: two waters in the landscape of Vraja are treated by Rūpa Gosvāmī not as minor appendages to Govardhana, but as the culmination of a hierarchy of sacred place.</w:t>
      </w:r>
    </w:p>
    <w:p>
      <w:pPr>
        <w:spacing w:after="160"/>
      </w:pPr>
      <w:r>
        <w:t>The pair belongs together from the beginning of the textual discussion. In Mathurā-māhātmya 418 Rūpa uses the dual expression ariṣṭa-rādhā-kuṇḍābhyām, ‘from the two kuṇḍas, Ariṣṭa and Rādhā,’ while praising the fruit of bathing there. The wording is useful because it prevents the reader from imagining two unrelated pilgrimage stops placed side by side by accident. The waters have distinct names and identities, yet the early Gauḍīya textual tradition already presents them as a pair. The later story will explain why their distinction and their joining both matter.</w:t>
      </w:r>
    </w:p>
    <w:p>
      <w:pPr>
        <w:pStyle w:val="SourceSanskrit"/>
        <w:ind w:left="547" w:right="360"/>
      </w:pPr>
      <w:r>
        <w:rPr>
          <w:i/>
        </w:rPr>
        <w:t>Rūpa states that hierarchy with extraordinary compression in the ninth verse of his Upadeśāmṛta. Mathurā is superior to Vaikuṇṭha because Kṛṣṇa took birth there. Vṛndāvana is superior to Mathurā because of the rāsa festival. Govardhana is superior to Vṛndāvana because of Kṛṣṇa’s loving pastimes there. Then the sequence narrows once more, from the great hill to a single lake at its foot:</w:t>
      </w:r>
    </w:p>
    <w:p>
      <w:pPr>
        <w:spacing w:after="160"/>
      </w:pPr>
      <w:r>
        <w:t>vaikuṇṭhāj janito varā madhu-purī tatrāpi rāsotsavād</w:t>
        <w:br/>
        <w:t>vṛndāraṇyam udāra-pāṇi-ramaṇāt tatrāpi govardhanaḥ</w:t>
        <w:br/>
        <w:t>rādhā-kuṇḍam ihāpi gokula-pateḥ premāmṛtāplāvanāt</w:t>
        <w:br/>
        <w:t>kuryād asya virājato giri-taṭe sevāṁ vivekī na kaḥ ||9||</w:t>
      </w:r>
    </w:p>
    <w:p>
      <w:pPr>
        <w:spacing w:after="160"/>
      </w:pPr>
      <w:r>
        <w:t>Rādhā-kuṇḍa, Rūpa says, stands above even Govardhana because it is flooded by premāmṛta—the nectar of divine love—of the Lord of Gokula. His verse ends not with a demand that the reader admire the lake, but with a question about service: what discerning person would not render sevā to this Rādhā-kuṇḍa shining at the foot of the hill? The movement is therefore not simply from famous place to more famous place. It is an ascent toward greater intimacy: from the city of Kṛṣṇa’s birth, to the forest of rāsa, to the hill of His loving play, and finally to the water identified with the deepest exchange of prema.</w:t>
      </w:r>
    </w:p>
    <w:p>
      <w:pPr>
        <w:spacing w:after="160"/>
      </w:pPr>
      <w:r>
        <w:t>The next verse intensifies that movement by shifting from places to persons. Rūpa moves through karmīs, jñānīs, devotees, those fixed in prema, and the gopīs; among the gopīs he places Rādhikā as Kṛṣṇa’s most beloved. Then, without breaking the logic of the verse, he adds: tadvad iyaṁ tadīya-sarasī—“in the same way, this lake belonging to Her.” The excellence of Rādhā-kuṇḍa is thus relational. Its glory is not first explained by size, antiquity, architecture, or the accumulation of pilgrimage merit. It is Her lake, and its dearness follows Her dearness.</w:t>
      </w:r>
    </w:p>
    <w:p>
      <w:pPr>
        <w:pStyle w:val="SourceSanskrit"/>
        <w:ind w:left="547" w:right="360"/>
      </w:pPr>
      <w:r>
        <w:rPr>
          <w:i/>
        </w:rPr>
        <w:t>Rūpa’s Mathurā-māhātmya preserves the same principle in a concise line that became foundational for Gauḍīya praise of the kuṇḍa:</w:t>
      </w:r>
    </w:p>
    <w:p>
      <w:pPr>
        <w:spacing w:after="160"/>
      </w:pPr>
      <w:r>
        <w:t>yathā rādhā priyā viṣṇos / tasyāḥ kuṇḍaṁ priyaṁ tathā ||</w:t>
      </w:r>
    </w:p>
    <w:p>
      <w:pPr>
        <w:spacing w:after="160"/>
      </w:pPr>
      <w:r>
        <w:t>“As Rādhā is dear to Viṣṇu—that is, to Kṛṣṇa—so Her kuṇḍa is dear to Him.” The surrounding verses pair Rādhā-kuṇḍa with the other sacred water and especially connect the place with Kārttika and Bahulāṣṭamī. But this single line gives the theological key. Rādhā-kuṇḍa is not merely a pond at which something sacred once happened. Its identity is inseparable from Rādhā Herself.</w:t>
      </w:r>
    </w:p>
    <w:p>
      <w:pPr>
        <w:spacing w:after="160"/>
      </w:pPr>
      <w:r>
        <w:t>This is why the name of the second water matters. A modern pilgrim normally hears Śyāma-kuṇḍa, and that name will be used when orienting to the present sacred complex. Yet the early Gauḍīya sources do not always speak that way. Rūpa’s Mathurā-māhātmya pairs Rādhā-kuṇḍa with Ariṣṭa-kuṇḍa. The fuller manifestation narrative also knows Kṛṣṇa-kuṇḍa and Ariṣṭa-mardana-saras, the lake of the subduer of Ariṣṭa. Those older names belong to the story itself. They remember the demon whose death stands immediately behind the appearance of the two waters. For that reason, this account will preserve the name used by each source rather than silently replacing every older designation with the later common name Śyāma-kuṇḍa.</w:t>
      </w:r>
    </w:p>
    <w:p>
      <w:pPr>
        <w:spacing w:after="160"/>
      </w:pPr>
      <w:r>
        <w:t>The naming history also keeps us attentive to the difference between a sacred place and the names by which later pilgrims inherit it. ‘Śyāma-kuṇḍa’ is not being rejected; it is the living and familiar name of Kṛṣṇa’s pond in the present tradition. But a historical study gains something by hearing Rūpa say Ariṣṭa-kuṇḍa and the manifestation account say Kṛṣṇa-kuṇḍa. Each name places a different accent on the same companion water: Ariṣṭa-kuṇḍa remembers the demon and the event that occasioned the lake; Kṛṣṇa-kuṇḍa names the pond by its divine possessor; the later Śyāma-kuṇḍa names it through Kṛṣṇa’s dark, beautiful identity. The names do not need to be forced into a single period in order to belong to one devotional landscape.</w:t>
      </w:r>
    </w:p>
    <w:p>
      <w:pPr>
        <w:spacing w:after="160"/>
      </w:pPr>
      <w:r>
        <w:t>Rūpa’s eleventh verse makes the claim more intimate still. Rādhā is described as the highest abode of Kṛṣṇa’s love among His beloveds, and Her kuṇḍa is said by the sages to be similarly dear in every respect. The verse culminates in the startling promise that the lake reveals prema to one who bathes there even once. Read by itself, such a statement could be reduced to a mechanical rule of pilgrimage. Read together with verses nine and ten, however, its horizon is larger: Rūpa has already spoken of sevā, shelter, Rādhā’s unique dearness, and the good fortune of taking refuge at Her lake. Bathing belongs inside that devotional world.</w:t>
      </w:r>
    </w:p>
    <w:p>
      <w:pPr>
        <w:spacing w:after="160"/>
      </w:pPr>
      <w:r>
        <w:t>Raghunātha dāsa Gosvāmī gives the place an even more personal voice. Again and again in his Rādhā-kuṇḍāṣṭaka he closes his praise with the prayer, rādhā-kuṇḍam evāśrayo me—“May Rādhā-kuṇḍa alone be my shelter.” For him the lake is not only the summit of a theological hierarchy. It is a place of longing, residence, remembrance, and service—a sacred geography one desires to inhabit.</w:t>
      </w:r>
    </w:p>
    <w:p>
      <w:pPr>
        <w:spacing w:after="160"/>
      </w:pPr>
      <w:r>
        <w:t>Before we can understand that longing, however, we have to ask how these two waters entered the story of Vraja at all. The earliest canonical foundation does not begin with a lake. It begins with fear: a great bull-demon enters the cowherd settlement, tearing the earth with his hooves and terrifying its inhabitants. His name is Ariṣṭa. The story of Rādhā-kuṇḍa begins with his arrival.</w:t>
      </w:r>
    </w:p>
    <w:p>
      <w:pPr>
        <w:spacing w:before="20" w:after="120"/>
        <w:pBdr>
          <w:bottom w:val="single" w:sz="8" w:space="1" w:color="A9853E"/>
        </w:pBdr>
      </w:pPr>
    </w:p>
    <w:p>
      <w:pPr>
        <w:pStyle w:val="Kicker"/>
      </w:pPr>
      <w:r>
        <w:t>INTERNAL CONTROL APPARATUS • REMOVE OR CONVERT TO NOTES IN FINAL COMPILATION</w:t>
      </w:r>
    </w:p>
    <w:p>
      <w:pPr>
        <w:pStyle w:val="Heading1"/>
      </w:pPr>
      <w:r>
        <w:t>Sources actually used</w:t>
      </w:r>
    </w:p>
    <w:p>
      <w:pPr>
        <w:ind w:left="288" w:hanging="173"/>
      </w:pPr>
      <w:r>
        <w:rPr>
          <w:b/>
        </w:rPr>
        <w:t xml:space="preserve">• </w:t>
      </w:r>
      <w:r>
        <w:t>Rūpa Gosvāmī, Upadeśāmṛta 9–11. Sanskrit/transliteration checked against Vedabase on 22 August 2026. Project translations in this draft are newly worded for the Govardhana Pilgrimage project.</w:t>
      </w:r>
    </w:p>
    <w:p>
      <w:pPr>
        <w:ind w:left="288" w:hanging="173"/>
      </w:pPr>
      <w:r>
        <w:rPr>
          <w:b/>
        </w:rPr>
        <w:t xml:space="preserve">• </w:t>
      </w:r>
      <w:r>
        <w:t>Rūpa Gosvāmī, Mathurā-māhātmya 418–423. Checked directly in the project source file. Verse 418 uses Ariṣṭa-kuṇḍa; verses 420–422 center Rādhā-kuṇḍa, Kārttika/Bahulāṣṭamī, and the dearness formula.</w:t>
      </w:r>
    </w:p>
    <w:p>
      <w:pPr>
        <w:ind w:left="288" w:hanging="173"/>
      </w:pPr>
      <w:r>
        <w:rPr>
          <w:b/>
        </w:rPr>
        <w:t xml:space="preserve">• </w:t>
      </w:r>
      <w:r>
        <w:t>Raghunātha dāsa Gosvāmī, Rādhā-kuṇḍāṣṭaka, especially the recurring refrain rādhā-kuṇḍam evāśrayo me. Full verse 1 is intentionally reserved for Section 3, where narma-dharmokti and sva-hastena become narratively necessary.</w:t>
      </w:r>
    </w:p>
    <w:p>
      <w:pPr>
        <w:ind w:left="288" w:hanging="173"/>
      </w:pPr>
      <w:r>
        <w:rPr>
          <w:b/>
        </w:rPr>
        <w:t xml:space="preserve">• </w:t>
      </w:r>
      <w:r>
        <w:t>01 — Rādhā-kuṇḍa Research Dossier v0.4 and reconstructed RS-01 for the controlled name history: Ariṣṭa-kuṇḍa / Ariṣṭa-saras / Kṛṣṇa-kuṇḍa in early or manifestation witnesses; Śyāma-kuṇḍa as the later/common designation whose earliest secure normal occurrence remains open.</w:t>
      </w:r>
    </w:p>
    <w:p>
      <w:pPr>
        <w:ind w:left="288" w:hanging="173"/>
      </w:pPr>
      <w:r>
        <w:rPr>
          <w:b/>
        </w:rPr>
        <w:t xml:space="preserve">• </w:t>
      </w:r>
      <w:r>
        <w:t>RKST-00 Writing Blueprint v1.0 for section scope, target length, evidence-layer handling, and the instruction to keep modern orientation subordinate to A-level meaning.</w:t>
      </w:r>
    </w:p>
    <w:p>
      <w:pPr>
        <w:pStyle w:val="Heading2"/>
      </w:pPr>
      <w:r>
        <w:t>Quotation ledger</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shd w:fill="7B2638"/>
            <w:tcMar>
              <w:top w:w="80" w:type="dxa"/>
              <w:start w:w="90" w:type="dxa"/>
              <w:bottom w:w="80" w:type="dxa"/>
              <w:end w:w="90" w:type="dxa"/>
            </w:tcMar>
          </w:tcPr>
          <w:p>
            <w:r>
              <w:rPr>
                <w:b/>
                <w:color w:val="FFFFFF"/>
              </w:rPr>
              <w:t>Locus</w:t>
            </w:r>
          </w:p>
        </w:tc>
        <w:tc>
          <w:tcPr>
            <w:tcW w:type="dxa" w:w="2498"/>
            <w:shd w:fill="7B2638"/>
            <w:tcMar>
              <w:top w:w="80" w:type="dxa"/>
              <w:start w:w="90" w:type="dxa"/>
              <w:bottom w:w="80" w:type="dxa"/>
              <w:end w:w="90" w:type="dxa"/>
            </w:tcMar>
          </w:tcPr>
          <w:p>
            <w:r>
              <w:rPr>
                <w:b/>
                <w:color w:val="FFFFFF"/>
              </w:rPr>
              <w:t>Text retained</w:t>
            </w:r>
          </w:p>
        </w:tc>
        <w:tc>
          <w:tcPr>
            <w:tcW w:type="dxa" w:w="2498"/>
            <w:shd w:fill="7B2638"/>
            <w:tcMar>
              <w:top w:w="80" w:type="dxa"/>
              <w:start w:w="90" w:type="dxa"/>
              <w:bottom w:w="80" w:type="dxa"/>
              <w:end w:w="90" w:type="dxa"/>
            </w:tcMar>
          </w:tcPr>
          <w:p>
            <w:r>
              <w:rPr>
                <w:b/>
                <w:color w:val="FFFFFF"/>
              </w:rPr>
              <w:t>Witness check</w:t>
            </w:r>
          </w:p>
        </w:tc>
        <w:tc>
          <w:tcPr>
            <w:tcW w:type="dxa" w:w="2498"/>
            <w:shd w:fill="7B2638"/>
            <w:tcMar>
              <w:top w:w="80" w:type="dxa"/>
              <w:start w:w="90" w:type="dxa"/>
              <w:bottom w:w="80" w:type="dxa"/>
              <w:end w:w="90" w:type="dxa"/>
            </w:tcMar>
          </w:tcPr>
          <w:p>
            <w:r>
              <w:rPr>
                <w:b/>
                <w:color w:val="FFFFFF"/>
              </w:rPr>
              <w:t>Final-use status</w:t>
            </w:r>
          </w:p>
        </w:tc>
      </w:tr>
      <w:tr>
        <w:tc>
          <w:tcPr>
            <w:tcW w:type="dxa" w:w="2498"/>
            <w:tcMar>
              <w:top w:w="80" w:type="dxa"/>
              <w:start w:w="90" w:type="dxa"/>
              <w:bottom w:w="80" w:type="dxa"/>
              <w:end w:w="90" w:type="dxa"/>
            </w:tcMar>
            <w:vAlign w:val="top"/>
          </w:tcPr>
          <w:p>
            <w:r>
              <w:t>Upadeśāmṛta 9</w:t>
            </w:r>
          </w:p>
        </w:tc>
        <w:tc>
          <w:tcPr>
            <w:tcW w:type="dxa" w:w="2498"/>
            <w:tcMar>
              <w:top w:w="80" w:type="dxa"/>
              <w:start w:w="90" w:type="dxa"/>
              <w:bottom w:w="80" w:type="dxa"/>
              <w:end w:w="90" w:type="dxa"/>
            </w:tcMar>
            <w:vAlign w:val="top"/>
          </w:tcPr>
          <w:p>
            <w:r>
              <w:t>Full Sanskrit visible in prose</w:t>
            </w:r>
          </w:p>
        </w:tc>
        <w:tc>
          <w:tcPr>
            <w:tcW w:type="dxa" w:w="2498"/>
            <w:tcMar>
              <w:top w:w="80" w:type="dxa"/>
              <w:start w:w="90" w:type="dxa"/>
              <w:bottom w:w="80" w:type="dxa"/>
              <w:end w:w="90" w:type="dxa"/>
            </w:tcMar>
            <w:vAlign w:val="top"/>
          </w:tcPr>
          <w:p>
            <w:r>
              <w:t>Vedabase, 22 Aug 2026</w:t>
            </w:r>
          </w:p>
        </w:tc>
        <w:tc>
          <w:tcPr>
            <w:tcW w:type="dxa" w:w="2498"/>
            <w:tcMar>
              <w:top w:w="80" w:type="dxa"/>
              <w:start w:w="90" w:type="dxa"/>
              <w:bottom w:w="80" w:type="dxa"/>
              <w:end w:w="90" w:type="dxa"/>
            </w:tcMar>
            <w:vAlign w:val="top"/>
          </w:tcPr>
          <w:p>
            <w:r>
              <w:t>KEEP — principal opening quotation</w:t>
            </w:r>
          </w:p>
        </w:tc>
      </w:tr>
      <w:tr>
        <w:tc>
          <w:tcPr>
            <w:tcW w:type="dxa" w:w="2498"/>
            <w:tcMar>
              <w:top w:w="80" w:type="dxa"/>
              <w:start w:w="90" w:type="dxa"/>
              <w:bottom w:w="80" w:type="dxa"/>
              <w:end w:w="90" w:type="dxa"/>
            </w:tcMar>
            <w:vAlign w:val="top"/>
          </w:tcPr>
          <w:p>
            <w:r>
              <w:t>Mathurā-māhātmya 421</w:t>
            </w:r>
          </w:p>
        </w:tc>
        <w:tc>
          <w:tcPr>
            <w:tcW w:type="dxa" w:w="2498"/>
            <w:tcMar>
              <w:top w:w="80" w:type="dxa"/>
              <w:start w:w="90" w:type="dxa"/>
              <w:bottom w:w="80" w:type="dxa"/>
              <w:end w:w="90" w:type="dxa"/>
            </w:tcMar>
            <w:vAlign w:val="top"/>
          </w:tcPr>
          <w:p>
            <w:r>
              <w:t>yathā rādhā priyā viṣṇos / tasyāḥ kuṇḍaṁ priyaṁ tathā</w:t>
            </w:r>
          </w:p>
        </w:tc>
        <w:tc>
          <w:tcPr>
            <w:tcW w:type="dxa" w:w="2498"/>
            <w:tcMar>
              <w:top w:w="80" w:type="dxa"/>
              <w:start w:w="90" w:type="dxa"/>
              <w:bottom w:w="80" w:type="dxa"/>
              <w:end w:w="90" w:type="dxa"/>
            </w:tcMar>
            <w:vAlign w:val="top"/>
          </w:tcPr>
          <w:p>
            <w:r>
              <w:t>Project source file</w:t>
            </w:r>
          </w:p>
        </w:tc>
        <w:tc>
          <w:tcPr>
            <w:tcW w:type="dxa" w:w="2498"/>
            <w:tcMar>
              <w:top w:w="80" w:type="dxa"/>
              <w:start w:w="90" w:type="dxa"/>
              <w:bottom w:w="80" w:type="dxa"/>
              <w:end w:w="90" w:type="dxa"/>
            </w:tcMar>
            <w:vAlign w:val="top"/>
          </w:tcPr>
          <w:p>
            <w:r>
              <w:t>KEEP — central dearness formula</w:t>
            </w:r>
          </w:p>
        </w:tc>
      </w:tr>
      <w:tr>
        <w:tc>
          <w:tcPr>
            <w:tcW w:type="dxa" w:w="2498"/>
            <w:tcMar>
              <w:top w:w="80" w:type="dxa"/>
              <w:start w:w="90" w:type="dxa"/>
              <w:bottom w:w="80" w:type="dxa"/>
              <w:end w:w="90" w:type="dxa"/>
            </w:tcMar>
            <w:vAlign w:val="top"/>
          </w:tcPr>
          <w:p>
            <w:r>
              <w:t>Rādhā-kuṇḍāṣṭaka refrain</w:t>
            </w:r>
          </w:p>
        </w:tc>
        <w:tc>
          <w:tcPr>
            <w:tcW w:type="dxa" w:w="2498"/>
            <w:tcMar>
              <w:top w:w="80" w:type="dxa"/>
              <w:start w:w="90" w:type="dxa"/>
              <w:bottom w:w="80" w:type="dxa"/>
              <w:end w:w="90" w:type="dxa"/>
            </w:tcMar>
            <w:vAlign w:val="top"/>
          </w:tcPr>
          <w:p>
            <w:r>
              <w:t>rādhā-kuṇḍam evāśrayo me</w:t>
            </w:r>
          </w:p>
        </w:tc>
        <w:tc>
          <w:tcPr>
            <w:tcW w:type="dxa" w:w="2498"/>
            <w:tcMar>
              <w:top w:w="80" w:type="dxa"/>
              <w:start w:w="90" w:type="dxa"/>
              <w:bottom w:w="80" w:type="dxa"/>
              <w:end w:w="90" w:type="dxa"/>
            </w:tcMar>
            <w:vAlign w:val="top"/>
          </w:tcPr>
          <w:p>
            <w:r>
              <w:t>Stavāvalī project witness / ledgers</w:t>
            </w:r>
          </w:p>
        </w:tc>
        <w:tc>
          <w:tcPr>
            <w:tcW w:type="dxa" w:w="2498"/>
            <w:tcMar>
              <w:top w:w="80" w:type="dxa"/>
              <w:start w:w="90" w:type="dxa"/>
              <w:bottom w:w="80" w:type="dxa"/>
              <w:end w:w="90" w:type="dxa"/>
            </w:tcMar>
            <w:vAlign w:val="top"/>
          </w:tcPr>
          <w:p>
            <w:r>
              <w:t>KEEP as short refrain; reserve full v.1 for Section 3</w:t>
            </w:r>
          </w:p>
        </w:tc>
      </w:tr>
      <w:tr>
        <w:tc>
          <w:tcPr>
            <w:tcW w:type="dxa" w:w="2498"/>
            <w:tcMar>
              <w:top w:w="80" w:type="dxa"/>
              <w:start w:w="90" w:type="dxa"/>
              <w:bottom w:w="80" w:type="dxa"/>
              <w:end w:w="90" w:type="dxa"/>
            </w:tcMar>
            <w:vAlign w:val="top"/>
          </w:tcPr>
          <w:p>
            <w:r>
              <w:t>Upadeśāmṛta 10–11</w:t>
            </w:r>
          </w:p>
        </w:tc>
        <w:tc>
          <w:tcPr>
            <w:tcW w:type="dxa" w:w="2498"/>
            <w:tcMar>
              <w:top w:w="80" w:type="dxa"/>
              <w:start w:w="90" w:type="dxa"/>
              <w:bottom w:w="80" w:type="dxa"/>
              <w:end w:w="90" w:type="dxa"/>
            </w:tcMar>
            <w:vAlign w:val="top"/>
          </w:tcPr>
          <w:p>
            <w:r>
              <w:t>Paraphrased in prose; exact Sanskrit in source card</w:t>
            </w:r>
          </w:p>
        </w:tc>
        <w:tc>
          <w:tcPr>
            <w:tcW w:type="dxa" w:w="2498"/>
            <w:tcMar>
              <w:top w:w="80" w:type="dxa"/>
              <w:start w:w="90" w:type="dxa"/>
              <w:bottom w:w="80" w:type="dxa"/>
              <w:end w:w="90" w:type="dxa"/>
            </w:tcMar>
            <w:vAlign w:val="top"/>
          </w:tcPr>
          <w:p>
            <w:r>
              <w:t>Vedabase, 22 Aug 2026</w:t>
            </w:r>
          </w:p>
        </w:tc>
        <w:tc>
          <w:tcPr>
            <w:tcW w:type="dxa" w:w="2498"/>
            <w:tcMar>
              <w:top w:w="80" w:type="dxa"/>
              <w:start w:w="90" w:type="dxa"/>
              <w:bottom w:w="80" w:type="dxa"/>
              <w:end w:w="90" w:type="dxa"/>
            </w:tcMar>
            <w:vAlign w:val="top"/>
          </w:tcPr>
          <w:p>
            <w:r>
              <w:t>Source card only in this draft; possible later excerpt</w:t>
            </w:r>
          </w:p>
        </w:tc>
      </w:tr>
    </w:tbl>
    <w:p>
      <w:pPr>
        <w:pStyle w:val="Heading2"/>
      </w:pPr>
      <w:r>
        <w:t>Claims deliberately omitted or qualified</w:t>
      </w:r>
    </w:p>
    <w:p>
      <w:pPr>
        <w:ind w:left="288" w:hanging="173"/>
      </w:pPr>
      <w:r>
        <w:rPr>
          <w:b/>
        </w:rPr>
        <w:t xml:space="preserve">• </w:t>
      </w:r>
      <w:r>
        <w:t>No modern ghāṭ, shrine, tree, or causeway is identified as the exact footprint of an eternal-līlā feature in this opening.</w:t>
      </w:r>
    </w:p>
    <w:p>
      <w:pPr>
        <w:ind w:left="288" w:hanging="173"/>
      </w:pPr>
      <w:r>
        <w:rPr>
          <w:b/>
        </w:rPr>
        <w:t xml:space="preserve">• </w:t>
      </w:r>
      <w:r>
        <w:t>The companion pond is called Śyāma-kuṇḍa for present orientation only. Early-source passages retain Ariṣṭa-kuṇḍa / Kṛṣṇa-kuṇḍa / Ariṣṭa-mardana-saras as appropriate.</w:t>
      </w:r>
    </w:p>
    <w:p>
      <w:pPr>
        <w:ind w:left="288" w:hanging="173"/>
      </w:pPr>
      <w:r>
        <w:rPr>
          <w:b/>
        </w:rPr>
        <w:t xml:space="preserve">• </w:t>
      </w:r>
      <w:r>
        <w:t>The statement that Upadeśāmṛta 9 moves toward ‘greater intimacy’ is literary/theological synthesis based on the verse’s explicit sequence; it is not presented as Rūpa’s own technical phrase.</w:t>
      </w:r>
    </w:p>
    <w:p>
      <w:pPr>
        <w:ind w:left="288" w:hanging="173"/>
      </w:pPr>
      <w:r>
        <w:rPr>
          <w:b/>
        </w:rPr>
        <w:t xml:space="preserve">• </w:t>
      </w:r>
      <w:r>
        <w:t>Upadeśāmṛta 11 is not presented as a mechanical promise detached from sevā and shelter; verses 9–10 supply the immediate interpretive frame.</w:t>
      </w:r>
    </w:p>
    <w:p>
      <w:pPr>
        <w:ind w:left="288" w:hanging="173"/>
      </w:pPr>
      <w:r>
        <w:rPr>
          <w:b/>
        </w:rPr>
        <w:t xml:space="preserve">• </w:t>
      </w:r>
      <w:r>
        <w:t>Mathurā-māhātmya 421’s first hemistich is preserved in the source card but not translated into the reader-facing prose because its syntax deserves a separate philological check.</w:t>
      </w:r>
    </w:p>
    <w:p>
      <w:pPr>
        <w:ind w:left="288" w:hanging="173"/>
      </w:pPr>
      <w:r>
        <w:rPr>
          <w:b/>
        </w:rPr>
        <w:t xml:space="preserve">• </w:t>
      </w:r>
      <w:r>
        <w:t>Rūpa’s Purāṇic headings are treated as Rūpa’s attributions; this draft does not claim independent recension-level verification of every underlying Purāṇa quotation.</w:t>
      </w:r>
    </w:p>
    <w:p>
      <w:pPr>
        <w:pStyle w:val="Heading2"/>
      </w:pPr>
      <w:r>
        <w:t>Open items carried forward</w:t>
      </w:r>
    </w:p>
    <w:p>
      <w:pPr>
        <w:ind w:left="288" w:hanging="173"/>
      </w:pPr>
      <w:r>
        <w:rPr>
          <w:b/>
        </w:rPr>
        <w:t xml:space="preserve">• </w:t>
      </w:r>
      <w:r>
        <w:t>Earliest secure normal textual occurrence of the name Śyāma-kuṇḍa remains unresolved. Continue to use source-specific names.</w:t>
      </w:r>
    </w:p>
    <w:p>
      <w:pPr>
        <w:ind w:left="288" w:hanging="173"/>
      </w:pPr>
      <w:r>
        <w:rPr>
          <w:b/>
        </w:rPr>
        <w:t xml:space="preserve">• </w:t>
      </w:r>
      <w:r>
        <w:t>A later editorial pass may decide whether the final published opening should display all four lines of Upadeśāmṛta 9 or only the final two lines; the present draft retains the full verse because it establishes the entire hierarchy.</w:t>
      </w:r>
    </w:p>
    <w:p>
      <w:pPr>
        <w:ind w:left="288" w:hanging="173"/>
      </w:pPr>
      <w:r>
        <w:rPr>
          <w:b/>
        </w:rPr>
        <w:t xml:space="preserve">• </w:t>
      </w:r>
      <w:r>
        <w:t>The exact philology of Mathurā-māhātmya 421a–b (naro bhakto bhaved vipras / tat-sthitasya pratoṣaṇam) remains outside this section’s needs and should not be guessed.</w:t>
      </w:r>
    </w:p>
    <w:p>
      <w:pPr>
        <w:pStyle w:val="Heading2"/>
      </w:pPr>
      <w:r>
        <w:t>Cross-references</w:t>
      </w:r>
    </w:p>
    <w:p>
      <w:pPr>
        <w:ind w:left="288" w:hanging="173"/>
      </w:pPr>
      <w:r>
        <w:rPr>
          <w:b/>
        </w:rPr>
        <w:t xml:space="preserve">• </w:t>
      </w:r>
      <w:r>
        <w:t>Section 2 — Ariṣṭāsura: pick up directly from the final sentence of this section.</w:t>
      </w:r>
    </w:p>
    <w:p>
      <w:pPr>
        <w:ind w:left="288" w:hanging="173"/>
      </w:pPr>
      <w:r>
        <w:rPr>
          <w:b/>
        </w:rPr>
        <w:t xml:space="preserve">• </w:t>
      </w:r>
      <w:r>
        <w:t>Section 3 — Manifestation: reuse the early names Kṛṣṇa-kuṇḍa and Ariṣṭa-mardana-saras according to the twenty-verse narrative; introduce full Rādhā-kuṇḍāṣṭaka 1 there.</w:t>
      </w:r>
    </w:p>
    <w:p>
      <w:pPr>
        <w:ind w:left="288" w:hanging="173"/>
      </w:pPr>
      <w:r>
        <w:rPr>
          <w:b/>
        </w:rPr>
        <w:t xml:space="preserve">• </w:t>
      </w:r>
      <w:r>
        <w:t>Section 4 — What the Manifestation Reveals: return to Upadeśāmṛta 10–11 and Mathurā-māhātmya 421 for the full theological interpretation.</w:t>
      </w:r>
    </w:p>
    <w:p>
      <w:pPr>
        <w:ind w:left="288" w:hanging="173"/>
      </w:pPr>
      <w:r>
        <w:rPr>
          <w:b/>
        </w:rPr>
        <w:t xml:space="preserve">• </w:t>
      </w:r>
      <w:r>
        <w:t>Section 14 — Standing at the Water: echo the shelter theme with Vilāpa-kusumāñjali 97 rather than repeating the opening verbatim.</w:t>
      </w:r>
    </w:p>
    <w:tbl>
      <w:tblPr>
        <w:tblW w:type="auto" w:w="0"/>
        <w:jc w:val="center"/>
        <w:tblLook w:firstColumn="1" w:firstRow="1" w:lastColumn="0" w:lastRow="0" w:noHBand="0" w:noVBand="1" w:val="04A0"/>
      </w:tblPr>
      <w:tblGrid>
        <w:gridCol w:w="9994"/>
      </w:tblGrid>
      <w:tr>
        <w:tc>
          <w:tcPr>
            <w:tcW w:type="dxa" w:w="9994"/>
            <w:shd w:fill="F5EFE3"/>
            <w:tcMar>
              <w:top w:w="100" w:type="dxa"/>
              <w:start w:w="120" w:type="dxa"/>
              <w:bottom w:w="100" w:type="dxa"/>
              <w:end w:w="120" w:type="dxa"/>
            </w:tcMar>
          </w:tcPr>
          <w:p>
            <w:pPr>
              <w:spacing w:after="20"/>
            </w:pPr>
            <w:r>
              <w:rPr>
                <w:b/>
                <w:color w:val="7B2638"/>
              </w:rPr>
              <w:t xml:space="preserve">REVIEW QUESTION FOR V0.2  </w:t>
            </w:r>
            <w:r>
              <w:t>Does the opening feel like literature rather than a research summary, while still making the naming issue and the Gosvāmī hierarchy clear? If approved, revisions should be stylistic and selective rather than reopening the source architecture.</w:t>
            </w:r>
          </w:p>
        </w:tc>
      </w:tr>
    </w:tbl>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6969"/>
        <w:sz w:val="16"/>
      </w:rPr>
      <w:t>RKST-01 • Draft v0.1 • 22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A9853E"/>
        <w:sz w:val="16"/>
      </w:rPr>
      <w:t>GOVARDHANA PILGRIMAGE  •  RĀDHĀ-KUṆḌA STORY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D3A4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val="0"/>
      <w:color w:val="7B263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40"/>
    </w:pPr>
    <w:rPr>
      <w:rFonts w:ascii="Aptos" w:hAnsi="Aptos"/>
      <w:b/>
      <w:color w:val="A9853E"/>
      <w:sz w:val="17"/>
    </w:rPr>
  </w:style>
  <w:style w:type="paragraph" w:customStyle="1" w:styleId="SourceSanskrit">
    <w:name w:val="Source Sanskrit"/>
    <w:pPr>
      <w:spacing w:after="80"/>
      <w:ind w:left="403" w:right="259"/>
    </w:pPr>
    <w:rPr>
      <w:rFonts w:ascii="Aptos" w:hAnsi="Aptos"/>
      <w:i/>
      <w:color w:val="33333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RKST-01 — At the Foot of Govardhana: The Two Waters — Draft v0.1</dc:title>
  <dc:subject>Govardhana Pilgrimage — Rādhā-kuṇḍa Story</dc:subject>
  <dc:creator>Govardhana Pilgrimage project</dc:creator>
  <cp:keywords>Radhakunda, Radha-kunda, Govardhana, Upadesamrita, Mathura-mahatmya, Rupa Gosvami, Raghunatha dasa Gosvami</cp:keywords>
  <dc:description>generated by python-docx</dc:description>
  <cp:lastModifiedBy/>
  <cp:revision>1</cp:revision>
  <dcterms:created xsi:type="dcterms:W3CDTF">2013-12-23T23:15:00Z</dcterms:created>
  <dcterms:modified xsi:type="dcterms:W3CDTF">2013-12-23T23:15:00Z</dcterms:modified>
  <cp:category/>
</cp:coreProperties>
</file>