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RKST-02</w:t>
      </w:r>
    </w:p>
    <w:p>
      <w:pPr>
        <w:jc w:val="center"/>
      </w:pPr>
      <w:r>
        <w:rPr>
          <w:b/>
          <w:color w:val="7B2638"/>
          <w:sz w:val="44"/>
        </w:rPr>
        <w:t>Ariṣṭāsura: The Bhāgavatam Foundation</w:t>
      </w:r>
    </w:p>
    <w:p>
      <w:pPr>
        <w:jc w:val="center"/>
      </w:pPr>
      <w:r>
        <w:rPr>
          <w:i/>
          <w:sz w:val="23"/>
        </w:rPr>
        <w:t>Manifestation and meaning • Part I</w:t>
      </w:r>
    </w:p>
    <w:p/>
    <w:tbl>
      <w:tblPr>
        <w:tblW w:type="auto" w:w="0"/>
        <w:jc w:val="center"/>
        <w:tblLook w:firstColumn="1" w:firstRow="1" w:lastColumn="0" w:lastRow="0" w:noHBand="0" w:noVBand="1" w:val="04A0"/>
      </w:tblPr>
      <w:tblGrid>
        <w:gridCol w:w="9994"/>
      </w:tblGrid>
      <w:tr>
        <w:trPr>
          <w:cantSplit/>
        </w:trPr>
        <w:tc>
          <w:tcPr>
            <w:tcW w:type="dxa" w:w="9994"/>
            <w:shd w:fill="F3EBDD"/>
          </w:tcPr>
          <w:p>
            <w:pPr>
              <w:spacing w:after="40"/>
            </w:pPr>
            <w:r>
              <w:rPr>
                <w:b/>
                <w:color w:val="7B2638"/>
              </w:rPr>
              <w:t xml:space="preserve">DRAFT STATUS  </w:t>
            </w:r>
            <w:r>
              <w:t>Working literary draft v0.1. This section narrates only the Śrīmad-Bhāgavatam foundation and ends at the exact textual boundary where the fuller Rādhā-kuṇḍa manifestation tradition begins.</w:t>
            </w:r>
          </w:p>
        </w:tc>
      </w:tr>
    </w:tbl>
    <w:p>
      <w:pPr>
        <w:jc w:val="center"/>
      </w:pPr>
      <w:r>
        <w:rPr>
          <w:color w:val="5A5A5A"/>
          <w:sz w:val="19"/>
        </w:rPr>
        <w:t>Primary scripture evidence dominates this section. Later manifestation details are intentionally withheld until RKST-03.</w:t>
      </w:r>
    </w:p>
    <w:p>
      <w:r>
        <w:br w:type="page"/>
      </w:r>
    </w:p>
    <w:p>
      <w:pPr>
        <w:pStyle w:val="Kicker"/>
      </w:pPr>
      <w:r>
        <w:t>SOURCE CARD • VERIFIED BEFORE DRAFTING</w:t>
      </w:r>
    </w:p>
    <w:p>
      <w:pPr>
        <w:pStyle w:val="Heading1"/>
      </w:pPr>
      <w:r>
        <w:t>Śrīmad-Bhāgavatam 10.36.1–16</w:t>
      </w:r>
    </w:p>
    <w:p>
      <w:r>
        <w:t>The Writing Blueprint requires the Ariṣṭāsura episode to be told from the Bhāgavatam itself, while preserving the exact point at which the root text turns away from the episode. The Sanskrit and verse sequence below were checked against the Bhaktivedanta Vedabase on 22 August 2026. English renderings in this source card are newly worded for the Govardhana Pilgrimage project.</w:t>
      </w:r>
    </w:p>
    <w:p>
      <w:r>
        <w:rPr>
          <w:b/>
          <w:color w:val="7B2638"/>
        </w:rPr>
        <w:t>Śrīmad-Bhāgavatam 10.36.1</w:t>
      </w:r>
    </w:p>
    <w:p>
      <w:pPr>
        <w:pStyle w:val="SourceSanskrit"/>
      </w:pPr>
      <w:r>
        <w:t>atha tarhy āgato goṣṭham / ariṣṭo vṛṣabhāsuraḥ | mahīṁ mahā-kakut-kāyaḥ / kampayan khura-vikṣatām ||1||</w:t>
      </w:r>
    </w:p>
    <w:p>
      <w:r>
        <w:t>Then Ariṣṭa, the bull-demon, came into the cowherd settlement. His body bore a massive hump, and the earth trembled as his hooves tore it open.</w:t>
      </w:r>
    </w:p>
    <w:p>
      <w:r>
        <w:rPr>
          <w:b/>
          <w:color w:val="7B2638"/>
        </w:rPr>
        <w:t xml:space="preserve">Research note: </w:t>
      </w:r>
      <w:r>
        <w:t>Opening canonical anchor. The text itself calls him vṛṣabhāsuraḥ—an asura in the form of a bull.</w:t>
      </w:r>
    </w:p>
    <w:p>
      <w:r>
        <w:rPr>
          <w:b/>
          <w:color w:val="7B2638"/>
        </w:rPr>
        <w:t>Śrīmad-Bhāgavatam 10.36.5–6</w:t>
      </w:r>
    </w:p>
    <w:p>
      <w:pPr>
        <w:pStyle w:val="SourceSanskrit"/>
      </w:pPr>
      <w:r>
        <w:t>paśavo dudruvur bhītā rājan santyajya go-kulam | kṛṣṇa kṛṣṇeti te sarve govindaṁ śaraṇaṁ yayuḥ ||5||</w:t>
        <w:br/>
        <w:t>bhagavān api tad vīkṣya go-kulaṁ bhaya-vidrutam | mā bhaiṣṭeti girāśvāsya vṛṣāsuram upāhvayat ||6||</w:t>
      </w:r>
    </w:p>
    <w:p>
      <w:r>
        <w:t>The animals fled in fear, and the inhabitants went to Govinda for shelter, crying, “Kṛṣṇa! Kṛṣṇa!” Seeing the cowherd community scattered by fear, the Lord reassured them—“Do not be afraid”—and called out to the bull-demon.</w:t>
      </w:r>
    </w:p>
    <w:p>
      <w:r>
        <w:rPr>
          <w:b/>
          <w:color w:val="7B2638"/>
        </w:rPr>
        <w:t xml:space="preserve">Research note: </w:t>
      </w:r>
      <w:r>
        <w:t>The emotional hinge is shelter: the people flee toward Kṛṣṇa, and Kṛṣṇa first steadies Vraja before confronting Ariṣṭa.</w:t>
      </w:r>
    </w:p>
    <w:p>
      <w:r>
        <w:rPr>
          <w:b/>
          <w:color w:val="7B2638"/>
        </w:rPr>
        <w:t>Śrīmad-Bhāgavatam 10.36.8</w:t>
      </w:r>
    </w:p>
    <w:p>
      <w:pPr>
        <w:pStyle w:val="SourceSanskrit"/>
      </w:pPr>
      <w:r>
        <w:t>ity āsphotyācyuto ’riṣṭaṁ tala-śabdena kopayan | sakhyur aṁse bhujābhogaṁ prasāryāvasthito hariḥ ||8||</w:t>
      </w:r>
    </w:p>
    <w:p>
      <w:r>
        <w:t>After challenging Ariṣṭa, the infallible Lord slapped His arms, provoking the demon with the sound; then Hari stood before him with His great arm casually cast over a friend’s shoulder.</w:t>
      </w:r>
    </w:p>
    <w:p>
      <w:r>
        <w:rPr>
          <w:b/>
          <w:color w:val="7B2638"/>
        </w:rPr>
        <w:t xml:space="preserve">Research note: </w:t>
      </w:r>
      <w:r>
        <w:t>A vivid tone-setting verse: terror surrounds Vraja, while Kṛṣṇa meets the threat with complete ease.</w:t>
      </w:r>
    </w:p>
    <w:p>
      <w:r>
        <w:rPr>
          <w:b/>
          <w:color w:val="7B2638"/>
        </w:rPr>
        <w:t>Śrīmad-Bhāgavatam 10.36.13</w:t>
      </w:r>
    </w:p>
    <w:p>
      <w:pPr>
        <w:pStyle w:val="SourceSanskrit"/>
      </w:pPr>
      <w:r>
        <w:t>tam āpatantaṁ sa nigṛhya śṛṅgayoḥ / padā samākramya nipātya bhū-tale | niṣpīḍayām āsa yathārdram ambaraṁ / kṛtvā viṣāṇena jaghāna so ’patat ||13||</w:t>
      </w:r>
    </w:p>
    <w:p>
      <w:r>
        <w:t>As Ariṣṭa charged again, Kṛṣṇa seized his horns, forced him to the earth with His foot, thrashed him as one wrings a wet cloth, tore free a horn, and struck the demon down with it.</w:t>
      </w:r>
    </w:p>
    <w:p>
      <w:r>
        <w:rPr>
          <w:b/>
          <w:color w:val="7B2638"/>
        </w:rPr>
        <w:t xml:space="preserve">Research note: </w:t>
      </w:r>
      <w:r>
        <w:t>Principal combat quotation. The project translation preserves the source’s unusually physical imagery without expanding it.</w:t>
      </w:r>
    </w:p>
    <w:p>
      <w:r>
        <w:rPr>
          <w:b/>
          <w:color w:val="7B2638"/>
        </w:rPr>
        <w:t>Śrīmad-Bhāgavatam 10.36.15</w:t>
      </w:r>
    </w:p>
    <w:p>
      <w:pPr>
        <w:pStyle w:val="SourceSanskrit"/>
      </w:pPr>
      <w:r>
        <w:t>evaṁ kukudminaṁ hatvā stūyamāno dvijātibhiḥ | viveśa goṣṭhaṁ sa-balo gopīnāṁ nayanotsavaḥ ||15||</w:t>
      </w:r>
    </w:p>
    <w:p>
      <w:r>
        <w:t>Having killed the humped bull-demon, Kṛṣṇa—praised by the twice-born and accompanied by Balarāma—entered the cowherd settlement, a festival for the eyes of the gopīs.</w:t>
      </w:r>
    </w:p>
    <w:p>
      <w:r>
        <w:rPr>
          <w:b/>
          <w:color w:val="7B2638"/>
        </w:rPr>
        <w:t xml:space="preserve">Research note: </w:t>
      </w:r>
      <w:r>
        <w:t>This is the natural literary close of the Bhāgavatam’s Ariṣṭa scene: danger gives way to Kṛṣṇa’s return among His own people.</w:t>
      </w:r>
    </w:p>
    <w:p>
      <w:r>
        <w:rPr>
          <w:b/>
          <w:color w:val="7B2638"/>
        </w:rPr>
        <w:t>Śrīmad-Bhāgavatam 10.36.16</w:t>
      </w:r>
    </w:p>
    <w:p>
      <w:pPr>
        <w:pStyle w:val="SourceSanskrit"/>
      </w:pPr>
      <w:r>
        <w:t>ariṣṭe nihate daitye kṛṣṇenādbhuta-karmaṇā | kaṁsāyāthāha bhagavān nārado deva-darśanaḥ ||16||</w:t>
      </w:r>
    </w:p>
    <w:p>
      <w:r>
        <w:t>After the demon Ariṣṭa had been killed by wonderfully acting Kṛṣṇa, Nārada went to speak to Kaṁsa.</w:t>
      </w:r>
    </w:p>
    <w:p>
      <w:r>
        <w:rPr>
          <w:b/>
          <w:color w:val="7B2638"/>
        </w:rPr>
        <w:t xml:space="preserve">Research note: </w:t>
      </w:r>
      <w:r>
        <w:t>Textual boundary. The Bhāgavatam now moves to Nārada and Kaṁsa rather than narrating the manifestation of the twin kuṇḍas.</w:t>
      </w:r>
    </w:p>
    <w:p>
      <w:pPr>
        <w:pStyle w:val="Heading2"/>
      </w:pPr>
      <w:r>
        <w:t>Narrative movement of ŚB 10.36.1–15</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Verses</w:t>
            </w:r>
          </w:p>
        </w:tc>
        <w:tc>
          <w:tcPr>
            <w:tcW w:type="dxa" w:w="2498"/>
            <w:shd w:fill="7B2638"/>
          </w:tcPr>
          <w:p>
            <w:r>
              <w:rPr>
                <w:b/>
                <w:color w:val="FFFFFF"/>
              </w:rPr>
              <w:t>Movement</w:t>
            </w:r>
          </w:p>
        </w:tc>
        <w:tc>
          <w:tcPr>
            <w:tcW w:type="dxa" w:w="2498"/>
            <w:shd w:fill="7B2638"/>
          </w:tcPr>
          <w:p>
            <w:r>
              <w:rPr>
                <w:b/>
                <w:color w:val="FFFFFF"/>
              </w:rPr>
              <w:t>Direct content</w:t>
            </w:r>
          </w:p>
        </w:tc>
        <w:tc>
          <w:tcPr>
            <w:tcW w:type="dxa" w:w="2498"/>
            <w:shd w:fill="7B2638"/>
          </w:tcPr>
          <w:p>
            <w:r>
              <w:rPr>
                <w:b/>
                <w:color w:val="FFFFFF"/>
              </w:rPr>
              <w:t>Drafting use</w:t>
            </w:r>
          </w:p>
        </w:tc>
      </w:tr>
      <w:tr>
        <w:trPr>
          <w:cantSplit/>
        </w:trPr>
        <w:tc>
          <w:tcPr>
            <w:tcW w:type="dxa" w:w="2498"/>
            <w:vAlign w:val="top"/>
          </w:tcPr>
          <w:p>
            <w:r>
              <w:t>1–4</w:t>
            </w:r>
          </w:p>
        </w:tc>
        <w:tc>
          <w:tcPr>
            <w:tcW w:type="dxa" w:w="2498"/>
            <w:vAlign w:val="top"/>
          </w:tcPr>
          <w:p>
            <w:r>
              <w:t>Ariṣṭa enters Vraja</w:t>
            </w:r>
          </w:p>
        </w:tc>
        <w:tc>
          <w:tcPr>
            <w:tcW w:type="dxa" w:w="2498"/>
            <w:vAlign w:val="top"/>
          </w:tcPr>
          <w:p>
            <w:r>
              <w:t>Huge bull-form, tearing earth and embankments; roar spreads terror.</w:t>
            </w:r>
          </w:p>
        </w:tc>
        <w:tc>
          <w:tcPr>
            <w:tcW w:type="dxa" w:w="2498"/>
            <w:vAlign w:val="top"/>
          </w:tcPr>
          <w:p>
            <w:r>
              <w:t>Open with physical threat; do not yet introduce Rādhā-kuṇḍa.</w:t>
            </w:r>
          </w:p>
        </w:tc>
      </w:tr>
      <w:tr>
        <w:trPr>
          <w:cantSplit/>
        </w:trPr>
        <w:tc>
          <w:tcPr>
            <w:tcW w:type="dxa" w:w="2498"/>
            <w:vAlign w:val="top"/>
          </w:tcPr>
          <w:p>
            <w:r>
              <w:t>5–6</w:t>
            </w:r>
          </w:p>
        </w:tc>
        <w:tc>
          <w:tcPr>
            <w:tcW w:type="dxa" w:w="2498"/>
            <w:vAlign w:val="top"/>
          </w:tcPr>
          <w:p>
            <w:r>
              <w:t>Vraja seeks shelter</w:t>
            </w:r>
          </w:p>
        </w:tc>
        <w:tc>
          <w:tcPr>
            <w:tcW w:type="dxa" w:w="2498"/>
            <w:vAlign w:val="top"/>
          </w:tcPr>
          <w:p>
            <w:r>
              <w:t>Animals flee; residents cry to Kṛṣṇa; Kṛṣṇa reassures them.</w:t>
            </w:r>
          </w:p>
        </w:tc>
        <w:tc>
          <w:tcPr>
            <w:tcW w:type="dxa" w:w="2498"/>
            <w:vAlign w:val="top"/>
          </w:tcPr>
          <w:p>
            <w:r>
              <w:t>Make Govinda as shelter the emotional center.</w:t>
            </w:r>
          </w:p>
        </w:tc>
      </w:tr>
      <w:tr>
        <w:trPr>
          <w:cantSplit/>
        </w:trPr>
        <w:tc>
          <w:tcPr>
            <w:tcW w:type="dxa" w:w="2498"/>
            <w:vAlign w:val="top"/>
          </w:tcPr>
          <w:p>
            <w:r>
              <w:t>7–10</w:t>
            </w:r>
          </w:p>
        </w:tc>
        <w:tc>
          <w:tcPr>
            <w:tcW w:type="dxa" w:w="2498"/>
            <w:vAlign w:val="top"/>
          </w:tcPr>
          <w:p>
            <w:r>
              <w:t>Challenge and charge</w:t>
            </w:r>
          </w:p>
        </w:tc>
        <w:tc>
          <w:tcPr>
            <w:tcW w:type="dxa" w:w="2498"/>
            <w:vAlign w:val="top"/>
          </w:tcPr>
          <w:p>
            <w:r>
              <w:t>Kṛṣṇa rebukes Ariṣṭa; stands fearlessly; demon charges like a thunderbolt.</w:t>
            </w:r>
          </w:p>
        </w:tc>
        <w:tc>
          <w:tcPr>
            <w:tcW w:type="dxa" w:w="2498"/>
            <w:vAlign w:val="top"/>
          </w:tcPr>
          <w:p>
            <w:r>
              <w:t>Contrast communal fear with Kṛṣṇa’s composure.</w:t>
            </w:r>
          </w:p>
        </w:tc>
      </w:tr>
      <w:tr>
        <w:trPr>
          <w:cantSplit/>
        </w:trPr>
        <w:tc>
          <w:tcPr>
            <w:tcW w:type="dxa" w:w="2498"/>
            <w:vAlign w:val="top"/>
          </w:tcPr>
          <w:p>
            <w:r>
              <w:t>11–14</w:t>
            </w:r>
          </w:p>
        </w:tc>
        <w:tc>
          <w:tcPr>
            <w:tcW w:type="dxa" w:w="2498"/>
            <w:vAlign w:val="top"/>
          </w:tcPr>
          <w:p>
            <w:r>
              <w:t>Combat and death</w:t>
            </w:r>
          </w:p>
        </w:tc>
        <w:tc>
          <w:tcPr>
            <w:tcW w:type="dxa" w:w="2498"/>
            <w:vAlign w:val="top"/>
          </w:tcPr>
          <w:p>
            <w:r>
              <w:t>Kṛṣṇa repels, grounds, thrashes and kills Ariṣṭa; devas honor Him.</w:t>
            </w:r>
          </w:p>
        </w:tc>
        <w:tc>
          <w:tcPr>
            <w:tcW w:type="dxa" w:w="2498"/>
            <w:vAlign w:val="top"/>
          </w:tcPr>
          <w:p>
            <w:r>
              <w:t>Narrate decisively but without sensational expansion.</w:t>
            </w:r>
          </w:p>
        </w:tc>
      </w:tr>
      <w:tr>
        <w:trPr>
          <w:cantSplit/>
        </w:trPr>
        <w:tc>
          <w:tcPr>
            <w:tcW w:type="dxa" w:w="2498"/>
            <w:vAlign w:val="top"/>
          </w:tcPr>
          <w:p>
            <w:r>
              <w:t>15</w:t>
            </w:r>
          </w:p>
        </w:tc>
        <w:tc>
          <w:tcPr>
            <w:tcW w:type="dxa" w:w="2498"/>
            <w:vAlign w:val="top"/>
          </w:tcPr>
          <w:p>
            <w:r>
              <w:t>Return to goṣṭha</w:t>
            </w:r>
          </w:p>
        </w:tc>
        <w:tc>
          <w:tcPr>
            <w:tcW w:type="dxa" w:w="2498"/>
            <w:vAlign w:val="top"/>
          </w:tcPr>
          <w:p>
            <w:r>
              <w:t>Kṛṣṇa and Balarāma return; Kṛṣṇa is nayanotsava for the gopīs.</w:t>
            </w:r>
          </w:p>
        </w:tc>
        <w:tc>
          <w:tcPr>
            <w:tcW w:type="dxa" w:w="2498"/>
            <w:vAlign w:val="top"/>
          </w:tcPr>
          <w:p>
            <w:r>
              <w:t>End the canonical scene here.</w:t>
            </w:r>
          </w:p>
        </w:tc>
      </w:tr>
      <w:tr>
        <w:trPr>
          <w:cantSplit/>
        </w:trPr>
        <w:tc>
          <w:tcPr>
            <w:tcW w:type="dxa" w:w="2498"/>
            <w:vAlign w:val="top"/>
          </w:tcPr>
          <w:p>
            <w:r>
              <w:t>16</w:t>
            </w:r>
          </w:p>
        </w:tc>
        <w:tc>
          <w:tcPr>
            <w:tcW w:type="dxa" w:w="2498"/>
            <w:vAlign w:val="top"/>
          </w:tcPr>
          <w:p>
            <w:r>
              <w:t>Bhāgavatam moves on</w:t>
            </w:r>
          </w:p>
        </w:tc>
        <w:tc>
          <w:tcPr>
            <w:tcW w:type="dxa" w:w="2498"/>
            <w:vAlign w:val="top"/>
          </w:tcPr>
          <w:p>
            <w:r>
              <w:t>Nārada addresses Kaṁsa.</w:t>
            </w:r>
          </w:p>
        </w:tc>
        <w:tc>
          <w:tcPr>
            <w:tcW w:type="dxa" w:w="2498"/>
            <w:vAlign w:val="top"/>
          </w:tcPr>
          <w:p>
            <w:r>
              <w:t>Use as explicit source-critical boundary and handoff.</w:t>
            </w:r>
          </w:p>
        </w:tc>
      </w:tr>
    </w:tbl>
    <w:tbl>
      <w:tblPr>
        <w:tblW w:type="auto" w:w="0"/>
        <w:jc w:val="center"/>
        <w:tblLook w:firstColumn="1" w:firstRow="1" w:lastColumn="0" w:lastRow="0" w:noHBand="0" w:noVBand="1" w:val="04A0"/>
      </w:tblPr>
      <w:tblGrid>
        <w:gridCol w:w="9994"/>
      </w:tblGrid>
      <w:tr>
        <w:trPr>
          <w:cantSplit/>
        </w:trPr>
        <w:tc>
          <w:tcPr>
            <w:tcW w:type="dxa" w:w="9994"/>
            <w:shd w:fill="F3EBDD"/>
          </w:tcPr>
          <w:p>
            <w:pPr>
              <w:spacing w:after="40"/>
            </w:pPr>
            <w:r>
              <w:rPr>
                <w:b/>
                <w:color w:val="7B2638"/>
              </w:rPr>
              <w:t xml:space="preserve">HANDOFF RULE  </w:t>
            </w:r>
            <w:r>
              <w:t>At ŚB 10.36.16 the root narrative turns to Nārada and Kaṁsa. The fuller account of Rādhā’s playful accusation, Kṛṣṇa’s heel-struck pond, the tīrthas, Rādhā’s own excavation, and the joining of the waters belongs to a separate twenty-verse Purāṇic unit preserved in Gauḍīya commentarial transmission. It begins in RKST-03, not inside the Bhāgavatam narration.</w:t>
            </w:r>
          </w:p>
        </w:tc>
      </w:tr>
    </w:tbl>
    <w:p>
      <w:pPr>
        <w:pStyle w:val="Kicker"/>
      </w:pPr>
      <w:r>
        <w:t>READER-FACING PROSE</w:t>
      </w:r>
    </w:p>
    <w:p>
      <w:pPr>
        <w:pStyle w:val="Heading1"/>
      </w:pPr>
      <w:r>
        <w:t>2. Ariṣṭāsura: The Bhāgavatam Foundation</w:t>
      </w:r>
    </w:p>
    <w:p>
      <w:r>
        <w:t>The story of Rādhā-kuṇḍa does not begin with water. It begins with the ground shaking beneath the hooves of a demon. Śukadeva Gosvāmī introduces him without hesitation: ariṣṭo vṛṣabhāsuraḥ—Ariṣṭa, an asura in the form of a bull. He comes directly into the cowherd settlement, massive-humped and violent, tearing the earth with his hooves. In the verses that follow, his horns rip at the embankments and his roar rolls across Vraja with such force that the cowherd men and women are struck with terror.</w:t>
      </w:r>
    </w:p>
    <w:p>
      <w:pPr/>
      <w:r>
        <w:t>Śukadeva makes the creature larger than the ordinary landscape around him. Clouds gather about Ariṣṭa’s raised hump as though it were a mountain. His tail stands high, his eyes glare, and his bellowing is harsh enough to turn the familiar cowherd world into a place of panic. The text even describes pregnant cows and women losing their unborn young from terror. However one receives the intensity of that image, its narrative purpose is unmistakable: Ariṣṭa’s entrance is an invasion of the pastoral order of Vraja. The demon comes in the outward form of one of the very animals at the heart of cowherd life, but his presence produces the opposite of protection, nourishment, and peace.</w:t>
      </w:r>
    </w:p>
    <w:p>
      <w:r>
        <w:t>The scene is important to hold in its own right before moving toward the manifestation of the kuṇḍas. Ariṣṭa is not introduced as an ordinary bull who happens to become dangerous. The Bhāgavatam names him a demon in bull form, and everything about his arrival is hostile. Domestic animals break from the pasture and flee. The inhabitants of the settlement do not organize a defense or search for another protector. They run toward Govinda, crying, “Kṛṣṇa! Kṛṣṇa!” The movement of the entire scene converges on Him.</w:t>
      </w:r>
    </w:p>
    <w:p>
      <w:r>
        <w:t>Kṛṣṇa’s first response is not to display anger but to restore courage. Seeing the cowherd community scattered by fear, He tells them not to be afraid. Only then does He turn toward the source of their terror. The order matters. Before Ariṣṭa is defeated, Vraja is reassured. Kṛṣṇa stands between the frightened community and the demon that has entered it.</w:t>
      </w:r>
    </w:p>
    <w:p>
      <w:pPr/>
      <w:r>
        <w:t>His rebuke is directed precisely at that violation. Why, He asks in effect, should this wicked creature frighten the cowherd community and its animals while He is present? The words immediately define Kṛṣṇa’s role in the scene: Ariṣṭa has come as the aggressor; Kṛṣṇa answers as the protector of the goṣṭha. He then turns the confrontation almost playfully toward Himself, provoking the demon until the danger that had spread through the settlement becomes concentrated on one target.</w:t>
      </w:r>
    </w:p>
    <w:p>
      <w:pPr/>
      <w:r>
        <w:t>The first charge does not yet end the fight. Ariṣṭa rushes forward with his horns aimed straight at Kṛṣṇa. Kṛṣṇa catches them and throws the huge bull backward eighteen steps, an image the Bhāgavatam compares to one elephant driving back another. The demon rises again. His strength has been checked but not his rage; breathing hard and sweating, he lowers himself for another assault. Only on this second charge does Kṛṣṇa bring the encounter to its violent conclusion.</w:t>
      </w:r>
    </w:p>
    <w:p>
      <w:r>
        <w:t>The Bhāgavatam then gives one of those brief images in which Kṛṣṇa’s ease says as much as a long speech could. After rebuking Ariṣṭa, He slaps His arms with His palms, deliberately provoking him. Then, while the enraged demon faces Him, Kṛṣṇa casually rests His great arm across the shoulder of a friend. Ariṣṭa paws the ground and lowers his horns. His eyes are bloodshot; he charges with the violence of a thunderbolt. Kṛṣṇa waits.</w:t>
      </w:r>
    </w:p>
    <w:p>
      <w:r>
        <w:t>When the bull reaches Him, Kṛṣṇa seizes him by the horns and hurls him backward. Ariṣṭa rises again, breathing heavily and covered in sweat, and charges a second time. This time the encounter ends. Kṛṣṇa catches the horns, drives the demon down beneath His foot and beats him with the Bhāgavatam’s stark simile—like a wet cloth being wrung out. He tears away one of Ariṣṭa’s own horns and strikes him with it. The demon collapses, vomits blood, and dies; the devas honor Kṛṣṇa with flowers.</w:t>
      </w:r>
    </w:p>
    <w:p>
      <w:r>
        <w:t>Yet the canonical scene does not close on the corpse of the demon. Its last image is Kṛṣṇa returning home. Śukadeva says that, having killed the humped bull-demon, Kṛṣṇa entered the goṣṭha with Balarāma as gopīnāṁ nayanotsavaḥ—a festival for the eyes of the gopīs. The contrast is characteristic of Vraja: the same Kṛṣṇa who has just met a monstrous bull in violent combat re-enters the intimate cowherd world as the delight of those who love Him.</w:t>
      </w:r>
    </w:p>
    <w:p>
      <w:r>
        <w:t>For the Rādhā-kuṇḍa story, this verse gives us the canonical threshold. Ariṣṭa has been slain. Kṛṣṇa has returned among the Vrajavāsīs. But there is not yet any Rādhā-kuṇḍa in the Bhāgavatam’s own narration. There is no accusation from Rādhā concerning the killing of a bull, no summons of the tīrthas, no heel struck into the earth, no second pond dug by Rādhā and Her sakhīs, and no breaking of the bank between two sacred waters. Those beloved elements belong to the next textual layer, not to verses 1–15 of the Bhāgavatam.</w:t>
      </w:r>
    </w:p>
    <w:p>
      <w:r>
        <w:t>The boundary is unusually clear because the very next verse changes scenes. “After Ariṣṭa had been killed,” ŚB 10.36.16 begins, and Nārada Muni goes to speak to Kaṁsa. From there the chapter turns toward Kaṁsa’s plans to bring Kṛṣṇa and Balarāma to Mathurā. The Bhāgavatam has finished the Ariṣṭāsura episode and moved on.</w:t>
      </w:r>
    </w:p>
    <w:p>
      <w:r>
        <w:t>Gauḍīya tradition, however, does not leave the ground where Ariṣṭa fell. In connection with this point in the Bhāgavatam, Viśvanātha Cakravartī preserves a twenty-verse Purāṇic account describing what happens between Kṛṣṇa and the gopīs after the demon’s death. That account does not replace the Bhāgavatam, and it should not be silently inserted into the Bhāgavatam’s root verses. It is a distinct transmitted witness that takes the already completed Ariṣṭa episode and opens from it the līlā of the two kuṇḍas.</w:t>
      </w:r>
    </w:p>
    <w:p>
      <w:r>
        <w:t>That distinction gives the next scene greater force rather than less. The Bhāgavatam has established the danger, the demon’s bull-form, Kṛṣṇa’s protection of Vraja, and Ariṣṭa’s death. The later transmitted account begins exactly there—after the dust of the combat has settled—and changes the register completely. The terror of the bull-demon gives way to intimate joking speech between Rādhā, Kṛṣṇa and the gopīs. From the death of Ariṣṭa, two sacred waters will appear.</w:t>
      </w:r>
    </w:p>
    <w:p/>
    <w:p>
      <w:pPr>
        <w:pStyle w:val="Kicker"/>
      </w:pPr>
      <w:r>
        <w:t>INTERNAL CONTROL APPARATUS • REMOVE OR CONVERT TO NOTES IN FINAL COMPILATION</w:t>
      </w:r>
    </w:p>
    <w:p>
      <w:pPr>
        <w:pStyle w:val="Heading1"/>
      </w:pPr>
      <w:r>
        <w:t>Sources actually used</w:t>
      </w:r>
    </w:p>
    <w:p>
      <w:r>
        <w:t>• Śrīmad-Bhāgavatam 10.36.1–16. Sanskrit, transliteration, verse sequence, and basic narrative details checked directly against Bhaktivedanta Vedabase on 22 August 2026. Reader-facing English is newly worded for this project rather than copied from a modern translation.</w:t>
      </w:r>
    </w:p>
    <w:p>
      <w:r>
        <w:t>• Reconstructed RS-01 — Manifestation Textual Genealogy and Quotation Packet v1.0: controls the negative finding that ŚB 10.36 does not itself narrate the twin-kuṇḍa manifestation and the handoff to the twenty-verse Purāṇic unit preserved by Viśvanātha Cakravartī.</w:t>
      </w:r>
    </w:p>
    <w:p>
      <w:r>
        <w:t>• 01 — Rādhā-kuṇḍa Research Dossier v0.4: confirms the same textual genealogy and preserves the rule that the later manifestation account is not to be silently inserted into the Bhāgavatam root text.</w:t>
      </w:r>
    </w:p>
    <w:p>
      <w:r>
        <w:t>• RKST-00 Writing Blueprint v1.0: controls section scope, target length, and the requirement that the Bhāgavatam boundary be explicit but literary.</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trPr>
        <w:tc>
          <w:tcPr>
            <w:tcW w:type="dxa" w:w="2498"/>
          </w:tcPr>
          <w:p>
            <w:r>
              <w:t>ŚB 10.36.1</w:t>
            </w:r>
          </w:p>
        </w:tc>
        <w:tc>
          <w:tcPr>
            <w:tcW w:type="dxa" w:w="2498"/>
          </w:tcPr>
          <w:p>
            <w:r>
              <w:t>ariṣṭo vṛṣabhāsuraḥ</w:t>
            </w:r>
          </w:p>
        </w:tc>
        <w:tc>
          <w:tcPr>
            <w:tcW w:type="dxa" w:w="2498"/>
          </w:tcPr>
          <w:p>
            <w:r>
              <w:t>Vedabase, 22 Aug 2026</w:t>
            </w:r>
          </w:p>
        </w:tc>
        <w:tc>
          <w:tcPr>
            <w:tcW w:type="dxa" w:w="2498"/>
          </w:tcPr>
          <w:p>
            <w:r>
              <w:t>KEEP — canonical identity anchor</w:t>
            </w:r>
          </w:p>
        </w:tc>
      </w:tr>
      <w:tr>
        <w:trPr>
          <w:cantSplit/>
        </w:trPr>
        <w:tc>
          <w:tcPr>
            <w:tcW w:type="dxa" w:w="2498"/>
          </w:tcPr>
          <w:p>
            <w:r>
              <w:t>ŚB 10.36.5–6</w:t>
            </w:r>
          </w:p>
        </w:tc>
        <w:tc>
          <w:tcPr>
            <w:tcW w:type="dxa" w:w="2498"/>
          </w:tcPr>
          <w:p>
            <w:r>
              <w:t>kṛṣṇa kṛṣṇeti … govindaṁ śaraṇaṁ yayuḥ; mā bhaiṣṭa</w:t>
            </w:r>
          </w:p>
        </w:tc>
        <w:tc>
          <w:tcPr>
            <w:tcW w:type="dxa" w:w="2498"/>
          </w:tcPr>
          <w:p>
            <w:r>
              <w:t>Vedabase, 22 Aug 2026</w:t>
            </w:r>
          </w:p>
        </w:tc>
        <w:tc>
          <w:tcPr>
            <w:tcW w:type="dxa" w:w="2498"/>
          </w:tcPr>
          <w:p>
            <w:r>
              <w:t>KEEP selectively — shelter/assurance</w:t>
            </w:r>
          </w:p>
        </w:tc>
      </w:tr>
      <w:tr>
        <w:trPr>
          <w:cantSplit/>
        </w:trPr>
        <w:tc>
          <w:tcPr>
            <w:tcW w:type="dxa" w:w="2498"/>
          </w:tcPr>
          <w:p>
            <w:r>
              <w:t>ŚB 10.36.8</w:t>
            </w:r>
          </w:p>
        </w:tc>
        <w:tc>
          <w:tcPr>
            <w:tcW w:type="dxa" w:w="2498"/>
          </w:tcPr>
          <w:p>
            <w:r>
              <w:t>sakhyur aṁse bhujābhogaṁ …</w:t>
            </w:r>
          </w:p>
        </w:tc>
        <w:tc>
          <w:tcPr>
            <w:tcW w:type="dxa" w:w="2498"/>
          </w:tcPr>
          <w:p>
            <w:r>
              <w:t>Vedabase, 22 Aug 2026</w:t>
            </w:r>
          </w:p>
        </w:tc>
        <w:tc>
          <w:tcPr>
            <w:tcW w:type="dxa" w:w="2498"/>
          </w:tcPr>
          <w:p>
            <w:r>
              <w:t>PARAPHRASE — fearlessness image</w:t>
            </w:r>
          </w:p>
        </w:tc>
      </w:tr>
      <w:tr>
        <w:trPr>
          <w:cantSplit/>
        </w:trPr>
        <w:tc>
          <w:tcPr>
            <w:tcW w:type="dxa" w:w="2498"/>
          </w:tcPr>
          <w:p>
            <w:r>
              <w:t>ŚB 10.36.13</w:t>
            </w:r>
          </w:p>
        </w:tc>
        <w:tc>
          <w:tcPr>
            <w:tcW w:type="dxa" w:w="2498"/>
          </w:tcPr>
          <w:p>
            <w:r>
              <w:t>niṣpīḍayām āsa yathārdram ambaraṁ</w:t>
            </w:r>
          </w:p>
        </w:tc>
        <w:tc>
          <w:tcPr>
            <w:tcW w:type="dxa" w:w="2498"/>
          </w:tcPr>
          <w:p>
            <w:r>
              <w:t>Vedabase, 22 Aug 2026</w:t>
            </w:r>
          </w:p>
        </w:tc>
        <w:tc>
          <w:tcPr>
            <w:tcW w:type="dxa" w:w="2498"/>
          </w:tcPr>
          <w:p>
            <w:r>
              <w:t>KEEP as brief simile if space allows</w:t>
            </w:r>
          </w:p>
        </w:tc>
      </w:tr>
      <w:tr>
        <w:trPr>
          <w:cantSplit/>
        </w:trPr>
        <w:tc>
          <w:tcPr>
            <w:tcW w:type="dxa" w:w="2498"/>
          </w:tcPr>
          <w:p>
            <w:r>
              <w:t>ŚB 10.36.15</w:t>
            </w:r>
          </w:p>
        </w:tc>
        <w:tc>
          <w:tcPr>
            <w:tcW w:type="dxa" w:w="2498"/>
          </w:tcPr>
          <w:p>
            <w:r>
              <w:t>gopīnāṁ nayanotsavaḥ</w:t>
            </w:r>
          </w:p>
        </w:tc>
        <w:tc>
          <w:tcPr>
            <w:tcW w:type="dxa" w:w="2498"/>
          </w:tcPr>
          <w:p>
            <w:r>
              <w:t>Vedabase, 22 Aug 2026</w:t>
            </w:r>
          </w:p>
        </w:tc>
        <w:tc>
          <w:tcPr>
            <w:tcW w:type="dxa" w:w="2498"/>
          </w:tcPr>
          <w:p>
            <w:r>
              <w:t>KEEP — literary close</w:t>
            </w:r>
          </w:p>
        </w:tc>
      </w:tr>
      <w:tr>
        <w:trPr>
          <w:cantSplit/>
        </w:trPr>
        <w:tc>
          <w:tcPr>
            <w:tcW w:type="dxa" w:w="2498"/>
          </w:tcPr>
          <w:p>
            <w:r>
              <w:t>ŚB 10.36.16</w:t>
            </w:r>
          </w:p>
        </w:tc>
        <w:tc>
          <w:tcPr>
            <w:tcW w:type="dxa" w:w="2498"/>
          </w:tcPr>
          <w:p>
            <w:r>
              <w:t>ariṣṭe nihate daitye … nārado …</w:t>
            </w:r>
          </w:p>
        </w:tc>
        <w:tc>
          <w:tcPr>
            <w:tcW w:type="dxa" w:w="2498"/>
          </w:tcPr>
          <w:p>
            <w:r>
              <w:t>Vedabase, 22 Aug 2026</w:t>
            </w:r>
          </w:p>
        </w:tc>
        <w:tc>
          <w:tcPr>
            <w:tcW w:type="dxa" w:w="2498"/>
          </w:tcPr>
          <w:p>
            <w:r>
              <w:t>KEEP in source apparatus; paraphrase boundary in prose</w:t>
            </w:r>
          </w:p>
        </w:tc>
      </w:tr>
    </w:tbl>
    <w:p>
      <w:pPr>
        <w:pStyle w:val="Heading2"/>
      </w:pPr>
      <w:r>
        <w:t>Claims deliberately omitted or qualified</w:t>
      </w:r>
    </w:p>
    <w:p>
      <w:r>
        <w:t>• The section does not say that Ariṣṭa was an ordinary bull; the Bhāgavatam explicitly calls him vṛṣabhāsuraḥ.</w:t>
      </w:r>
    </w:p>
    <w:p>
      <w:r>
        <w:t>• No Rādhā-kuṇḍa manifestation detail is attributed to ŚB 10.36.1–15.</w:t>
      </w:r>
    </w:p>
    <w:p>
      <w:r>
        <w:t>• The statement that verse 15 is the ‘natural literary close’ is a compositional judgment based on the return to the goṣṭha; it is not a source phrase.</w:t>
      </w:r>
    </w:p>
    <w:p>
      <w:r>
        <w:t>• The twenty-verse sequel is described as a Purāṇic account preserved/transmitted by Viśvanātha Cakravartī. No specific Purāṇa title is assigned here.</w:t>
      </w:r>
    </w:p>
    <w:p>
      <w:r>
        <w:t>• The section does not use the later/common name Śyāma-kuṇḍa as though it occurred in the Bhāgavatam root narrative.</w:t>
      </w:r>
    </w:p>
    <w:p>
      <w:r>
        <w:t>• No attempt is made here to reconcile every later devotional retelling of Ariṣṭāsura with the Bhāgavatam.</w:t>
      </w:r>
    </w:p>
    <w:p>
      <w:pPr>
        <w:pStyle w:val="Heading2"/>
      </w:pPr>
      <w:r>
        <w:t>Open items carried forward</w:t>
      </w:r>
    </w:p>
    <w:p>
      <w:r>
        <w:t>• Before final publication, the local image-only Sārārtha-darśinī scan may be visually collated at the 10.36.16 commentary if a print-page citation is desired. The narrative handoff itself is already controlled by RS-01 and the Vedabase witness.</w:t>
      </w:r>
    </w:p>
    <w:p>
      <w:r>
        <w:t>• The exact Purāṇic provenance/recension of the twenty-verse manifestation unit remains unresolved and must stay unresolved in RKST-03.</w:t>
      </w:r>
    </w:p>
    <w:p>
      <w:r>
        <w:t>• Section 3 should begin after Ariṣṭa’s death and preserve the twenty-verse sequence without retroactively attributing it to the Bhāgavatam.</w:t>
      </w:r>
    </w:p>
    <w:p>
      <w:pPr>
        <w:pStyle w:val="Heading2"/>
      </w:pPr>
      <w:r>
        <w:t>Cross-references</w:t>
      </w:r>
    </w:p>
    <w:p>
      <w:r>
        <w:t>• Section 1 — opening hierarchy: this section fulfills the promise that the older name Ariṣṭa-kuṇḍa remembers the demon whose death stands behind the manifestation story.</w:t>
      </w:r>
    </w:p>
    <w:p>
      <w:r>
        <w:t>• Section 3 — Manifestation: begin immediately with the playful dharma challenge after Ariṣṭa’s death; introduce the twenty-verse source as a new witness.</w:t>
      </w:r>
    </w:p>
    <w:p>
      <w:r>
        <w:t>• Section 4 — Meaning: return to Rādhā-kuṇḍāṣṭaka 1 to interpret the opening exchange as narma-dharmokti-raṅga rather than actual impurity in Kṛṣṇa.</w:t>
      </w:r>
    </w:p>
    <w:tbl>
      <w:tblPr>
        <w:tblW w:type="auto" w:w="0"/>
        <w:jc w:val="center"/>
        <w:tblLook w:firstColumn="1" w:firstRow="1" w:lastColumn="0" w:lastRow="0" w:noHBand="0" w:noVBand="1" w:val="04A0"/>
      </w:tblPr>
      <w:tblGrid>
        <w:gridCol w:w="9994"/>
      </w:tblGrid>
      <w:tr>
        <w:trPr>
          <w:cantSplit/>
        </w:trPr>
        <w:tc>
          <w:tcPr>
            <w:tcW w:type="dxa" w:w="9994"/>
            <w:shd w:fill="F3EBDD"/>
          </w:tcPr>
          <w:p>
            <w:pPr>
              <w:spacing w:after="40"/>
            </w:pPr>
            <w:r>
              <w:rPr>
                <w:b/>
                <w:color w:val="7B2638"/>
              </w:rPr>
              <w:t xml:space="preserve">REVIEW QUESTION FOR V0.2  </w:t>
            </w:r>
            <w:r>
              <w:t>Does the section preserve the dramatic force of Ariṣṭāsura while making the Bhāgavatam boundary unmistakable without sounding like a source-critical interruption?</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RKST-02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RKST-02 — Ariṣṭāsura: The Bhāgavatam Foundation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