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RKST-06</w:t>
      </w:r>
    </w:p>
    <w:p>
      <w:pPr>
        <w:jc w:val="center"/>
      </w:pPr>
      <w:r>
        <w:rPr>
          <w:b/>
          <w:color w:val="7B2638"/>
          <w:sz w:val="44"/>
        </w:rPr>
        <w:t>A Midday Journey to Rādhā-kuṇḍa</w:t>
      </w:r>
    </w:p>
    <w:p>
      <w:pPr>
        <w:jc w:val="center"/>
      </w:pPr>
      <w:r>
        <w:rPr>
          <w:i/>
          <w:sz w:val="23"/>
        </w:rPr>
        <w:t>Appointment, separate routes, seasonal play, water, dice, and return to the public worlds</w:t>
      </w:r>
    </w:p>
    <w:p/>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DRAFT STATUS  </w:t>
            </w:r>
            <w:r>
              <w:t>Working literary draft v0.1. This section animates the nitya-līlā geography through the verified madhyāhna route. Govinda-līlāmṛta and Kṛṣṇa-bhāvanāmṛta are presented as complementary Gosvāmī visions, not fused into one artificial verse-for-verse itinerary.</w:t>
            </w:r>
          </w:p>
        </w:tc>
      </w:tr>
    </w:tbl>
    <w:p>
      <w:pPr>
        <w:jc w:val="center"/>
      </w:pPr>
      <w:r>
        <w:rPr>
          <w:color w:val="5A5A5A"/>
          <w:sz w:val="19"/>
        </w:rPr>
        <w:t>Primary control: RK-02 route ledger; Govinda-līlāmṛta 5.40, 7–8, 15, 18–19; Kṛṣṇa-bhāvanāmṛta 8–15.</w:t>
      </w:r>
    </w:p>
    <w:p>
      <w:r>
        <w:br w:type="page"/>
      </w:r>
    </w:p>
    <w:p>
      <w:pPr>
        <w:pStyle w:val="Kicker"/>
      </w:pPr>
      <w:r>
        <w:t>SOURCE CARD • ROUTE AND CHRONOLOGY CHECKED BEFORE DRAFTING</w:t>
      </w:r>
    </w:p>
    <w:p>
      <w:pPr>
        <w:pStyle w:val="Heading1"/>
      </w:pPr>
      <w:r>
        <w:t>The midday route: secure spine and controlled differences</w:t>
      </w:r>
    </w:p>
    <w:p>
      <w:r>
        <w:t>RK-02 has already completed the route comparison at the project milestone. The broad movement is secure: an appointed rendezvous at Rādhā’s own kuṇḍa; separate public-social routes; convergence; seasonal service environments; swing and wider wandering; return to the twin-kuṇḍa complex; water-play and service; dice; Sūrya-pūjā closure; and a final bifurcation in which Rādhā returns toward home while Kṛṣṇa returns to His cowherd companions. The two major daily-līlā works differ in micro-sequence and emphasis, and those differences are preserved.</w:t>
      </w:r>
    </w:p>
    <w:p>
      <w:r>
        <w:rPr>
          <w:b/>
          <w:color w:val="7B2638"/>
        </w:rPr>
        <w:t>Govinda-līlāmṛta 5.40</w:t>
      </w:r>
    </w:p>
    <w:p>
      <w:pPr>
        <w:pStyle w:val="SourceSanskrit"/>
      </w:pPr>
      <w:r>
        <w:t>dvi-trāḥ kṣepyāḥ sumukhi ghaṭikāś cakṣuṣī mudrayitvā / mā gāḥ khedaṁ sapadi bhavitā saṅgamo nau vanānte | āgantavyaṁ mayi karuṇayā chadmanāśu sva-kuṇḍaṁ / kṛṣṇaś cakre sphuṭam anunayaṁ rādhikāyāṁ dṛśettham ||40||</w:t>
      </w:r>
    </w:p>
    <w:p>
      <w:r>
        <w:t>Fair-faced Rādhā, somehow let two or three ghaṭikās pass; do not become distressed. Our meeting will soon take place at the forest’s edge. Out of mercy for Me, come quickly, by some pretext, to Your own kuṇḍa.</w:t>
      </w:r>
    </w:p>
    <w:p>
      <w:r>
        <w:rPr>
          <w:b/>
          <w:color w:val="7B2638"/>
        </w:rPr>
        <w:t xml:space="preserve">Research use — </w:t>
      </w:r>
      <w:r>
        <w:t>Principal appointment anchor. The meeting at Rādhā-kuṇḍa is planned, and chadmanā—‘by a pretext’—explains why the public-social routes matter.</w:t>
      </w:r>
    </w:p>
    <w:p>
      <w:r>
        <w:rPr>
          <w:b/>
          <w:color w:val="7B2638"/>
        </w:rPr>
        <w:t>Govinda-līlāmṛta 18.25</w:t>
      </w:r>
    </w:p>
    <w:p>
      <w:pPr>
        <w:pStyle w:val="SourceSanskrit"/>
      </w:pPr>
      <w:r>
        <w:t>tataḥ sārī-kīra-pālī dyūta-kelīcchayeritau | yayatus tau harit-kuñjaṁ sudevī-sukhadābhidham ||18.25||</w:t>
      </w:r>
    </w:p>
    <w:p>
      <w:r>
        <w:t>Then, moved by the desire for dice-play, the two went to the green grove called Sudevī-sukhada.</w:t>
      </w:r>
    </w:p>
    <w:p>
      <w:r>
        <w:rPr>
          <w:b/>
          <w:color w:val="7B2638"/>
        </w:rPr>
        <w:t xml:space="preserve">Research use — </w:t>
      </w:r>
      <w:r>
        <w:t>Explicit GL localization of a later dice episode. Kṛṣṇa-bhāvanāmṛta gives Sudevī a central dice-service role but does not, in the checked verses, name this grove.</w:t>
      </w:r>
    </w:p>
    <w:p>
      <w:r>
        <w:rPr>
          <w:b/>
          <w:color w:val="7B2638"/>
        </w:rPr>
        <w:t>Govinda-līlāmṛta 18.93</w:t>
      </w:r>
    </w:p>
    <w:p>
      <w:pPr>
        <w:pStyle w:val="SourceSanskrit"/>
      </w:pPr>
      <w:r>
        <w:t>yāntī vivartya sahasā lapana-cchalena grīvāṁ muhur lalitayānugayā murāreḥ | vaktrābja-sāragham apāṅga-taraṅga-bhaṅgyā rādhā pibanty api na tṛptim avāpa dīnā ||18.93||</w:t>
      </w:r>
    </w:p>
    <w:p>
      <w:r>
        <w:t>As She departed with Lalitā following, Rādhā repeatedly turned Her neck under the pretext of speaking, drinking Murāri’s lotus face through waves of sidelong glances, yet never becoming satisfied.</w:t>
      </w:r>
    </w:p>
    <w:p>
      <w:r>
        <w:rPr>
          <w:b/>
          <w:color w:val="7B2638"/>
        </w:rPr>
        <w:t xml:space="preserve">Research use — </w:t>
      </w:r>
      <w:r>
        <w:t>A compact literary departure anchor. It shows the public return beginning while intimate attention continues.</w:t>
      </w:r>
    </w:p>
    <w:p>
      <w:r>
        <w:rPr>
          <w:b/>
          <w:color w:val="7B2638"/>
        </w:rPr>
        <w:t>Govinda-līlāmṛta 18.96</w:t>
      </w:r>
    </w:p>
    <w:p>
      <w:pPr>
        <w:pStyle w:val="SourceSanskrit"/>
      </w:pPr>
      <w:r>
        <w:t>sakhibhyāṁ sahitaḥ so’tha vimanāḥ sva-sakhīn agāt | te’hampūrvikayā hṛṣṭā āliṅgantas tam abruvan ||18.96||</w:t>
      </w:r>
    </w:p>
    <w:p>
      <w:r>
        <w:t>Then, dejected and accompanied by the two friends, Kṛṣṇa went back to His own sakhās; delighted, they competed to be the first to embrace Him.</w:t>
      </w:r>
    </w:p>
    <w:p>
      <w:r>
        <w:rPr>
          <w:b/>
          <w:color w:val="7B2638"/>
        </w:rPr>
        <w:t xml:space="preserve">Research use — </w:t>
      </w:r>
      <w:r>
        <w:t>Critical chronology correction. At the end of madhyāhna Kṛṣṇa returns first to His cowherd companions, not directly home.</w:t>
      </w:r>
    </w:p>
    <w:p>
      <w:pPr>
        <w:pStyle w:val="Heading2"/>
      </w:pPr>
      <w:r>
        <w:t>Verified route spine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1"/>
        </w:trPr>
        <w:tc>
          <w:tcPr>
            <w:tcW w:type="dxa" w:w="2498"/>
            <w:shd w:fill="7B2638"/>
          </w:tcPr>
          <w:p>
            <w:r>
              <w:rPr>
                <w:b/>
                <w:color w:val="FFFFFF"/>
              </w:rPr>
              <w:t>Stage</w:t>
            </w:r>
          </w:p>
        </w:tc>
        <w:tc>
          <w:tcPr>
            <w:tcW w:type="dxa" w:w="2498"/>
            <w:shd w:fill="7B2638"/>
          </w:tcPr>
          <w:p>
            <w:r>
              <w:rPr>
                <w:b/>
                <w:color w:val="FFFFFF"/>
              </w:rPr>
              <w:t>Primary witness</w:t>
            </w:r>
          </w:p>
        </w:tc>
        <w:tc>
          <w:tcPr>
            <w:tcW w:type="dxa" w:w="2498"/>
            <w:shd w:fill="7B2638"/>
          </w:tcPr>
          <w:p>
            <w:r>
              <w:rPr>
                <w:b/>
                <w:color w:val="FFFFFF"/>
              </w:rPr>
              <w:t>Movement</w:t>
            </w:r>
          </w:p>
        </w:tc>
        <w:tc>
          <w:tcPr>
            <w:tcW w:type="dxa" w:w="2498"/>
            <w:shd w:fill="7B2638"/>
          </w:tcPr>
          <w:p>
            <w:r>
              <w:rPr>
                <w:b/>
                <w:color w:val="FFFFFF"/>
              </w:rPr>
              <w:t>Control</w:t>
            </w:r>
          </w:p>
        </w:tc>
      </w:tr>
      <w:tr>
        <w:trPr>
          <w:cantSplit w:val="1"/>
        </w:trPr>
        <w:tc>
          <w:tcPr>
            <w:tcW w:type="dxa" w:w="2498"/>
            <w:vAlign w:val="top"/>
          </w:tcPr>
          <w:p>
            <w:r>
              <w:t>1. Appointment</w:t>
            </w:r>
          </w:p>
        </w:tc>
        <w:tc>
          <w:tcPr>
            <w:tcW w:type="dxa" w:w="2498"/>
            <w:vAlign w:val="top"/>
          </w:tcPr>
          <w:p>
            <w:r>
              <w:t>GL 5.40</w:t>
            </w:r>
          </w:p>
        </w:tc>
        <w:tc>
          <w:tcPr>
            <w:tcW w:type="dxa" w:w="2498"/>
            <w:vAlign w:val="top"/>
          </w:tcPr>
          <w:p>
            <w:r>
              <w:t>Come chadmanā to sva-kuṇḍam.</w:t>
            </w:r>
          </w:p>
        </w:tc>
        <w:tc>
          <w:tcPr>
            <w:tcW w:type="dxa" w:w="2498"/>
            <w:vAlign w:val="top"/>
          </w:tcPr>
          <w:p>
            <w:r>
              <w:t>VERIFIED</w:t>
            </w:r>
          </w:p>
        </w:tc>
      </w:tr>
      <w:tr>
        <w:trPr>
          <w:cantSplit w:val="1"/>
        </w:trPr>
        <w:tc>
          <w:tcPr>
            <w:tcW w:type="dxa" w:w="2498"/>
            <w:vAlign w:val="top"/>
          </w:tcPr>
          <w:p>
            <w:r>
              <w:t>2. Public roles</w:t>
            </w:r>
          </w:p>
        </w:tc>
        <w:tc>
          <w:tcPr>
            <w:tcW w:type="dxa" w:w="2498"/>
            <w:vAlign w:val="top"/>
          </w:tcPr>
          <w:p>
            <w:r>
              <w:t>GL + KBh ch. 8</w:t>
            </w:r>
          </w:p>
        </w:tc>
        <w:tc>
          <w:tcPr>
            <w:tcW w:type="dxa" w:w="2498"/>
            <w:vAlign w:val="top"/>
          </w:tcPr>
          <w:p>
            <w:r>
              <w:t>Rādhā: household/Sūrya frame; Kṛṣṇa: cowherding.</w:t>
            </w:r>
          </w:p>
        </w:tc>
        <w:tc>
          <w:tcPr>
            <w:tcW w:type="dxa" w:w="2498"/>
            <w:vAlign w:val="top"/>
          </w:tcPr>
          <w:p>
            <w:r>
              <w:t>Secure broad frame</w:t>
            </w:r>
          </w:p>
        </w:tc>
      </w:tr>
      <w:tr>
        <w:trPr>
          <w:cantSplit w:val="1"/>
        </w:trPr>
        <w:tc>
          <w:tcPr>
            <w:tcW w:type="dxa" w:w="2498"/>
            <w:vAlign w:val="top"/>
          </w:tcPr>
          <w:p>
            <w:r>
              <w:t>3. Approaches</w:t>
            </w:r>
          </w:p>
        </w:tc>
        <w:tc>
          <w:tcPr>
            <w:tcW w:type="dxa" w:w="2498"/>
            <w:vAlign w:val="top"/>
          </w:tcPr>
          <w:p>
            <w:r>
              <w:t>KBh ch. 8; GL 7.1</w:t>
            </w:r>
          </w:p>
        </w:tc>
        <w:tc>
          <w:tcPr>
            <w:tcW w:type="dxa" w:w="2498"/>
            <w:vAlign w:val="top"/>
          </w:tcPr>
          <w:p>
            <w:r>
              <w:t>Rādhā through Sūrya/Madana-raṇa setting; Kṛṣṇa with Madhumaṅgala through Pramoda-vana.</w:t>
            </w:r>
          </w:p>
        </w:tc>
        <w:tc>
          <w:tcPr>
            <w:tcW w:type="dxa" w:w="2498"/>
            <w:vAlign w:val="top"/>
          </w:tcPr>
          <w:p>
            <w:r>
              <w:t>Modern route identity open</w:t>
            </w:r>
          </w:p>
        </w:tc>
      </w:tr>
      <w:tr>
        <w:trPr>
          <w:cantSplit w:val="1"/>
        </w:trPr>
        <w:tc>
          <w:tcPr>
            <w:tcW w:type="dxa" w:w="2498"/>
            <w:vAlign w:val="top"/>
          </w:tcPr>
          <w:p>
            <w:r>
              <w:t>4. Convergence</w:t>
            </w:r>
          </w:p>
        </w:tc>
        <w:tc>
          <w:tcPr>
            <w:tcW w:type="dxa" w:w="2498"/>
            <w:vAlign w:val="top"/>
          </w:tcPr>
          <w:p>
            <w:r>
              <w:t>GL 7–8; KBh ch. 9</w:t>
            </w:r>
          </w:p>
        </w:tc>
        <w:tc>
          <w:tcPr>
            <w:tcW w:type="dxa" w:w="2498"/>
            <w:vAlign w:val="top"/>
          </w:tcPr>
          <w:p>
            <w:r>
              <w:t>Arrival, first sight, recognition; KBh adds Aśoka/Vañjula hiding drama.</w:t>
            </w:r>
          </w:p>
        </w:tc>
        <w:tc>
          <w:tcPr>
            <w:tcW w:type="dxa" w:w="2498"/>
            <w:vAlign w:val="top"/>
          </w:tcPr>
          <w:p>
            <w:r>
              <w:t>Do not force micro-route identity</w:t>
            </w:r>
          </w:p>
        </w:tc>
      </w:tr>
      <w:tr>
        <w:trPr>
          <w:cantSplit w:val="1"/>
        </w:trPr>
        <w:tc>
          <w:tcPr>
            <w:tcW w:type="dxa" w:w="2498"/>
            <w:vAlign w:val="top"/>
          </w:tcPr>
          <w:p>
            <w:r>
              <w:t>5. Seasons</w:t>
            </w:r>
          </w:p>
        </w:tc>
        <w:tc>
          <w:tcPr>
            <w:tcW w:type="dxa" w:w="2498"/>
            <w:vAlign w:val="top"/>
          </w:tcPr>
          <w:p>
            <w:r>
              <w:t>KBh 10.4–5</w:t>
            </w:r>
          </w:p>
        </w:tc>
        <w:tc>
          <w:tcPr>
            <w:tcW w:type="dxa" w:w="2498"/>
            <w:vAlign w:val="top"/>
          </w:tcPr>
          <w:p>
            <w:r>
              <w:t>Six seasonal goddesses serve in relation to the kuṇḍa and its forest.</w:t>
            </w:r>
          </w:p>
        </w:tc>
        <w:tc>
          <w:tcPr>
            <w:tcW w:type="dxa" w:w="2498"/>
            <w:vAlign w:val="top"/>
          </w:tcPr>
          <w:p>
            <w:r>
              <w:t>VERIFIED</w:t>
            </w:r>
          </w:p>
        </w:tc>
      </w:tr>
      <w:tr>
        <w:trPr>
          <w:cantSplit w:val="1"/>
        </w:trPr>
        <w:tc>
          <w:tcPr>
            <w:tcW w:type="dxa" w:w="2498"/>
            <w:vAlign w:val="top"/>
          </w:tcPr>
          <w:p>
            <w:r>
              <w:t>6. Swing</w:t>
            </w:r>
          </w:p>
        </w:tc>
        <w:tc>
          <w:tcPr>
            <w:tcW w:type="dxa" w:w="2498"/>
            <w:vAlign w:val="top"/>
          </w:tcPr>
          <w:p>
            <w:r>
              <w:t>KBh 11.8, 11.45–49</w:t>
            </w:r>
          </w:p>
        </w:tc>
        <w:tc>
          <w:tcPr>
            <w:tcW w:type="dxa" w:w="2498"/>
            <w:vAlign w:val="top"/>
          </w:tcPr>
          <w:p>
            <w:r>
              <w:t>Varṣā-harṣa and lotus-shaped swing arrangement.</w:t>
            </w:r>
          </w:p>
        </w:tc>
        <w:tc>
          <w:tcPr>
            <w:tcW w:type="dxa" w:w="2498"/>
            <w:vAlign w:val="top"/>
          </w:tcPr>
          <w:p>
            <w:r>
              <w:t>VERIFIED; not equated with GL 7.63 site</w:t>
            </w:r>
          </w:p>
        </w:tc>
      </w:tr>
      <w:tr>
        <w:trPr>
          <w:cantSplit w:val="1"/>
        </w:trPr>
        <w:tc>
          <w:tcPr>
            <w:tcW w:type="dxa" w:w="2498"/>
            <w:vAlign w:val="top"/>
          </w:tcPr>
          <w:p>
            <w:r>
              <w:t>7. Wider seasonal movement</w:t>
            </w:r>
          </w:p>
        </w:tc>
        <w:tc>
          <w:tcPr>
            <w:tcW w:type="dxa" w:w="2498"/>
            <w:vAlign w:val="top"/>
          </w:tcPr>
          <w:p>
            <w:r>
              <w:t>KBh chs. 12–13</w:t>
            </w:r>
          </w:p>
        </w:tc>
        <w:tc>
          <w:tcPr>
            <w:tcW w:type="dxa" w:w="2498"/>
            <w:vAlign w:val="top"/>
          </w:tcPr>
          <w:p>
            <w:r>
              <w:t>Śarad, Hemanta, Śiśira, Vasanta through broader Govardhana/Vraja.</w:t>
            </w:r>
          </w:p>
        </w:tc>
        <w:tc>
          <w:tcPr>
            <w:tcW w:type="dxa" w:w="2498"/>
            <w:vAlign w:val="top"/>
          </w:tcPr>
          <w:p>
            <w:r>
              <w:t>Connected landscape</w:t>
            </w:r>
          </w:p>
        </w:tc>
      </w:tr>
      <w:tr>
        <w:trPr>
          <w:cantSplit w:val="1"/>
        </w:trPr>
        <w:tc>
          <w:tcPr>
            <w:tcW w:type="dxa" w:w="2498"/>
            <w:vAlign w:val="top"/>
          </w:tcPr>
          <w:p>
            <w:r>
              <w:t>8. Twin-kuṇḍa return</w:t>
            </w:r>
          </w:p>
        </w:tc>
        <w:tc>
          <w:tcPr>
            <w:tcW w:type="dxa" w:w="2498"/>
            <w:vAlign w:val="top"/>
          </w:tcPr>
          <w:p>
            <w:r>
              <w:t>KBh 14.9–17</w:t>
            </w:r>
          </w:p>
        </w:tc>
        <w:tc>
          <w:tcPr>
            <w:tcW w:type="dxa" w:w="2498"/>
            <w:vAlign w:val="top"/>
          </w:tcPr>
          <w:p>
            <w:r>
              <w:t>sva-kuṇḍa-dvayam; directional order and seasonal service restated.</w:t>
            </w:r>
          </w:p>
        </w:tc>
        <w:tc>
          <w:tcPr>
            <w:tcW w:type="dxa" w:w="2498"/>
            <w:vAlign w:val="top"/>
          </w:tcPr>
          <w:p>
            <w:r>
              <w:t>VERIFIED</w:t>
            </w:r>
          </w:p>
        </w:tc>
      </w:tr>
      <w:tr>
        <w:trPr>
          <w:cantSplit w:val="1"/>
        </w:trPr>
        <w:tc>
          <w:tcPr>
            <w:tcW w:type="dxa" w:w="2498"/>
            <w:vAlign w:val="top"/>
          </w:tcPr>
          <w:p>
            <w:r>
              <w:t>9. Water-play/service</w:t>
            </w:r>
          </w:p>
        </w:tc>
        <w:tc>
          <w:tcPr>
            <w:tcW w:type="dxa" w:w="2498"/>
            <w:vAlign w:val="top"/>
          </w:tcPr>
          <w:p>
            <w:r>
              <w:t>KBh 14.48–52</w:t>
            </w:r>
          </w:p>
        </w:tc>
        <w:tc>
          <w:tcPr>
            <w:tcW w:type="dxa" w:w="2498"/>
            <w:vAlign w:val="top"/>
          </w:tcPr>
          <w:p>
            <w:r>
              <w:t>Water-play → bank → pavilion → refreshments → flower-bed rest/service.</w:t>
            </w:r>
          </w:p>
        </w:tc>
        <w:tc>
          <w:tcPr>
            <w:tcW w:type="dxa" w:w="2498"/>
            <w:vAlign w:val="top"/>
          </w:tcPr>
          <w:p>
            <w:r>
              <w:t>VERIFIED</w:t>
            </w:r>
          </w:p>
        </w:tc>
      </w:tr>
      <w:tr>
        <w:trPr>
          <w:cantSplit w:val="1"/>
        </w:trPr>
        <w:tc>
          <w:tcPr>
            <w:tcW w:type="dxa" w:w="2498"/>
            <w:vAlign w:val="top"/>
          </w:tcPr>
          <w:p>
            <w:r>
              <w:t>10. Dice</w:t>
            </w:r>
          </w:p>
        </w:tc>
        <w:tc>
          <w:tcPr>
            <w:tcW w:type="dxa" w:w="2498"/>
            <w:vAlign w:val="top"/>
          </w:tcPr>
          <w:p>
            <w:r>
              <w:t>KBh 15.1–8; GL 18.25</w:t>
            </w:r>
          </w:p>
        </w:tc>
        <w:tc>
          <w:tcPr>
            <w:tcW w:type="dxa" w:w="2498"/>
            <w:vAlign w:val="top"/>
          </w:tcPr>
          <w:p>
            <w:r>
              <w:t>Organized dice social roles; GL explicit Sudevī-sukhada site.</w:t>
            </w:r>
          </w:p>
        </w:tc>
        <w:tc>
          <w:tcPr>
            <w:tcW w:type="dxa" w:w="2498"/>
            <w:vAlign w:val="top"/>
          </w:tcPr>
          <w:p>
            <w:r>
              <w:t>Complementary, not merged</w:t>
            </w:r>
          </w:p>
        </w:tc>
      </w:tr>
      <w:tr>
        <w:trPr>
          <w:cantSplit w:val="1"/>
        </w:trPr>
        <w:tc>
          <w:tcPr>
            <w:tcW w:type="dxa" w:w="2498"/>
            <w:vAlign w:val="top"/>
          </w:tcPr>
          <w:p>
            <w:r>
              <w:t>11. Sūrya closure</w:t>
            </w:r>
          </w:p>
        </w:tc>
        <w:tc>
          <w:tcPr>
            <w:tcW w:type="dxa" w:w="2498"/>
            <w:vAlign w:val="top"/>
          </w:tcPr>
          <w:p>
            <w:r>
              <w:t>GL 18.91–96; KBh 15.53ff.</w:t>
            </w:r>
          </w:p>
        </w:tc>
        <w:tc>
          <w:tcPr>
            <w:tcW w:type="dxa" w:w="2498"/>
            <w:vAlign w:val="top"/>
          </w:tcPr>
          <w:p>
            <w:r>
              <w:t>Jatilā/public religious cover returns.</w:t>
            </w:r>
          </w:p>
        </w:tc>
        <w:tc>
          <w:tcPr>
            <w:tcW w:type="dxa" w:w="2498"/>
            <w:vAlign w:val="top"/>
          </w:tcPr>
          <w:p>
            <w:r>
              <w:t>Broad convergence</w:t>
            </w:r>
          </w:p>
        </w:tc>
      </w:tr>
      <w:tr>
        <w:trPr>
          <w:cantSplit w:val="1"/>
        </w:trPr>
        <w:tc>
          <w:tcPr>
            <w:tcW w:type="dxa" w:w="2498"/>
            <w:vAlign w:val="top"/>
          </w:tcPr>
          <w:p>
            <w:r>
              <w:t>12. Route bifurcation</w:t>
            </w:r>
          </w:p>
        </w:tc>
        <w:tc>
          <w:tcPr>
            <w:tcW w:type="dxa" w:w="2498"/>
            <w:vAlign w:val="top"/>
          </w:tcPr>
          <w:p>
            <w:r>
              <w:t>GL 18.92–96, 19.1; KBh 15.80–82</w:t>
            </w:r>
          </w:p>
        </w:tc>
        <w:tc>
          <w:tcPr>
            <w:tcW w:type="dxa" w:w="2498"/>
            <w:vAlign w:val="top"/>
          </w:tcPr>
          <w:p>
            <w:r>
              <w:t>Rādhā → home; Kṛṣṇa → cowherd sakhās; aparāhna begins.</w:t>
            </w:r>
          </w:p>
        </w:tc>
        <w:tc>
          <w:tcPr>
            <w:tcW w:type="dxa" w:w="2498"/>
            <w:vAlign w:val="top"/>
          </w:tcPr>
          <w:p>
            <w:r>
              <w:t>VERIFIED</w:t>
            </w:r>
          </w:p>
        </w:tc>
      </w:tr>
    </w:tbl>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CROSS-TEXT RULE  </w:t>
            </w:r>
            <w:r>
              <w:t>Govinda-līlāmṛta and Kṛṣṇa-bhāvanāmṛta describe the same eternal midday world but do not supply one identical micro-itinerary. Where they differ in grove names, order, or elaboration, this section preserves both rather than manufacturing a reconciliation.</w:t>
            </w:r>
          </w:p>
        </w:tc>
      </w:tr>
    </w:tbl>
    <w:p>
      <w:r>
        <w:br w:type="page"/>
      </w:r>
    </w:p>
    <w:p>
      <w:pPr>
        <w:pStyle w:val="Kicker"/>
      </w:pPr>
      <w:r>
        <w:t>READER-FACING PROSE</w:t>
      </w:r>
    </w:p>
    <w:p>
      <w:pPr>
        <w:pStyle w:val="Heading1"/>
      </w:pPr>
      <w:r>
        <w:t>6. A Midday Journey to Rādhā-kuṇḍa</w:t>
      </w:r>
    </w:p>
    <w:p>
      <w:r>
        <w:t>The landscape of the previous section is exquisitely prepared, but a prepared place is waiting for someone to arrive. In the daily-līlā texts, Rādhā-kuṇḍa is not simply where Rādhā and Kṛṣṇa happen to meet. The meeting is desired in advance, hidden inside ordinary obligations, and carried through by friends who know how to let two public worlds converge without exposing the confidential purpose beneath them.</w:t>
      </w:r>
    </w:p>
    <w:p>
      <w:r>
        <w:t>Kṛṣṇadāsa Kavirāja gives the appointment in Govinda-līlāmṛta 5.40. Kṛṣṇa asks Rādhā to endure only a little longer: two or three ghaṭikās must somehow pass. Then He gives the instruction that governs the whole route—āgantavyaṁ mayi karuṇayā chadmanāśu sva-kuṇḍam: out of mercy for Me, come quickly, by a pretext, to Your own kuṇḍa. The word chadmanā matters as much as the destination. Rādhā-kuṇḍa is the appointed meeting place, but neither Rādhā nor Kṛṣṇa simply abandons the visible life of Vraja and walks there openly.</w:t>
      </w:r>
    </w:p>
    <w:p>
      <w:r>
        <w:t>Rādhā moves within the household world. Duties, elders, companions and the socially acceptable framework of Sūrya-pūjā shape the outward form of Her journey. Kṛṣṇa remains publicly a cowherd boy among cows and friends. In Kṛṣṇa-bhāvanāmṛta, Madhumaṅgala helps create a plausible religious errand connected with Garga and the Sūrya setting, allowing Kṛṣṇa to separate from the larger cowherd company. The two sides therefore leave different worlds for the same hidden destination.</w:t>
      </w:r>
    </w:p>
    <w:p>
      <w:r>
        <w:t>The approach is not reducible to a single road on a modern map. Viśvanātha’s Kṛṣṇa-bhāvanāmṛta lets Rādhā’s side pass through the Sūrya and Madana-raṇa setting before entering the forest of Her own pond; Kṛṣṇa’s side proceeds with Madhumaṅgala through Pramoda or Pramodana-vana. Kṛṣṇadāsa’s Govinda-līlāmṛta gives a simpler but decisive movement: Kṛṣṇa turns back by another path and comes to Rādhā-kuṇḍa eager for His beloved. The destination is secure; the precise correlation of every literary path with a present lane or field is not.</w:t>
      </w:r>
    </w:p>
    <w:p>
      <w:r>
        <w:t>When the two routes converge, the texts slow down. Govinda-līlāmṛta describes an approach along a corridor between rows of bakula trees. The first sight is not immediate certainty. Rādhā looks ahead and asks Viśākhā whether the figure She sees is truly Kṛṣṇa; Kṛṣṇa likewise beholds Rādhā through a moment of aesthetic uncertainty. Recognition brings not practical efficiency but the opposite: emotion overwhelms the ability to act. The planned journey reaches its destination and, for a moment, the travelers can do almost nothing.</w:t>
      </w:r>
    </w:p>
    <w:p>
      <w:r>
        <w:t>Kṛṣṇa-bhāvanāmṛta dramatizes the first seclusion differently. Rādhā seeks concealment among groves; an Aśoka-kuñja and then a Vañjula-kuñja enter the episode. Lalitā protects Her, at first telling Kṛṣṇa that Rādhā has gone home, while Nandīmukhī helps turn concealment toward meeting. The exact relation of the Aśoka and Vañjula names to one another—and to Kṛṣṇadāsa’s directional kuñja system—remains unresolved. We should therefore receive Viśvanātha’s scene as another intimate vision of the same midday convergence, not as a set of labels to be forced onto Kṛṣṇadāsa’s map.</w:t>
      </w:r>
    </w:p>
    <w:p>
      <w:r>
        <w:t>Once the Couple are within the Rādhā-kuṇḍa environment, Vṛndā’s work becomes especially visible. In Kṛṣṇa-bhāvanāmṛta 10.4–5 she assigns the six seasons to service positions around the kuṇḍa and its forest. Varṣā, the rainy season, serves in the east; Śarad in the south; Hemanta in the west; Śiśira in the north. Vasanta moves among the trees around the lake, while summer finds its proper service within the water itself, where cooling water-play can succeed.</w:t>
      </w:r>
    </w:p>
    <w:p>
      <w:r>
        <w:t>This is not a climate map in the ordinary sense. The six seasons are present as servants of līlā, each preparing an environment suited to a particular pleasure. Nor should their directions be drawn as six modern property parcels. Viśvanātha’s later chapters allow the seasonal circuit to expand far beyond a narrow tank perimeter, through forests, paths, ponds, rivers, hills and places of the wider Govardhana and Vraja landscape. Rādhā-kuṇḍa functions as an organizing center, not a cadastral box.</w:t>
      </w:r>
    </w:p>
    <w:p>
      <w:r>
        <w:t>The rainy-season sequence makes this especially vivid. Vṛndā leads Rādhā and Kṛṣṇa into Varṣā-harṣa, “the joy of the rainy season,” a kadamba-filled pleasure forest prepared with jeweled platforms and swings. One swing is itself shaped like a lotus. Rādhā and Kṛṣṇa occupy the central whorl; the eight principal sakhīs take the surrounding petals; sixteen further companions occupy an outer ring of leaves. The arrangement turns social relationship into visible form. Vṛndā and Nandī move the swing, maidservants sing, refreshments and tāmbūla are served, and then the Couple descend and continue.</w:t>
      </w:r>
    </w:p>
    <w:p>
      <w:r>
        <w:t>Govinda-līlāmṛta has its own eight-petalled swing arrangement in Lalitā’s Hindola-kuṭṭima, which we encountered in the static landscape. The resemblance is strong, but the texts do not tell us that the Varṣā-harṣa lotus swing and Hindola-kuṭṭima are the same place. The wiser reading is to notice a shared devotional imagination—lotus geometry, the Couple at the center, companions arranged around Them, music, Vṛndā’s supervision—without forcing one literary scene to become the address of the other.</w:t>
      </w:r>
    </w:p>
    <w:p>
      <w:r>
        <w:t>The seasonal movement then widens. Autumn, early winter, winter and spring carry the Couple through different textures of Vraja. Govardhana repeatedly enters that expanding world through hills, caves, forests and waters; Mānasi-gaṅgā imagery and the spring movement toward Parāsaulī and Candra-sarovara belong to the same continuous sacred geography. Those places will receive their own treatment elsewhere in the Govardhana project. Here their function is to prevent us from imagining that the eternal midday līlā remains trapped inside the outline of the modern Rādhā-kuṇḍa town.</w:t>
      </w:r>
    </w:p>
    <w:p>
      <w:r>
        <w:t>After this wider seasonal wandering, Kṛṣṇa-bhāvanāmṛta deliberately returns to the two waters. Verse 14.9 speaks of sva-kuṇḍa-dvayam, “their own pair of kuṇḍas,” and the commentary identifies Rādhā-kuṇḍa and Śyāma-kuṇḍa. The eightfold sakhī order is restated, and the six seasons appear together in service. The expanding journey has come back to its center.</w:t>
      </w:r>
    </w:p>
    <w:p>
      <w:r>
        <w:t>Water-play now gives the summer service its meaning. The checked verses describe rhythmic striking of the water until the lake itself seems musical. When the play ends, the party comes to the bank. Rādhā and Kṛṣṇa enter a jeweled pavilion; Vṛndā offers fruits and other refreshments. Then They rest upon a flower bed while attendants bring tāmbūla and water, hold a mirror, fan Them, readjust dress and ornaments, and massage Their limbs. The movement is worth noticing because it reveals how completely play and service interpenetrate: water becomes bank, bank becomes pavilion, pavilion becomes refreshment, and rest immediately calls forth another layer of sevā.</w:t>
      </w:r>
    </w:p>
    <w:p>
      <w:r>
        <w:t>The daily-līlā texts also love games of intelligence. Kṛṣṇa-bhāvanāmṛta opens its dice episode by contrasting earlier swing, water and honey play with dyūta-keli, a contest to be decided through cleverness. The game is not socially empty. Sudevī brings the dice apparatus. Vṛndā serves as witness for Rādhā and Nandīmukhī for Kṛṣṇa; Kundalatā conducts the game; Madhumaṅgala advises Kṛṣṇa and Lalitā advises Rādhā. A simple board game becomes another place where the network of friendship, advocacy, teasing and service becomes visible.</w:t>
      </w:r>
    </w:p>
    <w:p>
      <w:r>
        <w:t>Kṛṣṇadāsa offers a related but not identical arrangement. Govinda-līlāmṛta contains more than one dice episode during madhyāhna. In Sarga 18 he is explicit about one location: tataḥ … yayatus tau harit-kuñjaṁ sudevī-sukhadābhidham—the Couple go for dice-play to the green grove called Sudevī-sukhada. This corresponds beautifully with Viśvanātha’s choice of Sudevī to bring the dice, but the correspondence should remain disciplined. Kṛṣṇadāsa names the grove; the checked Kṛṣṇa-bhāvanāmṛta dice verses do not.</w:t>
      </w:r>
    </w:p>
    <w:p>
      <w:r>
        <w:t>This also explains why we should resist building a single master timetable out of every episode in the two poems. Govinda-līlāmṛta itself has an earlier joking dice game in Sarga 15 followed by water-play, and later another dice movement in Sarga 18. Kṛṣṇa-bhāvanāmṛta arranges swing, seasonal wandering, return to the twin kuṇḍas, water-play and dice in its own sustained sequence. Repetition is not a defect to be repaired. These are literary meditations on eternally recurring līlā, not train schedules.</w:t>
      </w:r>
    </w:p>
    <w:p>
      <w:r>
        <w:t>Yet the end of midday shows a striking convergence. The private world cannot remain indefinitely detached from the public one. Jatilā arrives, and the Sūrya-pūjā framework that helped provide cover for the journey reasserts itself at the close. Religious duty, disguise, explanation and household authority gather again around Rādhā. The confidential hours fold themselves back inside the visible life of Vraja.</w:t>
      </w:r>
    </w:p>
    <w:p>
      <w:r>
        <w:t>Govinda-līlāmṛta makes the departure almost painful to watch. As Rādhā leaves with Lalitā, She repeatedly turns Her neck as though merely speaking, but actually continues to drink Kṛṣṇa’s lotus face with waves of sidelong glances. Separation begins while sight is still possible. A few verses later Kṛṣṇa is compared to a blue lotus that had opened under the moon of His beloved’s company and now withers when the sun of separation rises.</w:t>
      </w:r>
    </w:p>
    <w:p>
      <w:r>
        <w:t>Then comes a small chronological detail that matters for the whole route. Kṛṣṇa does not simply walk home from Rādhā-kuṇḍa. Govinda-līlāmṛta 18.96 says that, dejected and accompanied by two friends—identified in the commentary as Subala and Madhumaṅgala—He goes back to His own sakhās. They joyfully compete to embrace Him. Sarga 19 begins with Rādhā having reached home while Kṛṣṇa is again among the cows and cowherd boys in the afternoon. Kṛṣṇa-bhāvanāmṛta closes madhyāhna in the same broad way: Rādhā and Her party return toward the household world; Kṛṣṇa returns toward the companions tending the cows.</w:t>
      </w:r>
    </w:p>
    <w:p>
      <w:r>
        <w:t>The route therefore ends where it began: not by abolishing the public worlds, but by re-entering them. Rādhā-kuṇḍa occupies the hidden middle. Household duty and cowherding separate the Couple outwardly; friends and pretexts open paths; the two routes converge; Vṛndā changes the seasons around Them; swings, forests, water, food and games fill the hours; Jatilā and Sūrya-pūjā restore the visible social frame; and Rādhā and Kṛṣṇa return to different sides of Vraja carrying the separation created by departure.</w:t>
      </w:r>
    </w:p>
    <w:p>
      <w:r>
        <w:t>Seen this way, the midday journey is not a sequence of attractions around a sacred pond. It is a choreography of concealment and service. Every stage depends on people: someone creates the pretext, someone guides the path, someone recognizes the beloved, someone protects secrecy, someone prepares a swing, someone serves fruit, someone witnesses the dice, someone watches for an elder, someone restores the public explanation when it is time to leave. The landscape moves because a community of sevā moves through it. Those people are the subject of the next section.</w:t>
      </w:r>
    </w:p>
    <w:p/>
    <w:p>
      <w:pPr>
        <w:pStyle w:val="Kicker"/>
      </w:pPr>
      <w:r>
        <w:t>INTERNAL CONTROL APPARATUS • REMOVE OR CONVERT TO NOTES IN FINAL COMPILATION</w:t>
      </w:r>
    </w:p>
    <w:p>
      <w:pPr>
        <w:pStyle w:val="Heading1"/>
      </w:pPr>
      <w:r>
        <w:t>Sources actually used</w:t>
      </w:r>
    </w:p>
    <w:p>
      <w:r>
        <w:t>• RK-02 — Rādhā-kuṇḍa Nitya-līlā &amp; Sacred Geography Research Ledger v0.2, especially §§6–18. This is the controlling route comparison and preserves which loci are verified, which correspondences are strong but not identical, and which micro-geography remains unresolved.</w:t>
      </w:r>
    </w:p>
    <w:p>
      <w:r>
        <w:t>• Kṛṣṇadāsa Kavirāja, Govinda-līlāmṛta 5.40; Sargas 7–8; Sarga 15; Sarga 18, especially 18.25 and 18.92–96; 19.1. GL 5.40 was checked directly in the local Sargas 1–14 commentary witness; departure and dice Sanskrit follow the verified RK-02 transcription from the local mūla/commentary.</w:t>
      </w:r>
    </w:p>
    <w:p>
      <w:r>
        <w:t>• Viśvanātha Cakravartī, Kṛṣṇa-bhāvanāmṛta, Chapters 8–15. The section relies on the project’s verified verse-locus work: 10.4–5 (six seasons), 11.8 and 11.45–49 (Varṣā-harṣa / lotus swing), 14.9–17 and 14.48–52 (twin kuṇḍas, water-play and post-play service), 15.1–8 (dice), and 15.53–82 (Sūrya/Jatilā closure).</w:t>
      </w:r>
    </w:p>
    <w:p>
      <w:r>
        <w:t>• 01 — Rādhā-kuṇḍa Research Dossier v0.4, §13, for the consolidated aṣṭa-kālīya milestone and the rule not to fuse GL and KBh into one chronology.</w:t>
      </w:r>
    </w:p>
    <w:p>
      <w:r>
        <w:t>• RKST-00 Writing Blueprint v1.0, Section 6, for target length, narrative movement, quotation burden, and the explicit correction that Kṛṣṇa first returns to the cowherd companions rather than directly home.</w:t>
      </w:r>
    </w:p>
    <w:p>
      <w:r>
        <w:t>• RK-03 — People of the Landscape v0.3, used only where route roles are already securely established; the full social treatment remains reserved for RKST-07.</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1"/>
        </w:trP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check</w:t>
            </w:r>
          </w:p>
        </w:tc>
        <w:tc>
          <w:tcPr>
            <w:tcW w:type="dxa" w:w="2498"/>
            <w:shd w:fill="7B2638"/>
          </w:tcPr>
          <w:p>
            <w:r>
              <w:rPr>
                <w:b/>
                <w:color w:val="FFFFFF"/>
              </w:rPr>
              <w:t>Final-use status</w:t>
            </w:r>
          </w:p>
        </w:tc>
      </w:tr>
      <w:tr>
        <w:trPr>
          <w:cantSplit w:val="1"/>
        </w:trPr>
        <w:tc>
          <w:tcPr>
            <w:tcW w:type="dxa" w:w="2498"/>
            <w:vAlign w:val="top"/>
          </w:tcPr>
          <w:p>
            <w:r>
              <w:t>GL 5.40</w:t>
            </w:r>
          </w:p>
        </w:tc>
        <w:tc>
          <w:tcPr>
            <w:tcW w:type="dxa" w:w="2498"/>
            <w:vAlign w:val="top"/>
          </w:tcPr>
          <w:p>
            <w:r>
              <w:t>āgantavyaṁ mayi karuṇayā chadmanāśu sva-kuṇḍam</w:t>
            </w:r>
          </w:p>
        </w:tc>
        <w:tc>
          <w:tcPr>
            <w:tcW w:type="dxa" w:w="2498"/>
            <w:vAlign w:val="top"/>
          </w:tcPr>
          <w:p>
            <w:r>
              <w:t>Local GL commentary witness</w:t>
            </w:r>
          </w:p>
        </w:tc>
        <w:tc>
          <w:tcPr>
            <w:tcW w:type="dxa" w:w="2498"/>
            <w:vAlign w:val="top"/>
          </w:tcPr>
          <w:p>
            <w:r>
              <w:t>KEEP — principal route anchor</w:t>
            </w:r>
          </w:p>
        </w:tc>
      </w:tr>
      <w:tr>
        <w:trPr>
          <w:cantSplit w:val="1"/>
        </w:trPr>
        <w:tc>
          <w:tcPr>
            <w:tcW w:type="dxa" w:w="2498"/>
            <w:vAlign w:val="top"/>
          </w:tcPr>
          <w:p>
            <w:r>
              <w:t>GL 18.25</w:t>
            </w:r>
          </w:p>
        </w:tc>
        <w:tc>
          <w:tcPr>
            <w:tcW w:type="dxa" w:w="2498"/>
            <w:vAlign w:val="top"/>
          </w:tcPr>
          <w:p>
            <w:r>
              <w:t>yayatus tau harit-kuñjaṁ sudevī-sukhadābhidham</w:t>
            </w:r>
          </w:p>
        </w:tc>
        <w:tc>
          <w:tcPr>
            <w:tcW w:type="dxa" w:w="2498"/>
            <w:vAlign w:val="top"/>
          </w:tcPr>
          <w:p>
            <w:r>
              <w:t>RK-02 verified Sanskrit / local GL witness</w:t>
            </w:r>
          </w:p>
        </w:tc>
        <w:tc>
          <w:tcPr>
            <w:tcW w:type="dxa" w:w="2498"/>
            <w:vAlign w:val="top"/>
          </w:tcPr>
          <w:p>
            <w:r>
              <w:t>KEEP selectively — explicit dice-site anchor</w:t>
            </w:r>
          </w:p>
        </w:tc>
      </w:tr>
      <w:tr>
        <w:trPr>
          <w:cantSplit w:val="1"/>
        </w:trPr>
        <w:tc>
          <w:tcPr>
            <w:tcW w:type="dxa" w:w="2498"/>
            <w:vAlign w:val="top"/>
          </w:tcPr>
          <w:p>
            <w:r>
              <w:t>GL 18.93</w:t>
            </w:r>
          </w:p>
        </w:tc>
        <w:tc>
          <w:tcPr>
            <w:tcW w:type="dxa" w:w="2498"/>
            <w:vAlign w:val="top"/>
          </w:tcPr>
          <w:p>
            <w:r>
              <w:t>yāntī vivartya … lapana-cchalena … apāṅga-taraṅga</w:t>
            </w:r>
          </w:p>
        </w:tc>
        <w:tc>
          <w:tcPr>
            <w:tcW w:type="dxa" w:w="2498"/>
            <w:vAlign w:val="top"/>
          </w:tcPr>
          <w:p>
            <w:r>
              <w:t>RK-02 verified Sanskrit</w:t>
            </w:r>
          </w:p>
        </w:tc>
        <w:tc>
          <w:tcPr>
            <w:tcW w:type="dxa" w:w="2498"/>
            <w:vAlign w:val="top"/>
          </w:tcPr>
          <w:p>
            <w:r>
              <w:t>KEEP or paraphrase — departure image</w:t>
            </w:r>
          </w:p>
        </w:tc>
      </w:tr>
      <w:tr>
        <w:trPr>
          <w:cantSplit w:val="1"/>
        </w:trPr>
        <w:tc>
          <w:tcPr>
            <w:tcW w:type="dxa" w:w="2498"/>
            <w:vAlign w:val="top"/>
          </w:tcPr>
          <w:p>
            <w:r>
              <w:t>GL 18.96</w:t>
            </w:r>
          </w:p>
        </w:tc>
        <w:tc>
          <w:tcPr>
            <w:tcW w:type="dxa" w:w="2498"/>
            <w:vAlign w:val="top"/>
          </w:tcPr>
          <w:p>
            <w:r>
              <w:t>sakhibhyāṁ sahitaḥ … sva-sakhīn agāt</w:t>
            </w:r>
          </w:p>
        </w:tc>
        <w:tc>
          <w:tcPr>
            <w:tcW w:type="dxa" w:w="2498"/>
            <w:vAlign w:val="top"/>
          </w:tcPr>
          <w:p>
            <w:r>
              <w:t>RK-02 verified Sanskrit; commentary identifies Subala/Madhumaṅgala</w:t>
            </w:r>
          </w:p>
        </w:tc>
        <w:tc>
          <w:tcPr>
            <w:tcW w:type="dxa" w:w="2498"/>
            <w:vAlign w:val="top"/>
          </w:tcPr>
          <w:p>
            <w:r>
              <w:t>KEEP in note / paraphrase in prose — chronology correction</w:t>
            </w:r>
          </w:p>
        </w:tc>
      </w:tr>
      <w:tr>
        <w:trPr>
          <w:cantSplit w:val="1"/>
        </w:trPr>
        <w:tc>
          <w:tcPr>
            <w:tcW w:type="dxa" w:w="2498"/>
            <w:vAlign w:val="top"/>
          </w:tcPr>
          <w:p>
            <w:r>
              <w:t>KBh 10.4–5</w:t>
            </w:r>
          </w:p>
        </w:tc>
        <w:tc>
          <w:tcPr>
            <w:tcW w:type="dxa" w:w="2498"/>
            <w:vAlign w:val="top"/>
          </w:tcPr>
          <w:p>
            <w:r>
              <w:t>six-season directional service assignment</w:t>
            </w:r>
          </w:p>
        </w:tc>
        <w:tc>
          <w:tcPr>
            <w:tcW w:type="dxa" w:w="2498"/>
            <w:vAlign w:val="top"/>
          </w:tcPr>
          <w:p>
            <w:r>
              <w:t>Printed Sanskrit/commentary verified in RK-02</w:t>
            </w:r>
          </w:p>
        </w:tc>
        <w:tc>
          <w:tcPr>
            <w:tcW w:type="dxa" w:w="2498"/>
            <w:vAlign w:val="top"/>
          </w:tcPr>
          <w:p>
            <w:r>
              <w:t>PARAPHRASE — avoid overload</w:t>
            </w:r>
          </w:p>
        </w:tc>
      </w:tr>
      <w:tr>
        <w:trPr>
          <w:cantSplit w:val="1"/>
        </w:trPr>
        <w:tc>
          <w:tcPr>
            <w:tcW w:type="dxa" w:w="2498"/>
            <w:vAlign w:val="top"/>
          </w:tcPr>
          <w:p>
            <w:r>
              <w:t>KBh 11.45–49</w:t>
            </w:r>
          </w:p>
        </w:tc>
        <w:tc>
          <w:tcPr>
            <w:tcW w:type="dxa" w:w="2498"/>
            <w:vAlign w:val="top"/>
          </w:tcPr>
          <w:p>
            <w:r>
              <w:t>lotus swing: Couple + eight + sixteen</w:t>
            </w:r>
          </w:p>
        </w:tc>
        <w:tc>
          <w:tcPr>
            <w:tcW w:type="dxa" w:w="2498"/>
            <w:vAlign w:val="top"/>
          </w:tcPr>
          <w:p>
            <w:r>
              <w:t>Printed Sanskrit/commentary verified in RK-02</w:t>
            </w:r>
          </w:p>
        </w:tc>
        <w:tc>
          <w:tcPr>
            <w:tcW w:type="dxa" w:w="2498"/>
            <w:vAlign w:val="top"/>
          </w:tcPr>
          <w:p>
            <w:r>
              <w:t>PARAPHRASE</w:t>
            </w:r>
          </w:p>
        </w:tc>
      </w:tr>
      <w:tr>
        <w:trPr>
          <w:cantSplit w:val="1"/>
        </w:trPr>
        <w:tc>
          <w:tcPr>
            <w:tcW w:type="dxa" w:w="2498"/>
            <w:vAlign w:val="top"/>
          </w:tcPr>
          <w:p>
            <w:r>
              <w:t>KBh 14.48–52</w:t>
            </w:r>
          </w:p>
        </w:tc>
        <w:tc>
          <w:tcPr>
            <w:tcW w:type="dxa" w:w="2498"/>
            <w:vAlign w:val="top"/>
          </w:tcPr>
          <w:p>
            <w:r>
              <w:t>water → bank → pavilion → refreshment → rest/service</w:t>
            </w:r>
          </w:p>
        </w:tc>
        <w:tc>
          <w:tcPr>
            <w:tcW w:type="dxa" w:w="2498"/>
            <w:vAlign w:val="top"/>
          </w:tcPr>
          <w:p>
            <w:r>
              <w:t>Printed Sanskrit/commentary verified in RK-02</w:t>
            </w:r>
          </w:p>
        </w:tc>
        <w:tc>
          <w:tcPr>
            <w:tcW w:type="dxa" w:w="2498"/>
            <w:vAlign w:val="top"/>
          </w:tcPr>
          <w:p>
            <w:r>
              <w:t>PARAPHRASE</w:t>
            </w:r>
          </w:p>
        </w:tc>
      </w:tr>
      <w:tr>
        <w:trPr>
          <w:cantSplit w:val="1"/>
        </w:trPr>
        <w:tc>
          <w:tcPr>
            <w:tcW w:type="dxa" w:w="2498"/>
            <w:vAlign w:val="top"/>
          </w:tcPr>
          <w:p>
            <w:r>
              <w:t>KBh 15.1–8</w:t>
            </w:r>
          </w:p>
        </w:tc>
        <w:tc>
          <w:tcPr>
            <w:tcW w:type="dxa" w:w="2498"/>
            <w:vAlign w:val="top"/>
          </w:tcPr>
          <w:p>
            <w:r>
              <w:t>Sudevī / Vṛndā / Nandīmukhī / Kundalatā / Madhumaṅgala / Lalitā dice roles</w:t>
            </w:r>
          </w:p>
        </w:tc>
        <w:tc>
          <w:tcPr>
            <w:tcW w:type="dxa" w:w="2498"/>
            <w:vAlign w:val="top"/>
          </w:tcPr>
          <w:p>
            <w:r>
              <w:t>Printed Sanskrit/commentary verified in RK-02</w:t>
            </w:r>
          </w:p>
        </w:tc>
        <w:tc>
          <w:tcPr>
            <w:tcW w:type="dxa" w:w="2498"/>
            <w:vAlign w:val="top"/>
          </w:tcPr>
          <w:p>
            <w:r>
              <w:t>PARAPHRASE</w:t>
            </w:r>
          </w:p>
        </w:tc>
      </w:tr>
    </w:tbl>
    <w:p>
      <w:pPr>
        <w:pStyle w:val="Heading2"/>
      </w:pPr>
      <w:r>
        <w:t>Claims deliberately omitted or qualified</w:t>
      </w:r>
    </w:p>
    <w:p>
      <w:r>
        <w:t>• GL and KBh are not fused into one exact itinerary. Differences in grove names, order, and repeated sports are preserved as distinct literary expansions.</w:t>
      </w:r>
    </w:p>
    <w:p>
      <w:r>
        <w:t>• Aśoka-kuñja and Vañjula-kuñja in KBh are not identified with one another or with a specific GL directional grove; their relationship remains unresolved.</w:t>
      </w:r>
    </w:p>
    <w:p>
      <w:r>
        <w:t>• Varṣā-harṣa’s lotus swing is not equated with GL’s Hindola-kuṭṭima merely because both use lotus/eightfold swing geometry.</w:t>
      </w:r>
    </w:p>
    <w:p>
      <w:r>
        <w:t>• The six seasonal assignments are not drawn as modern physical sectors or property parcels.</w:t>
      </w:r>
    </w:p>
    <w:p>
      <w:r>
        <w:t>• The broader seasonal movement through Govardhana, Mānasi-gaṅgā, Parāsaulī/Candra-sarovara and wider Vraja is mentioned only as continuous geography; those places retain their own future chapters.</w:t>
      </w:r>
    </w:p>
    <w:p>
      <w:r>
        <w:t>• KBh’s principal dice episode is not said to occur in Sudevī-sukhada; that explicit site name belongs to GL 18.25 in the checked evidence.</w:t>
      </w:r>
    </w:p>
    <w:p>
      <w:r>
        <w:t>• The section does not say Kṛṣṇa goes directly home after the confidential midday līlā; both GL and KBh return Him first to the cowherd social world.</w:t>
      </w:r>
    </w:p>
    <w:p>
      <w:pPr>
        <w:pStyle w:val="Heading2"/>
      </w:pPr>
      <w:r>
        <w:t>Open items carried forward</w:t>
      </w:r>
    </w:p>
    <w:p>
      <w:r>
        <w:t>• Resolve the exact relationship of Aśoka-kuñja and Vañjula-kuñja in KBh and whether either can be related to a named GL grove.</w:t>
      </w:r>
    </w:p>
    <w:p>
      <w:r>
        <w:t>• Determine whether any additional KBh passage explicitly names the grove of its principal dice episode.</w:t>
      </w:r>
    </w:p>
    <w:p>
      <w:r>
        <w:t>• Recover more complete Sanskrit text for the KBh Chapter 8 approach/pretext machinery for the eventual Primary-Source Anthology; the route substance is already secure enough for narrative prose.</w:t>
      </w:r>
    </w:p>
    <w:p>
      <w:r>
        <w:t>• Do not equate any literary route, seasonal sector, swing site, pavilion or grove with a present physical road or shrine without independent B/C/D evidence.</w:t>
      </w:r>
    </w:p>
    <w:p>
      <w:pPr>
        <w:pStyle w:val="Heading2"/>
      </w:pPr>
      <w:r>
        <w:t>Cross-references</w:t>
      </w:r>
    </w:p>
    <w:p>
      <w:r>
        <w:t>• RKST-05 — this section animates the static landscape established there.</w:t>
      </w:r>
    </w:p>
    <w:p>
      <w:r>
        <w:t>• RKST-07 — all major route stages depend on the people/service network; the next section should introduce those actors by function without repeating the whole itinerary.</w:t>
      </w:r>
    </w:p>
    <w:p>
      <w:r>
        <w:t>• Future Govardhana chapters — cross-reference Pramoda/Pramodana-vana, Mānasi-gaṅgā, Parāsaulī/Candra-sarovara, and wider seasonal Govardhana geography when their principal stories are written.</w:t>
      </w:r>
    </w:p>
    <w:p>
      <w:r>
        <w:t>• RKST-13 — only the modern pilgrimage section should compare these literary routes with present lanes, commemorative sites, signage, or walking possibilities.</w:t>
      </w:r>
    </w:p>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REVIEW QUESTION FOR V0.2  </w:t>
            </w:r>
            <w:r>
              <w:t>Does the section feel like one moving midday experience while still making it clear that Govinda-līlāmṛta and Kṛṣṇa-bhāvanāmṛta are complementary literary visions rather than one fused itinerary?</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RKST-06 • Draft v0.1 • 22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RKST-06 — A Midday Journey to Rādhā-kuṇḍa — Draft v0.1</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