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GOVARDHANA PILGRIMAGE</w:t>
      </w:r>
    </w:p>
    <w:p>
      <w:pPr>
        <w:jc w:val="center"/>
      </w:pPr>
      <w:r>
        <w:rPr>
          <w:b/>
          <w:color w:val="B28B45"/>
          <w:sz w:val="30"/>
        </w:rPr>
        <w:t>Rādhā-kuṇḍa Story</w:t>
      </w:r>
    </w:p>
    <w:p>
      <w:pPr>
        <w:jc w:val="center"/>
      </w:pPr>
      <w:r>
        <w:rPr>
          <w:b/>
          <w:color w:val="7B2638"/>
          <w:sz w:val="56"/>
        </w:rPr>
        <w:t>RKST-07</w:t>
      </w:r>
    </w:p>
    <w:p>
      <w:pPr>
        <w:jc w:val="center"/>
      </w:pPr>
      <w:r>
        <w:rPr>
          <w:b/>
          <w:color w:val="7B2638"/>
          <w:sz w:val="44"/>
        </w:rPr>
        <w:t>The People Who Make the Landscape Live</w:t>
      </w:r>
    </w:p>
    <w:p>
      <w:pPr>
        <w:jc w:val="center"/>
      </w:pPr>
      <w:r>
        <w:rPr>
          <w:i/>
          <w:sz w:val="23"/>
        </w:rPr>
        <w:t>Sakhīs, mañjarīs, organizers, cowherd confidants, and the public-social world</w:t>
      </w:r>
    </w:p>
    <w:p/>
    <w:tbl>
      <w:tblPr>
        <w:tblW w:type="auto" w:w="0"/>
        <w:jc w:val="center"/>
        <w:tblLook w:firstColumn="1" w:firstRow="1" w:lastColumn="0" w:lastRow="0" w:noHBand="0" w:noVBand="1" w:val="04A0"/>
      </w:tblPr>
      <w:tblGrid>
        <w:gridCol w:w="9994"/>
      </w:tblGrid>
      <w:tr>
        <w:trPr>
          <w:cantSplit w:val="1"/>
        </w:trPr>
        <w:tc>
          <w:tcPr>
            <w:tcW w:type="dxa" w:w="9994"/>
            <w:shd w:fill="F3EBDD"/>
          </w:tcPr>
          <w:p>
            <w:r>
              <w:rPr>
                <w:b/>
                <w:color w:val="7B2638"/>
              </w:rPr>
              <w:t xml:space="preserve">DRAFT STATUS  </w:t>
            </w:r>
            <w:r>
              <w:t>Working literary draft v0.1. This section completes Part II by revealing the service ecology behind the landscape and route. It is organized by function rather than as a biographical catalogue, and it preserves category distinctions among sakhīs, mañjarīs, dūtikās, priya-narma-sakhās, and household figures.</w:t>
            </w:r>
          </w:p>
        </w:tc>
      </w:tr>
    </w:tbl>
    <w:p>
      <w:pPr>
        <w:jc w:val="center"/>
      </w:pPr>
      <w:r>
        <w:rPr>
          <w:color w:val="5A5A5A"/>
          <w:sz w:val="19"/>
        </w:rPr>
        <w:t>Primary control: Rūpa Gosvāmī’s Rādhā-Kṛṣṇa-gaṇoddeśa-dīpikā, read through RK-03 and checked against Govinda-līlāmṛta, Kṛṣṇa-bhāvanāmṛta, Vraja-vilāsa-stava, and Vilāpa-kusumāñjali.</w:t>
      </w:r>
    </w:p>
    <w:p>
      <w:r>
        <w:br w:type="page"/>
      </w:r>
    </w:p>
    <w:p>
      <w:pPr>
        <w:pStyle w:val="Kicker"/>
      </w:pPr>
      <w:r>
        <w:t>SOURCE CARD • SOCIAL AND SERVICE HIERARCHY CHECKED BEFORE DRAFTING</w:t>
      </w:r>
    </w:p>
    <w:p>
      <w:pPr>
        <w:pStyle w:val="Heading1"/>
      </w:pPr>
      <w:r>
        <w:t>From names to service actors</w:t>
      </w:r>
    </w:p>
    <w:p>
      <w:r>
        <w:t>Rūpa Gosvāmī’s Rādhā-Kṛṣṇa-gaṇoddeśa-dīpikā is the foundational social source for this section. The governing method is to distinguish formal categories while showing how they cooperate in one service world. Govinda-līlāmṛta and Kṛṣṇa-bhāvanāmṛta supply Rādhā-kuṇḍa-specific actions and placements; Raghunātha dāsa supplies the inner devotional meaning of service at the kuṇḍa.</w:t>
      </w:r>
    </w:p>
    <w:p>
      <w:r>
        <w:rPr>
          <w:b/>
          <w:color w:val="7B2638"/>
        </w:rPr>
        <w:t>Rādhā-Kṛṣṇa-gaṇoddeśa-dīpikā 79</w:t>
      </w:r>
    </w:p>
    <w:p>
      <w:pPr>
        <w:pStyle w:val="SourceSanskrit"/>
      </w:pPr>
      <w:r>
        <w:t>lalitā ca viśākhā ca citrā campakavallikā | tuṅgavidyendulekhā ca raṅgadevī sudevikā ||79||</w:t>
      </w:r>
    </w:p>
    <w:p>
      <w:r>
        <w:t>The eight are Lalitā, Viśākhā, Citrā, Campakalatā, Tuṅgavidyā, Indulekhā, Raṅgadevī and Sudevī.</w:t>
      </w:r>
    </w:p>
    <w:p>
      <w:r>
        <w:rPr>
          <w:b/>
          <w:color w:val="7B2638"/>
        </w:rPr>
        <w:t xml:space="preserve">Research use — </w:t>
      </w:r>
      <w:r>
        <w:t>The eight directional kuñjas are the geographic expression of eight senior service authorities, not merely memorial names.</w:t>
      </w:r>
    </w:p>
    <w:p>
      <w:r>
        <w:rPr>
          <w:b/>
          <w:color w:val="7B2638"/>
        </w:rPr>
        <w:t>Gaṇoddeśa-dīpikā 123–127 — selected service charter</w:t>
      </w:r>
    </w:p>
    <w:p>
      <w:pPr>
        <w:pStyle w:val="SourceSanskrit"/>
      </w:pPr>
      <w:r>
        <w:t>veśaḥ priya-vayasyāyā guru-paty-ādi-vañcanam | hariṇā prema-kalahe tasyā evānuyāyitā ||123||</w:t>
        <w:br/>
        <w:t>abhisāre sahāyatvam annādi-pariveśanam | āsvādanaṁ saha-krīḍā rahasya-parigopanam ||124||</w:t>
        <w:br/>
        <w:t>...</w:t>
        <w:br/>
        <w:t>tauryatrika-kalollāsair ubhayoḥ paritoṣaṇam | avakāśocitācāra-sevā-prārthana-bhāṣaṇam ||126||</w:t>
        <w:br/>
        <w:t>ityādi suṣṭhu bhūyiṣṭhaṁ jñeyam āsāṁ vicakṣaṇaiḥ | sarvā evākhilaṁ karma jānanti kurvate ’pi ca ||127||</w:t>
      </w:r>
    </w:p>
    <w:p>
      <w:r>
        <w:t>They arrange dress, manage deception of elders when necessary, take Rādhā’s side in loving quarrels, assist rendezvous, serve food, protect secrets, please the Couple with song, instruments and dance, and know how to act, speak and request service according to circumstance. Their activities are innumerable; they know every kind of service and perform what the moment requires.</w:t>
      </w:r>
    </w:p>
    <w:p>
      <w:r>
        <w:rPr>
          <w:b/>
          <w:color w:val="7B2638"/>
        </w:rPr>
        <w:t xml:space="preserve">Research use — </w:t>
      </w:r>
      <w:r>
        <w:t>This is the governing charter for reading the aṣṭa-sakhīs as active administrators of rasa and sevā.</w:t>
      </w:r>
    </w:p>
    <w:p>
      <w:r>
        <w:rPr>
          <w:b/>
          <w:color w:val="7B2638"/>
        </w:rPr>
        <w:t>Gaṇoddeśa-dīpikā 129</w:t>
      </w:r>
    </w:p>
    <w:p>
      <w:pPr>
        <w:pStyle w:val="SourceSanskrit"/>
      </w:pPr>
      <w:r>
        <w:t>tathāpi parama-preṣṭha-sakhyaḥ śreṣṭhatayoditāḥ | sarvatra lalitā-devī paramādhyakṣatāṁ gatā ||129||</w:t>
      </w:r>
    </w:p>
    <w:p>
      <w:r>
        <w:t>Among the supremely beloved sakhīs, Lalitā holds the position of supreme superintendent everywhere.</w:t>
      </w:r>
    </w:p>
    <w:p>
      <w:r>
        <w:rPr>
          <w:b/>
          <w:color w:val="7B2638"/>
        </w:rPr>
        <w:t xml:space="preserve">Research use — </w:t>
      </w:r>
      <w:r>
        <w:t>Primary anchor for Lalitā’s senior coordinating role. “Superintendent” is the project’s literal-functional rendering of paramādhyakṣatām.</w:t>
      </w:r>
    </w:p>
    <w:p>
      <w:r>
        <w:rPr>
          <w:b/>
          <w:color w:val="7B2638"/>
        </w:rPr>
        <w:t>Gaṇoddeśa-dīpikā 182–184 — Śrī Rādhā’s mañjarīs</w:t>
      </w:r>
    </w:p>
    <w:p>
      <w:pPr>
        <w:pStyle w:val="SourceSanskrit"/>
      </w:pPr>
      <w:r>
        <w:t>śrī-rūpa-mañjarī rāga-mañjarī rati-mañjarī | lavaṅga-mañjarī guṇa-mañjarī rasa-mañjarī ||182||</w:t>
        <w:br/>
        <w:t>vilāsa-mañjarī prema-mañjarī maṇi-mañjarī | suvarṇa-mañjarī kāma-mañjarī ratna-mañjarī ||183||</w:t>
        <w:br/>
        <w:t>kastūrī-mañjarī gandha-mañjarī netra-mañjarī | śrī-padma-mañjarī līlā-mañjarī hema-mañjarī ... ||184||</w:t>
      </w:r>
    </w:p>
    <w:p>
      <w:r>
        <w:t>Rūpa explicitly names a distinct group of Śrī Rādhā’s mañjarīs, beginning with Rūpa Mañjarī, Rāga Mañjarī and Rati Mañjarī and continuing through many intimate attendants.</w:t>
      </w:r>
    </w:p>
    <w:p>
      <w:r>
        <w:rPr>
          <w:b/>
          <w:color w:val="7B2638"/>
        </w:rPr>
        <w:t xml:space="preserve">Research use — </w:t>
      </w:r>
      <w:r>
        <w:t>Category control: Anaṅga Mañjarī is separately classified among the vara-sakhīs; the name-element “Mañjarī” does not erase formal distinctions.</w:t>
      </w:r>
    </w:p>
    <w:p>
      <w:r>
        <w:rPr>
          <w:b/>
          <w:color w:val="7B2638"/>
        </w:rPr>
        <w:t>Gaṇoddeśa-dīpikā 87–88</w:t>
      </w:r>
    </w:p>
    <w:p>
      <w:pPr>
        <w:pStyle w:val="SourceSanskrit"/>
      </w:pPr>
      <w:r>
        <w:t>paurṇamāsī vīrā vṛndā vaṁśī nāndīmukhī tathā | vṛndārikā tathā melā muralādyāś ca dūtikāḥ ||87||</w:t>
        <w:br/>
        <w:t>nānā-sandhāna-kuśalā tayor milana-kāriṇī | kuñjādi-saṁskriyābhijñā vṛndā tāsu varīyasī ||88||</w:t>
      </w:r>
    </w:p>
    <w:p>
      <w:r>
        <w:t>Paurṇamāsī, Vīrā, Vṛndā, Vaṁśī, Nandīmukhī and others belong to the messenger network. They are expert in many arrangements, bring the Two together, and know how to prepare kuñjas and related meeting places; among them Vṛndā is foremost.</w:t>
      </w:r>
    </w:p>
    <w:p>
      <w:r>
        <w:rPr>
          <w:b/>
          <w:color w:val="7B2638"/>
        </w:rPr>
        <w:t xml:space="preserve">Research use — </w:t>
      </w:r>
      <w:r>
        <w:t>Concise A-level description of the orchestration network behind routes, meetings and environmental readiness.</w:t>
      </w:r>
    </w:p>
    <w:p>
      <w:r>
        <w:rPr>
          <w:b/>
          <w:color w:val="7B2638"/>
        </w:rPr>
        <w:t>Gaṇoddeśa-dīpikā, Laghu-bhāga 41–42</w:t>
      </w:r>
    </w:p>
    <w:p>
      <w:pPr>
        <w:pStyle w:val="SourceSanskrit"/>
      </w:pPr>
      <w:r>
        <w:t>subalārjuna-gandharva-vasantojjvala-kokilāḥ | sanandana-vidagdhādyāḥ priya-narma-sakhā matāḥ ||41||</w:t>
        <w:br/>
        <w:t>tad-rahasyaṁ tu nāsty eva yad amīṣāṁ na gocaraḥ | madhumaṅgala-puṣpāṅka-hāsaṅkādyā vidūṣakāḥ ||42||</w:t>
      </w:r>
    </w:p>
    <w:p>
      <w:r>
        <w:t>Subala, Arjuna, Gandharva, Vasanta, Ujjvala, Kokila, Sanandana, Vidagdha and others are counted among the priya-narma-sakhās. No confidential matter lies outside their knowledge. Madhumaṅgala and others belong to the vidūṣaka circle.</w:t>
      </w:r>
    </w:p>
    <w:p>
      <w:r>
        <w:rPr>
          <w:b/>
          <w:color w:val="7B2638"/>
        </w:rPr>
        <w:t xml:space="preserve">Research use — </w:t>
      </w:r>
      <w:r>
        <w:t>Controls the confidential male network without manufacturing an immutable “male eight,” since lists vary across texts.</w:t>
      </w:r>
    </w:p>
    <w:p>
      <w:r>
        <w:rPr>
          <w:b/>
          <w:color w:val="7B2638"/>
        </w:rPr>
        <w:t>Gaṇoddeśa-dīpikā, Laghu-bhāga 174</w:t>
      </w:r>
    </w:p>
    <w:p>
      <w:pPr>
        <w:pStyle w:val="SourceSanskrit"/>
      </w:pPr>
      <w:r>
        <w:t>śvaśrūs tu jaṭilā khyātā pati-manyo ’bhimanyukaḥ | nanandā kuṭilā-nāmnī sadā-cchidra-vidhāyinī ||174||</w:t>
      </w:r>
    </w:p>
    <w:p>
      <w:r>
        <w:t>Her mother-in-law is known as Jatilā; Abhimanyu is pati-manya—one who regards or fancies himself the husband; and her sister-in-law is Kuṭilā, always looking for faults.</w:t>
      </w:r>
    </w:p>
    <w:p>
      <w:r>
        <w:rPr>
          <w:b/>
          <w:color w:val="7B2638"/>
        </w:rPr>
        <w:t xml:space="preserve">Research use — </w:t>
      </w:r>
      <w:r>
        <w:t>Philological boundary for the public household. Do not flatten pati-manya into an unqualified “Rādhā’s husband.”</w:t>
      </w:r>
    </w:p>
    <w:p>
      <w:pPr>
        <w:pStyle w:val="Heading2"/>
      </w:pPr>
      <w:r>
        <w:t>Functional map of the service ecology</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val="1"/>
        </w:trPr>
        <w:tc>
          <w:tcPr>
            <w:tcW w:type="dxa" w:w="2498"/>
            <w:shd w:fill="7B2638"/>
          </w:tcPr>
          <w:p>
            <w:r>
              <w:rPr>
                <w:b/>
                <w:color w:val="FFFFFF"/>
              </w:rPr>
              <w:t>Network layer</w:t>
            </w:r>
          </w:p>
        </w:tc>
        <w:tc>
          <w:tcPr>
            <w:tcW w:type="dxa" w:w="2498"/>
            <w:shd w:fill="7B2638"/>
          </w:tcPr>
          <w:p>
            <w:r>
              <w:rPr>
                <w:b/>
                <w:color w:val="FFFFFF"/>
              </w:rPr>
              <w:t>Key figures</w:t>
            </w:r>
          </w:p>
        </w:tc>
        <w:tc>
          <w:tcPr>
            <w:tcW w:type="dxa" w:w="2498"/>
            <w:shd w:fill="7B2638"/>
          </w:tcPr>
          <w:p>
            <w:r>
              <w:rPr>
                <w:b/>
                <w:color w:val="FFFFFF"/>
              </w:rPr>
              <w:t>Characteristic function</w:t>
            </w:r>
          </w:p>
        </w:tc>
        <w:tc>
          <w:tcPr>
            <w:tcW w:type="dxa" w:w="2498"/>
            <w:shd w:fill="7B2638"/>
          </w:tcPr>
          <w:p>
            <w:r>
              <w:rPr>
                <w:b/>
                <w:color w:val="FFFFFF"/>
              </w:rPr>
              <w:t>Primary control</w:t>
            </w:r>
          </w:p>
        </w:tc>
      </w:tr>
      <w:tr>
        <w:trPr>
          <w:cantSplit w:val="1"/>
        </w:trPr>
        <w:tc>
          <w:tcPr>
            <w:tcW w:type="dxa" w:w="2498"/>
            <w:vAlign w:val="top"/>
          </w:tcPr>
          <w:p>
            <w:r>
              <w:t>Senior sakhī administration</w:t>
            </w:r>
          </w:p>
        </w:tc>
        <w:tc>
          <w:tcPr>
            <w:tcW w:type="dxa" w:w="2498"/>
            <w:vAlign w:val="top"/>
          </w:tcPr>
          <w:p>
            <w:r>
              <w:t>Lalitā, Viśākhā, aṣṭa-sakhīs</w:t>
            </w:r>
          </w:p>
        </w:tc>
        <w:tc>
          <w:tcPr>
            <w:tcW w:type="dxa" w:w="2498"/>
            <w:vAlign w:val="top"/>
          </w:tcPr>
          <w:p>
            <w:r>
              <w:t>Rasa strategy, meeting logistics, specialist departments, protection of Rādhā’s interests</w:t>
            </w:r>
          </w:p>
        </w:tc>
        <w:tc>
          <w:tcPr>
            <w:tcW w:type="dxa" w:w="2498"/>
            <w:vAlign w:val="top"/>
          </w:tcPr>
          <w:p>
            <w:r>
              <w:t>GD 76–204; GL 7.27–99</w:t>
            </w:r>
          </w:p>
        </w:tc>
      </w:tr>
      <w:tr>
        <w:trPr>
          <w:cantSplit w:val="1"/>
        </w:trPr>
        <w:tc>
          <w:tcPr>
            <w:tcW w:type="dxa" w:w="2498"/>
            <w:vAlign w:val="top"/>
          </w:tcPr>
          <w:p>
            <w:r>
              <w:t>Intimate female service</w:t>
            </w:r>
          </w:p>
        </w:tc>
        <w:tc>
          <w:tcPr>
            <w:tcW w:type="dxa" w:w="2498"/>
            <w:vAlign w:val="top"/>
          </w:tcPr>
          <w:p>
            <w:r>
              <w:t>Anaṅga Mañjarī; Rūpa, Rati, Tulasī; mañjarīs / kuñja-dāsīs</w:t>
            </w:r>
          </w:p>
        </w:tc>
        <w:tc>
          <w:tcPr>
            <w:tcW w:type="dxa" w:w="2498"/>
            <w:vAlign w:val="top"/>
          </w:tcPr>
          <w:p>
            <w:r>
              <w:t>Dressing, route security, food/rest, feet, tāmbūla, fanning, chamber-adjacent service</w:t>
            </w:r>
          </w:p>
        </w:tc>
        <w:tc>
          <w:tcPr>
            <w:tcW w:type="dxa" w:w="2498"/>
            <w:vAlign w:val="top"/>
          </w:tcPr>
          <w:p>
            <w:r>
              <w:t>GD 121–122, 182–186; GL 1,2,5,15,23; VK</w:t>
            </w:r>
          </w:p>
        </w:tc>
      </w:tr>
      <w:tr>
        <w:trPr>
          <w:cantSplit w:val="1"/>
        </w:trPr>
        <w:tc>
          <w:tcPr>
            <w:tcW w:type="dxa" w:w="2498"/>
            <w:vAlign w:val="top"/>
          </w:tcPr>
          <w:p>
            <w:r>
              <w:t>Orchestration network</w:t>
            </w:r>
          </w:p>
        </w:tc>
        <w:tc>
          <w:tcPr>
            <w:tcW w:type="dxa" w:w="2498"/>
            <w:vAlign w:val="top"/>
          </w:tcPr>
          <w:p>
            <w:r>
              <w:t>Paurṇamāsī, Vṛndā, Kundalatā, Nandīmukhī</w:t>
            </w:r>
          </w:p>
        </w:tc>
        <w:tc>
          <w:tcPr>
            <w:tcW w:type="dxa" w:w="2498"/>
            <w:vAlign w:val="top"/>
          </w:tcPr>
          <w:p>
            <w:r>
              <w:t>Senior strategy, kuñja preparation, social bridges, mediation, reconciliation, witness roles</w:t>
            </w:r>
          </w:p>
        </w:tc>
        <w:tc>
          <w:tcPr>
            <w:tcW w:type="dxa" w:w="2498"/>
            <w:vAlign w:val="top"/>
          </w:tcPr>
          <w:p>
            <w:r>
              <w:t>GD 87–101; VVS 25,31,32,34; GL/KBh</w:t>
            </w:r>
          </w:p>
        </w:tc>
      </w:tr>
      <w:tr>
        <w:trPr>
          <w:cantSplit w:val="1"/>
        </w:trPr>
        <w:tc>
          <w:tcPr>
            <w:tcW w:type="dxa" w:w="2498"/>
            <w:vAlign w:val="top"/>
          </w:tcPr>
          <w:p>
            <w:r>
              <w:t>Kṛṣṇa-side confidential network</w:t>
            </w:r>
          </w:p>
        </w:tc>
        <w:tc>
          <w:tcPr>
            <w:tcW w:type="dxa" w:w="2498"/>
            <w:vAlign w:val="top"/>
          </w:tcPr>
          <w:p>
            <w:r>
              <w:t>Subala, Madhumaṅgala, Ujjvala and other priya-narma companions</w:t>
            </w:r>
          </w:p>
        </w:tc>
        <w:tc>
          <w:tcPr>
            <w:tcW w:type="dxa" w:w="2498"/>
            <w:vAlign w:val="top"/>
          </w:tcPr>
          <w:p>
            <w:r>
              <w:t>Confidential knowledge, rendezvous facilitation, humor/advice, movement between cowherding and secret līlā</w:t>
            </w:r>
          </w:p>
        </w:tc>
        <w:tc>
          <w:tcPr>
            <w:tcW w:type="dxa" w:w="2498"/>
            <w:vAlign w:val="top"/>
          </w:tcPr>
          <w:p>
            <w:r>
              <w:t>GD Laghu 41–65; VVS 22–24; GL 5.78; 7.111–117</w:t>
            </w:r>
          </w:p>
        </w:tc>
      </w:tr>
      <w:tr>
        <w:trPr>
          <w:cantSplit w:val="1"/>
        </w:trPr>
        <w:tc>
          <w:tcPr>
            <w:tcW w:type="dxa" w:w="2498"/>
            <w:vAlign w:val="top"/>
          </w:tcPr>
          <w:p>
            <w:r>
              <w:t>Household/public world</w:t>
            </w:r>
          </w:p>
        </w:tc>
        <w:tc>
          <w:tcPr>
            <w:tcW w:type="dxa" w:w="2498"/>
            <w:vAlign w:val="top"/>
          </w:tcPr>
          <w:p>
            <w:r>
              <w:t>Mukharā, Jatilā, Abhimanyu, Kuṭilā</w:t>
            </w:r>
          </w:p>
        </w:tc>
        <w:tc>
          <w:tcPr>
            <w:tcW w:type="dxa" w:w="2498"/>
            <w:vAlign w:val="top"/>
          </w:tcPr>
          <w:p>
            <w:r>
              <w:t>Affection, surveillance, suspicion, religious duty, public legitimacy and risk</w:t>
            </w:r>
          </w:p>
        </w:tc>
        <w:tc>
          <w:tcPr>
            <w:tcW w:type="dxa" w:w="2498"/>
            <w:vAlign w:val="top"/>
          </w:tcPr>
          <w:p>
            <w:r>
              <w:t>VVS 28; GD 174; GL 1.77, 3.44–45, 18.91–92</w:t>
            </w:r>
          </w:p>
        </w:tc>
      </w:tr>
    </w:tbl>
    <w:tbl>
      <w:tblPr>
        <w:tblW w:type="auto" w:w="0"/>
        <w:jc w:val="center"/>
        <w:tblLook w:firstColumn="1" w:firstRow="1" w:lastColumn="0" w:lastRow="0" w:noHBand="0" w:noVBand="1" w:val="04A0"/>
      </w:tblPr>
      <w:tblGrid>
        <w:gridCol w:w="9994"/>
      </w:tblGrid>
      <w:tr>
        <w:trPr>
          <w:cantSplit w:val="1"/>
        </w:trPr>
        <w:tc>
          <w:tcPr>
            <w:tcW w:type="dxa" w:w="9994"/>
            <w:shd w:fill="F3EBDD"/>
          </w:tcPr>
          <w:p>
            <w:r>
              <w:rPr>
                <w:b/>
                <w:color w:val="7B2638"/>
              </w:rPr>
              <w:t xml:space="preserve">CATEGORY RULE  </w:t>
            </w:r>
            <w:r>
              <w:t>The people below belong to interacting but distinct categories. A sakhī is not simply a mañjarī; a dūtikā is not merely another aṣṭa-sakhī; a priya-narma-sakhā belongs to Kṛṣṇa’s confidential male friendship network; and household figures operate in the public-social world. The chapter may show cooperation without erasing these distinctions.</w:t>
            </w:r>
          </w:p>
        </w:tc>
      </w:tr>
    </w:tbl>
    <w:p>
      <w:r>
        <w:br w:type="page"/>
      </w:r>
    </w:p>
    <w:p>
      <w:pPr>
        <w:pStyle w:val="Kicker"/>
      </w:pPr>
      <w:r>
        <w:t>READER-FACING PROSE</w:t>
      </w:r>
    </w:p>
    <w:p>
      <w:pPr>
        <w:pStyle w:val="Heading1"/>
      </w:pPr>
      <w:r>
        <w:t>7. The People Who Make the Landscape Live</w:t>
      </w:r>
    </w:p>
    <w:p>
      <w:r>
        <w:t>By the end of the midday journey, the reader has already seen how difficult it would be to describe Rādhā-kuṇḍa as a private meeting between only two people. Someone carries the message. Someone invents the pretext. Someone watches the road. Someone prepares the grove. Someone interprets a glance. Someone arranges food, flowers, a swing or dice. Someone turns an elder’s suspicion into a socially workable circumstance. Someone is close enough afterward to replace an earring, restore a garment, offer tāmbūla or massage a foot. The landscape lives because service moves through it.</w:t>
      </w:r>
    </w:p>
    <w:p>
      <w:r>
        <w:t>Rūpa Gosvāmī’s Rādhā-Kṛṣṇa-gaṇoddeśa-dīpikā gives this world a remarkable degree of social structure. His account is not merely a list of charming companions. He distinguishes groups, seniority, special capacities and networks of service. The eight most prominent sakhīs—Lalitā, Viśākhā, Citrā, Campakalatā, Tuṅgavidyā, Indulekhā, Raṅgadevī and Sudevī—belong to the variṣṭha division of Rādhā’s supremely beloved companions. In the geography we have already seen, their names become directions around the lake. Here those directions become people.</w:t>
      </w:r>
    </w:p>
    <w:p>
      <w:r>
        <w:t>Rūpa’s general service charter explains what that means. The sakhīs arrange Rādhā’s dress and ornaments, help negotiate the demands of elders and household authority, take Her side in loving quarrels with Kṛṣṇa, assist the journey to an appointed meeting place, serve food, keep secrets, sing, play instruments and dance. They know how to speak and act according to circumstance. Rūpa concludes that their activities are innumerable: they know every kind of service and perform what the moment requires. The eightfold compass around Rādhā-kuṇḍa is therefore not merely decorative. It is the spatial form of a sevā intelligence.</w:t>
      </w:r>
    </w:p>
    <w:p>
      <w:r>
        <w:t>At the head of that senior network stands Lalitā. Rūpa’s phrase is unusually strong: sarvatra lalitā-devī paramādhyakṣatāṁ gatā—Lalitā holds supreme superintendence everywhere. Her authority is not passive rank. She understands the emotional field of the Couple, can encourage Rādhā’s māna or help bring about reconciliation, protects Rādhā’s interests even when that means sharply opposing Mādhava, and supervises an enormous range of flower architecture, ornaments, beds, awnings, tāmbūla resources, vines, forest goddesses and service maidens. This helps us understand why Govinda-līlāmṛta gives Lalitā the most elaborate directional complex around the kuṇḍa. The sources do not explicitly say, “her grove is largest because she is superintendent,” but the convergence is hard to miss.</w:t>
      </w:r>
    </w:p>
    <w:p>
      <w:r>
        <w:t>Viśākhā’s genius is different. Rūpa presents her as one who understands the inner intention behind what is happening and is expert in intelligent messenger service. She knows how to use persuasion, gifts, division and other means when a rendezvous needs to be nourished. Her skills include body decoration, poetry with layered meanings, Sūrya-pūjā materials, songs in different languages and the supervision of garments and flowers. In Govinda-līlāmṛta, when Rādhā first sees a figure along the approach to the kuṇḍa and needs to know whether it is truly Kṛṣṇa, She turns to Viśākhā. The role is almost emblematic: Viśākhā reads the situation.</w:t>
      </w:r>
    </w:p>
    <w:p>
      <w:r>
        <w:t>Campakalatā turns intelligence toward resources. She is a messenger strategist, but also an expert in gathering fruits, flowers and edible roots, judging the six tastes, cooking and making sweets. Rūpa even preserves the epithet Miṣṭa-hastā—“sweet hands.” At Rādhā-kuṇḍa this profile meets geography directly: Campakalatā’s southern golden sector in Govinda-līlāmṛta contains a kuñja kitchen and a private meal arrangement. Here the relationship between person, service and place is not something we need to invent.</w:t>
      </w:r>
    </w:p>
    <w:p>
      <w:r>
        <w:t>Citrā is especially skilled in movement and coded communication. She knows writing, gestures and signs, languages, astrology, the recognition of foods and drinks, and the preparation of sherbets. Her eastern Citrānandada grove may therefore be annotated by these capacities, but we should not create a specific drink scene there unless the text gives one. Tuṅgavidyā brings another world: the eighteen branches of knowledge, rasa-śāstra, drama, rāga and rāgiṇī, vīṇā, music and dance, together with expertise in arranging meetings. Her western sector belongs to a person for whom performance and learning are forms of service.</w:t>
      </w:r>
    </w:p>
    <w:p>
      <w:r>
        <w:t>Indulekhā combines ornaments, auspicious diagrams, gem knowledge and confidential communication. She supervises secret messengers and attendants responsible for enchanting places, dress and treasury resources. Her south-eastern Pūrṇendu-kuñja is a white, moonlike environment famous for concealment. The resonance is beautiful, but we should state it carefully: Rūpa gives the service profile; Kṛṣṇadāsa gives the grove. The claim that her confidential function “explains” the grove’s concealment remains interpretation.</w:t>
      </w:r>
    </w:p>
    <w:p>
      <w:r>
        <w:t>Raṅgadevī and Sudevī complete the senior ring. Raṅgadevī is bold in gesture and joking, skilled in fragrance, incense, warming service in winter, fanning in heat and the care of forest animals. Sudevī stays physically close to Rādhā: arranging Her hair, applying añjana and massaging Her limbs. She also has skills in omens, disguises, animal language, seating, reconnaissance and intelligence concerning the opposing party. Her Rādhā-kuṇḍa correspondence is one of the strongest in the corpus: her north-western Harit-kuñja is a dice-play place; Govinda-līlāmṛta later takes the Couple to Sudevī-sukhada for dice; and Kṛṣṇa-bhāvanāmṛta has Sudevī bring the dice apparatus. Her service profile and her grove repeatedly meet.</w:t>
      </w:r>
    </w:p>
    <w:p>
      <w:r>
        <w:t>Yet the aṣṭa-sakhīs are not eight isolated heroines. Rūpa states that each principal companion leads a further group. Beneath the eight senior authorities are subordinate sakhīs, messengers, cooks, musicians, dancers, vegetation specialists, forest attendants, water gatherers and many other service groups. The Rādhā-kuṇḍa mandala is therefore better imagined as a living network than as eight colored wedges around a pond.</w:t>
      </w:r>
    </w:p>
    <w:p>
      <w:r>
        <w:t>Inside that network lies an even more intimate circle. Here category becomes especially important. Anaṅga Mañjarī, whom we met in the central water-lotus dwelling, is not simply one name in Rūpa’s later list of Rādhā’s mañjarīs. Rūpa classifies her among the vara-sakhīs and separately identifies her as Rādhā’s younger sister. Rūpa Mañjarī, Rati Mañjarī and many others appear under an explicit mañjarī heading. The shared word mañjarī in a name does not erase the distinction.</w:t>
      </w:r>
    </w:p>
    <w:p>
      <w:r>
        <w:t>The mañjarī world is defined less by administrative range than by extraordinary proximity and sensitivity to the exact need of the moment. The commentary to Govinda-līlāmṛta 1.3 describes Lalitā, Viśākhā, Rūpa Mañjarī, Rati Mañjarī and their followers serving every day, at every moment, in precisely the way appropriate to the time. Kṛṣṇadāsa then gives concrete scenes. Rati Mañjarī retrieves Rādhā’s fallen earring and replaces it. Rūpa Mañjarī quietly recovers Her bodice from the edge of the bed. On the return route they watch the surroundings and keep others away. At Rādhā-kuṇḍa Rūpa Mañjarī joins meal service and later attends the resting Couple. Elsewhere Rūpa and Rati massage the feet of Rādhā and Kṛṣṇa while other companions fan Them.</w:t>
      </w:r>
    </w:p>
    <w:p>
      <w:r>
        <w:t>Raghunātha dāsa Gosvāmī gives the devotional interior of this service. When he beholds Rādhā’s lake filled with sweet water, lotuses and humming bees, he says that longing for the rasa of Her dāsya arises in him at once. In the next verse he asks for nothing except service to Rādhā’s lotus feet and bows repeatedly even to the position of equal friendship. Rādhā-kuṇḍa is therefore not merely where these intimate attendants happen to serve. For Raghunātha it becomes the geography of longing to enter that service.</w:t>
      </w:r>
    </w:p>
    <w:p>
      <w:r>
        <w:t>Tulasī shows how quickly the intimate and logistical worlds can overlap. In Govinda-līlāmṛta 5.78 Lalitā sends Tulasī and Kastūrī to Kṛṣṇa with garland and betel while Vṛndā learns the appointed grove through Subala. Later Tulasī offers tāmbūla, attends the feet, fans, distributes Kṛṣṇa’s chewed tāmbūla and shares the remaining food with Rūpa Mañjarī, Vṛndā and other service companions. Her operational intimacy is secure. What remains uncertain is identity: the project has not yet fully traced the later equation Tulasī Mañjarī = Rati Mañjarī = Bhānumatī, so we do not silently replace every Tulasī in Kṛṣṇadāsa with Rati Mañjarī.</w:t>
      </w:r>
    </w:p>
    <w:p>
      <w:r>
        <w:t>A second network makes the whole system move: the dūtikās and organizers. Rūpa names Paurṇamāsī, Vṛndā, Nandīmukhī and others in this messenger-orchestration circle. Their work is investigation, arrangement, bringing the Couple together and preparing kuñjas. Vṛndā is called foremost among them. Raghunātha describes her decorating ever-new groves with fragrant flowers and arranging festivals there for Rādhā and Kṛṣṇa with Their companions. In the daily-līlā texts she swings the Couple, coordinates meeting-place intelligence, serves refreshments after water-play and acts as a witness in dice. The modern phrase “on-site organizer” is ours, but it captures a pattern the texts repeatedly show.</w:t>
      </w:r>
    </w:p>
    <w:p>
      <w:r>
        <w:t>Paurṇamāsī operates at a higher strategic level. Rūpa describes her as highly learned, expert in arrangements and one who causes the meeting of Rādhā and Kṛṣṇa. Raghunātha shows her advancing the daily festivals of māna and abhisāra through expert sakhīs. Kundalatā moves through a different social doorway: under Yaśodā’s order she brings Rādhā for cooking and feeds Her along the road with news of Kṛṣṇa; elsewhere she organizes joking and conducts the dice assembly. Nandīmukhī is a mediator and reconciler, related by family to Madhumaṅgala and Paurṇamāsī, and repeatedly appears as a credible witness or cross-party facilitator. These functions overlap, but they do not collapse into one office.</w:t>
      </w:r>
    </w:p>
    <w:p>
      <w:r>
        <w:t>The male side has its own confidential intelligence. Rūpa places Subala, Arjuna, Gandharva, Vasanta, Ujjvala, Kokila, Sanandana, Vidagdha and others among Kṛṣṇa’s priya-narma-sakhās and says that no confidential matter lies outside their knowledge. They still belong fully to the visible cowherd world—gathering cows, playing, wrestling and joking with Kṛṣṇa—but some of them also move effortlessly inside Rādhā-centered confidential affairs.</w:t>
      </w:r>
    </w:p>
    <w:p>
      <w:r>
        <w:t>Subala is the clearest example. Rūpa explicitly calls him expert in bringing Rādhā and Kṛṣṇa together. Govinda-līlāmṛta lets information about the appointed grove pass through him to Vṛndā. At the end of midday he and Madhumaṅgala accompany Kṛṣṇa back toward the larger cowherd group. Madhumaṅgala’s genius is comic and social. Raghunātha calls him the narma-saciva, the confidential or jesting minister of Kṛṣṇa. In the midday route he helps create the credible Garga/Sūrya errand that allows Kṛṣṇa to separate from the other cowherds, and during dice he advises Kṛṣṇa while Lalitā advises Rādhā. Humor itself becomes infrastructure.</w:t>
      </w:r>
    </w:p>
    <w:p>
      <w:r>
        <w:t>Around Ariṣṭa-kuṇḍa, Kṛṣṇadāsa even gives the priya-narma-sakhās their own kuñja system. Their groves bear their names and are divided and entrusted or offered to Rādhā, Lalitā and the other sakhīs. The action is explicit; its full rationale is not. We therefore resist the attractive but unproven sentence that the sakhās “gave their groves because their only purpose was to serve Rādhā.” The text may lead toward such a theology, but the checked evidence has not yet stated the motive for us.</w:t>
      </w:r>
    </w:p>
    <w:p>
      <w:r>
        <w:t>None of this confidential service would have the same shape without the public household world. Mukharā, Jatilā, Kuṭilā and Abhimanyu are not simply villains stationed outside the līlā. Mukharā can appear to oppose the young Couple and yet, as Raghunātha says, increase Their happiness through that very manner. Jatilā represents household concern, suspicion and social order. Kuṭilā searches for faults and repeatedly accuses. Abhimanyu appears in Govinda-līlāmṛta as a fault-searching domestic danger—but Rūpa’s exact term requires care: pati-manya, one who considers or fancies himself the husband. We should preserve the Sanskrit rather than flatten it into the unqualified phrase “Rādhā’s husband.”</w:t>
      </w:r>
    </w:p>
    <w:p>
      <w:r>
        <w:t>The Sūrya-pūjā arrangement shows how this public-social world can become part of the līlā mechanism without knowing it. Jatilā wants Rādhā to perform Sun worship for the welfare and prosperity of her son, and Paurṇamāsī is connected with the arrangement. The duty gives Rādhā a respectable reason to leave the house. Near the close of midday, Jatilā even tells the disguised brāhmaṇa Kṛṣṇa that she will appoint him for Rādhā’s Sun worship and pay him generously. She believes she is protecting household respectability while unknowingly helping close the very confidential circuit she fears.</w:t>
      </w:r>
    </w:p>
    <w:p>
      <w:r>
        <w:t>Seen together, the people of Rādhā-kuṇḍa form neither a court hierarchy nor a modern organization chart. The categories overlap, friendship exceeds office, and love constantly outruns classification. Still, the distinctions matter. Lalitā and the senior sakhīs decide, protect and coordinate. Vṛndā and the dūtikās prepare and connect. Rūpa, Rati, Tulasī and the intimate attendants execute service at the level of body, route, meal, rest and secret chamber. Subala, Madhumaṅgala and the priya-narma friends open the Kṛṣṇa-side path from cowherding into confidential līlā. Jatilā, Kuṭilā and the household world create the social pressure that makes timing, secrecy and intelligence necessary.</w:t>
      </w:r>
    </w:p>
    <w:p>
      <w:r>
        <w:t>This is why the Rādhā-kuṇḍa landscape cannot finally be understood by placing names on a map. The groves are alive because someone prepares them; the routes matter because someone makes them possible; the games become līlā because companions witness, advise, tease and serve; the return to ordinary life succeeds because someone has preserved the outward explanation. The geography of Rādhā-kuṇḍa is a geography of relationships.</w:t>
      </w:r>
    </w:p>
    <w:p>
      <w:r>
        <w:t>Part II has now shown the eternal kuṇḍa in three dimensions: place, movement and people. The story must next change register. The jeweled groves and confidential routes do not disappear, but the historical narrative will suddenly confront a very different visible scene: an inhabited village called Āriṭ-grāma, two paddy fields, a little water, and a sacred identity that no one present can point out. The question becomes not how the eternal place functions, but how it could become hidden from public recognition.</w:t>
      </w:r>
    </w:p>
    <w:p/>
    <w:p>
      <w:pPr>
        <w:pStyle w:val="Kicker"/>
      </w:pPr>
      <w:r>
        <w:t>INTERNAL CONTROL APPARATUS • REMOVE OR CONVERT TO NOTES IN FINAL COMPILATION</w:t>
      </w:r>
    </w:p>
    <w:p>
      <w:pPr>
        <w:pStyle w:val="Heading1"/>
      </w:pPr>
      <w:r>
        <w:t>Sources actually used</w:t>
      </w:r>
    </w:p>
    <w:p>
      <w:r>
        <w:t>• RK-03 — People of the Rādhā-kuṇḍa Landscape Research Ledger v0.3. This is the controlling social/service synthesis and preserves explicit/interpretive distinctions, category boundaries, identity cautions, and the complete public/private network.</w:t>
      </w:r>
    </w:p>
    <w:p>
      <w:r>
        <w:t>• Rūpa Gosvāmī, Rādhā-Kṛṣṇa-gaṇoddeśa-dīpikā: Bṛhad-bhāga 76–204, 236, 242–249; Laghu-bhāga 41–65 and 174. Exact Sanskrit used here follows the verified RK-03 transcriptions and project edition.</w:t>
      </w:r>
    </w:p>
    <w:p>
      <w:r>
        <w:t>• Kṛṣṇadāsa Kavirāja, Govinda-līlāmṛta, especially 1.77, 1.85–87, 1.113–114, 2.52, 5.78, 7.27–117, 15.136–146, 18.25, 18.91–96, 23.89–91, for concrete Rādhā-kuṇḍa and service actions.</w:t>
      </w:r>
    </w:p>
    <w:p>
      <w:r>
        <w:t>• Raghunātha dāsa Gosvāmī, Vraja-vilāsa-stava 22–25, 28, 31–34 and Vilāpa-kusumāñjali 15–16, 69, 72, 91, 97–98, for devotional characterization, orchestration and Rādhā-dāsya at the kuṇḍa.</w:t>
      </w:r>
    </w:p>
    <w:p>
      <w:r>
        <w:t>• Viśvanātha Cakravartī, Kṛṣṇa-bhāvanāmṛta, especially the already verified route, water-play and dice scenes used in RK-02/RK-03 for Sudevī, Vṛndā, Nandīmukhī, Kundalatā and Madhumaṅgala.</w:t>
      </w:r>
    </w:p>
    <w:p>
      <w:r>
        <w:t>• RKST-00 Writing Blueprint v1.0, Section 7, for target length, functional rather than catalog organization, quotation anchors, and the pati-manya / category-discipline rules.</w:t>
      </w:r>
    </w:p>
    <w:p>
      <w:pPr>
        <w:pStyle w:val="Heading2"/>
      </w:pPr>
      <w:r>
        <w:t>Quotation ledger</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val="1"/>
        </w:trPr>
        <w:tc>
          <w:tcPr>
            <w:tcW w:type="dxa" w:w="2498"/>
            <w:shd w:fill="7B2638"/>
          </w:tcPr>
          <w:p>
            <w:r>
              <w:rPr>
                <w:b/>
                <w:color w:val="FFFFFF"/>
              </w:rPr>
              <w:t>Locus</w:t>
            </w:r>
          </w:p>
        </w:tc>
        <w:tc>
          <w:tcPr>
            <w:tcW w:type="dxa" w:w="2498"/>
            <w:shd w:fill="7B2638"/>
          </w:tcPr>
          <w:p>
            <w:r>
              <w:rPr>
                <w:b/>
                <w:color w:val="FFFFFF"/>
              </w:rPr>
              <w:t>Text retained</w:t>
            </w:r>
          </w:p>
        </w:tc>
        <w:tc>
          <w:tcPr>
            <w:tcW w:type="dxa" w:w="2498"/>
            <w:shd w:fill="7B2638"/>
          </w:tcPr>
          <w:p>
            <w:r>
              <w:rPr>
                <w:b/>
                <w:color w:val="FFFFFF"/>
              </w:rPr>
              <w:t>Witness status</w:t>
            </w:r>
          </w:p>
        </w:tc>
        <w:tc>
          <w:tcPr>
            <w:tcW w:type="dxa" w:w="2498"/>
            <w:shd w:fill="7B2638"/>
          </w:tcPr>
          <w:p>
            <w:r>
              <w:rPr>
                <w:b/>
                <w:color w:val="FFFFFF"/>
              </w:rPr>
              <w:t>Final-use status</w:t>
            </w:r>
          </w:p>
        </w:tc>
      </w:tr>
      <w:tr>
        <w:trPr>
          <w:cantSplit w:val="1"/>
        </w:trPr>
        <w:tc>
          <w:tcPr>
            <w:tcW w:type="dxa" w:w="2498"/>
            <w:vAlign w:val="top"/>
          </w:tcPr>
          <w:p>
            <w:r>
              <w:t>GD 79</w:t>
            </w:r>
          </w:p>
        </w:tc>
        <w:tc>
          <w:tcPr>
            <w:tcW w:type="dxa" w:w="2498"/>
            <w:vAlign w:val="top"/>
          </w:tcPr>
          <w:p>
            <w:r>
              <w:t>lalitā ca viśākhā ca … sudevikā</w:t>
            </w:r>
          </w:p>
        </w:tc>
        <w:tc>
          <w:tcPr>
            <w:tcW w:type="dxa" w:w="2498"/>
            <w:vAlign w:val="top"/>
          </w:tcPr>
          <w:p>
            <w:r>
              <w:t>Verified in RK-03 / project edition</w:t>
            </w:r>
          </w:p>
        </w:tc>
        <w:tc>
          <w:tcPr>
            <w:tcW w:type="dxa" w:w="2498"/>
            <w:vAlign w:val="top"/>
          </w:tcPr>
          <w:p>
            <w:r>
              <w:t>KEEP briefly — names and hierarchy</w:t>
            </w:r>
          </w:p>
        </w:tc>
      </w:tr>
      <w:tr>
        <w:trPr>
          <w:cantSplit w:val="1"/>
        </w:trPr>
        <w:tc>
          <w:tcPr>
            <w:tcW w:type="dxa" w:w="2498"/>
            <w:vAlign w:val="top"/>
          </w:tcPr>
          <w:p>
            <w:r>
              <w:t>GD 123–127</w:t>
            </w:r>
          </w:p>
        </w:tc>
        <w:tc>
          <w:tcPr>
            <w:tcW w:type="dxa" w:w="2498"/>
            <w:vAlign w:val="top"/>
          </w:tcPr>
          <w:p>
            <w:r>
              <w:t>veśaḥ … abhisāre sahāyatvam … sarvā evākhilaṁ karma</w:t>
            </w:r>
          </w:p>
        </w:tc>
        <w:tc>
          <w:tcPr>
            <w:tcW w:type="dxa" w:w="2498"/>
            <w:vAlign w:val="top"/>
          </w:tcPr>
          <w:p>
            <w:r>
              <w:t>Verified in RK-03 / project edition</w:t>
            </w:r>
          </w:p>
        </w:tc>
        <w:tc>
          <w:tcPr>
            <w:tcW w:type="dxa" w:w="2498"/>
            <w:vAlign w:val="top"/>
          </w:tcPr>
          <w:p>
            <w:r>
              <w:t>KEEP selected lines — service charter</w:t>
            </w:r>
          </w:p>
        </w:tc>
      </w:tr>
      <w:tr>
        <w:trPr>
          <w:cantSplit w:val="1"/>
        </w:trPr>
        <w:tc>
          <w:tcPr>
            <w:tcW w:type="dxa" w:w="2498"/>
            <w:vAlign w:val="top"/>
          </w:tcPr>
          <w:p>
            <w:r>
              <w:t>GD 129</w:t>
            </w:r>
          </w:p>
        </w:tc>
        <w:tc>
          <w:tcPr>
            <w:tcW w:type="dxa" w:w="2498"/>
            <w:vAlign w:val="top"/>
          </w:tcPr>
          <w:p>
            <w:r>
              <w:t>sarvatra lalitā-devī paramādhyakṣatāṁ gatā</w:t>
            </w:r>
          </w:p>
        </w:tc>
        <w:tc>
          <w:tcPr>
            <w:tcW w:type="dxa" w:w="2498"/>
            <w:vAlign w:val="top"/>
          </w:tcPr>
          <w:p>
            <w:r>
              <w:t>Verified</w:t>
            </w:r>
          </w:p>
        </w:tc>
        <w:tc>
          <w:tcPr>
            <w:tcW w:type="dxa" w:w="2498"/>
            <w:vAlign w:val="top"/>
          </w:tcPr>
          <w:p>
            <w:r>
              <w:t>KEEP — Lalitā anchor</w:t>
            </w:r>
          </w:p>
        </w:tc>
      </w:tr>
      <w:tr>
        <w:trPr>
          <w:cantSplit w:val="1"/>
        </w:trPr>
        <w:tc>
          <w:tcPr>
            <w:tcW w:type="dxa" w:w="2498"/>
            <w:vAlign w:val="top"/>
          </w:tcPr>
          <w:p>
            <w:r>
              <w:t>GD 87–88</w:t>
            </w:r>
          </w:p>
        </w:tc>
        <w:tc>
          <w:tcPr>
            <w:tcW w:type="dxa" w:w="2498"/>
            <w:vAlign w:val="top"/>
          </w:tcPr>
          <w:p>
            <w:r>
              <w:t>dūtikā list; vṛndā tāsu varīyasī</w:t>
            </w:r>
          </w:p>
        </w:tc>
        <w:tc>
          <w:tcPr>
            <w:tcW w:type="dxa" w:w="2498"/>
            <w:vAlign w:val="top"/>
          </w:tcPr>
          <w:p>
            <w:r>
              <w:t>Verified</w:t>
            </w:r>
          </w:p>
        </w:tc>
        <w:tc>
          <w:tcPr>
            <w:tcW w:type="dxa" w:w="2498"/>
            <w:vAlign w:val="top"/>
          </w:tcPr>
          <w:p>
            <w:r>
              <w:t>KEEP selectively — orchestration network</w:t>
            </w:r>
          </w:p>
        </w:tc>
      </w:tr>
      <w:tr>
        <w:trPr>
          <w:cantSplit w:val="1"/>
        </w:trPr>
        <w:tc>
          <w:tcPr>
            <w:tcW w:type="dxa" w:w="2498"/>
            <w:vAlign w:val="top"/>
          </w:tcPr>
          <w:p>
            <w:r>
              <w:t>GD Laghu 41–42</w:t>
            </w:r>
          </w:p>
        </w:tc>
        <w:tc>
          <w:tcPr>
            <w:tcW w:type="dxa" w:w="2498"/>
            <w:vAlign w:val="top"/>
          </w:tcPr>
          <w:p>
            <w:r>
              <w:t>priya-narma-sakhā list / tad-rahasyaṁ…</w:t>
            </w:r>
          </w:p>
        </w:tc>
        <w:tc>
          <w:tcPr>
            <w:tcW w:type="dxa" w:w="2498"/>
            <w:vAlign w:val="top"/>
          </w:tcPr>
          <w:p>
            <w:r>
              <w:t>Verified</w:t>
            </w:r>
          </w:p>
        </w:tc>
        <w:tc>
          <w:tcPr>
            <w:tcW w:type="dxa" w:w="2498"/>
            <w:vAlign w:val="top"/>
          </w:tcPr>
          <w:p>
            <w:r>
              <w:t>KEEP selectively — confidential male network</w:t>
            </w:r>
          </w:p>
        </w:tc>
      </w:tr>
      <w:tr>
        <w:trPr>
          <w:cantSplit w:val="1"/>
        </w:trPr>
        <w:tc>
          <w:tcPr>
            <w:tcW w:type="dxa" w:w="2498"/>
            <w:vAlign w:val="top"/>
          </w:tcPr>
          <w:p>
            <w:r>
              <w:t>GD Laghu 174</w:t>
            </w:r>
          </w:p>
        </w:tc>
        <w:tc>
          <w:tcPr>
            <w:tcW w:type="dxa" w:w="2498"/>
            <w:vAlign w:val="top"/>
          </w:tcPr>
          <w:p>
            <w:r>
              <w:t>pati-manyo ’bhimanyukaḥ</w:t>
            </w:r>
          </w:p>
        </w:tc>
        <w:tc>
          <w:tcPr>
            <w:tcW w:type="dxa" w:w="2498"/>
            <w:vAlign w:val="top"/>
          </w:tcPr>
          <w:p>
            <w:r>
              <w:t>Verified</w:t>
            </w:r>
          </w:p>
        </w:tc>
        <w:tc>
          <w:tcPr>
            <w:tcW w:type="dxa" w:w="2498"/>
            <w:vAlign w:val="top"/>
          </w:tcPr>
          <w:p>
            <w:r>
              <w:t>KEEP in note/prose — philological safeguard</w:t>
            </w:r>
          </w:p>
        </w:tc>
      </w:tr>
      <w:tr>
        <w:trPr>
          <w:cantSplit w:val="1"/>
        </w:trPr>
        <w:tc>
          <w:tcPr>
            <w:tcW w:type="dxa" w:w="2498"/>
            <w:vAlign w:val="top"/>
          </w:tcPr>
          <w:p>
            <w:r>
              <w:t>VVS 31–32</w:t>
            </w:r>
          </w:p>
        </w:tc>
        <w:tc>
          <w:tcPr>
            <w:tcW w:type="dxa" w:w="2498"/>
            <w:vAlign w:val="top"/>
          </w:tcPr>
          <w:p>
            <w:r>
              <w:t>Vṛndā kuñja preparation; Kundalatā public-duty bridge</w:t>
            </w:r>
          </w:p>
        </w:tc>
        <w:tc>
          <w:tcPr>
            <w:tcW w:type="dxa" w:w="2498"/>
            <w:vAlign w:val="top"/>
          </w:tcPr>
          <w:p>
            <w:r>
              <w:t>Verified in RK-03</w:t>
            </w:r>
          </w:p>
        </w:tc>
        <w:tc>
          <w:tcPr>
            <w:tcW w:type="dxa" w:w="2498"/>
            <w:vAlign w:val="top"/>
          </w:tcPr>
          <w:p>
            <w:r>
              <w:t>PARAPHRASE</w:t>
            </w:r>
          </w:p>
        </w:tc>
      </w:tr>
      <w:tr>
        <w:trPr>
          <w:cantSplit w:val="1"/>
        </w:trPr>
        <w:tc>
          <w:tcPr>
            <w:tcW w:type="dxa" w:w="2498"/>
            <w:vAlign w:val="top"/>
          </w:tcPr>
          <w:p>
            <w:r>
              <w:t>VK 15–16</w:t>
            </w:r>
          </w:p>
        </w:tc>
        <w:tc>
          <w:tcPr>
            <w:tcW w:type="dxa" w:w="2498"/>
            <w:vAlign w:val="top"/>
          </w:tcPr>
          <w:p>
            <w:r>
              <w:t>Rādhā-kuṇḍa and longing for dāsya</w:t>
            </w:r>
          </w:p>
        </w:tc>
        <w:tc>
          <w:tcPr>
            <w:tcW w:type="dxa" w:w="2498"/>
            <w:vAlign w:val="top"/>
          </w:tcPr>
          <w:p>
            <w:r>
              <w:t>Verified in RK-03 / Stavāvalī control</w:t>
            </w:r>
          </w:p>
        </w:tc>
        <w:tc>
          <w:tcPr>
            <w:tcW w:type="dxa" w:w="2498"/>
            <w:vAlign w:val="top"/>
          </w:tcPr>
          <w:p>
            <w:r>
              <w:t>PARAPHRASE here; reserve major quotation burden for conclusion</w:t>
            </w:r>
          </w:p>
        </w:tc>
      </w:tr>
    </w:tbl>
    <w:p>
      <w:pPr>
        <w:pStyle w:val="Heading2"/>
      </w:pPr>
      <w:r>
        <w:t>Claims deliberately omitted or qualified</w:t>
      </w:r>
    </w:p>
    <w:p>
      <w:r>
        <w:t>• No service specialization is said to “cause” a particular directional grove unless a text explicitly links person, action and place; cross-text resonances are labeled as such.</w:t>
      </w:r>
    </w:p>
    <w:p>
      <w:r>
        <w:t>• Anaṅga Mañjarī is not folded into the explicit GD mañjarī list; she remains a vara-sakhī, Rādhā’s younger sister, and the central water-lotus associate.</w:t>
      </w:r>
    </w:p>
    <w:p>
      <w:r>
        <w:t>• Tulasī’s operational identity in Govinda-līlāmṛta is secure, but Tulasī Mañjarī = Rati Mañjarī = Bhānumatī remains unresolved and is not silently harmonized.</w:t>
      </w:r>
    </w:p>
    <w:p>
      <w:r>
        <w:t>• The priya-narma-sakhā lists vary; the prose does not manufacture an immutable “male eight.”</w:t>
      </w:r>
    </w:p>
    <w:p>
      <w:r>
        <w:t>• The motive behind GL 7.113, where sakhā-built kuñjas are divided and offered/entrusted to Rādhā, Lalitā and others, remains unresolved.</w:t>
      </w:r>
    </w:p>
    <w:p>
      <w:r>
        <w:t>• Paurṇamāsī as “senior strategy” and Vṛndā as “on-site organizer” are project syntheses of explicit functions, not formal office titles supplied by a source.</w:t>
      </w:r>
    </w:p>
    <w:p>
      <w:r>
        <w:t>• Abhimanyu is introduced with Rūpa’s pati-manya wording rather than an unqualified “Rādhā’s husband.”</w:t>
      </w:r>
    </w:p>
    <w:p>
      <w:r>
        <w:t>• Bhakti-ratnākara’s later Yogamāyā/Yāvaṭa explanation is not imported into Rūpa’s wording in this section.</w:t>
      </w:r>
    </w:p>
    <w:p>
      <w:pPr>
        <w:pStyle w:val="Heading2"/>
      </w:pPr>
      <w:r>
        <w:t>Open items carried forward</w:t>
      </w:r>
    </w:p>
    <w:p>
      <w:r>
        <w:t>• Trace the full textual genealogy of the Tulasī Mañjarī = Rati Mañjarī = Bhānumatī identification.</w:t>
      </w:r>
    </w:p>
    <w:p>
      <w:r>
        <w:t>• Resolve the exact force of GL 7.111 sva-kāntāgrahato ’tisaṁskṛtaiḥ and the motive of the sakhā-kuñja assignments in GL 7.113.</w:t>
      </w:r>
    </w:p>
    <w:p>
      <w:r>
        <w:t>• Check the proper-name variant in GL 7.116 after Madhumaṅgala before any final anthology normalizes it.</w:t>
      </w:r>
    </w:p>
    <w:p>
      <w:r>
        <w:t>• Keep the A-level NW Subala/Mānasa-pāvana location separate from the B-level Bhakti-ratnākara “north of Śyāma-kuṇḍa” localization.</w:t>
      </w:r>
    </w:p>
    <w:p>
      <w:r>
        <w:t>• Do not identify any nitya-līlā kuñja or service station with a present shrine or modern property without independent B/C/D evidence.</w:t>
      </w:r>
    </w:p>
    <w:p>
      <w:pPr>
        <w:pStyle w:val="Heading2"/>
      </w:pPr>
      <w:r>
        <w:t>Cross-references</w:t>
      </w:r>
    </w:p>
    <w:p>
      <w:r>
        <w:t>• RKST-05 — the eight-direction map becomes a social/service network here.</w:t>
      </w:r>
    </w:p>
    <w:p>
      <w:r>
        <w:t>• RKST-06 — every route stage named there is now supplied with the people who make it possible; avoid repeating the full itinerary in later compilation.</w:t>
      </w:r>
    </w:p>
    <w:p>
      <w:r>
        <w:t>• RKST-08 — the historical register begins with loss of public recognition; do not carry the eternal jeweled/social map into that scene as physical description.</w:t>
      </w:r>
    </w:p>
    <w:p>
      <w:r>
        <w:t>• RKST-10 and RKST-11 — Raghunātha’s Rādhā-dāsya and the later Gauḍīya resident community will echo the service theology developed here.</w:t>
      </w:r>
    </w:p>
    <w:tbl>
      <w:tblPr>
        <w:tblW w:type="auto" w:w="0"/>
        <w:jc w:val="center"/>
        <w:tblLook w:firstColumn="1" w:firstRow="1" w:lastColumn="0" w:lastRow="0" w:noHBand="0" w:noVBand="1" w:val="04A0"/>
      </w:tblPr>
      <w:tblGrid>
        <w:gridCol w:w="9994"/>
      </w:tblGrid>
      <w:tr>
        <w:trPr>
          <w:cantSplit w:val="1"/>
        </w:trPr>
        <w:tc>
          <w:tcPr>
            <w:tcW w:type="dxa" w:w="9994"/>
            <w:shd w:fill="F3EBDD"/>
          </w:tcPr>
          <w:p>
            <w:r>
              <w:rPr>
                <w:b/>
                <w:color w:val="7B2638"/>
              </w:rPr>
              <w:t xml:space="preserve">CHECKPOINT B QUESTION  </w:t>
            </w:r>
            <w:r>
              <w:t>After Sections 5–7, can the reader now picture Rādhā-kuṇḍa as a living nitya-līlā environment in which geography, movement and people interlock without being repeated or collapsed into a modern map?</w:t>
            </w:r>
          </w:p>
        </w:tc>
      </w:tr>
    </w:tbl>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RKST-07 • Draft v0.1 • 22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jc w:val="center"/>
    </w:pPr>
    <w:r>
      <w:t>GOVARDHANA PILGRIMAGE  •  RĀDHĀ-KUṆḌA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D3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val="0"/>
      <w:color w:val="7B26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Aptos" w:hAnsi="Aptos"/>
      <w:b/>
      <w:color w:val="A9853E"/>
      <w:sz w:val="17"/>
    </w:rPr>
  </w:style>
  <w:style w:type="paragraph" w:customStyle="1" w:styleId="SourceSanskrit">
    <w:name w:val="Source Sanskrit"/>
    <w:pPr>
      <w:spacing w:after="80"/>
      <w:ind w:left="403" w:right="259"/>
    </w:pPr>
    <w:rPr>
      <w:rFonts w:ascii="Aptos" w:hAnsi="Aptos"/>
      <w:i/>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RKST-07 — The People Who Make the Landscape Live — Draft v0.1</dc:title>
  <dc:subject>Govardhana Pilgrimage — Rādhā-kuṇḍa Story</dc:subject>
  <dc:creator>Govardhana Pilgrimage project</dc:creator>
  <cp:keywords>Radhakunda, Radha-kunda, Govardhana, Upadesamrita, Mathura-mahatmya, Rupa Gosvami, Raghunatha dasa Gosvami</cp:keywords>
  <dc:description>generated by python-docx</dc:description>
  <cp:lastModifiedBy/>
  <cp:revision>1</cp:revision>
  <dcterms:created xsi:type="dcterms:W3CDTF">2013-12-23T23:15:00Z</dcterms:created>
  <dcterms:modified xsi:type="dcterms:W3CDTF">2013-12-23T23:15:00Z</dcterms:modified>
  <cp:category/>
</cp:coreProperties>
</file>