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RKST-08</w:t>
      </w:r>
    </w:p>
    <w:p>
      <w:pPr>
        <w:jc w:val="center"/>
      </w:pPr>
      <w:r>
        <w:rPr>
          <w:b/>
          <w:color w:val="7B2638"/>
          <w:sz w:val="44"/>
        </w:rPr>
        <w:t>When the Sacred Waters Became Hidden</w:t>
      </w:r>
    </w:p>
    <w:p>
      <w:pPr>
        <w:jc w:val="center"/>
      </w:pPr>
      <w:r>
        <w:rPr>
          <w:i/>
          <w:sz w:val="23"/>
        </w:rPr>
        <w:t>The historical hinge from eternal līlā geography to Āriṭ-grāma</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DRAFT STATUS  </w:t>
            </w:r>
            <w:r>
              <w:t>Working literary draft v0.1. This short section intentionally preserves the historical gap. It describes the visible condition presupposed by Caitanya-caritāmṛta Madhya 18.3–5 without inventing how, when, or why the kuṇḍas became obscured from public recognition.</w:t>
            </w:r>
          </w:p>
        </w:tc>
      </w:tr>
    </w:tbl>
    <w:p>
      <w:pPr>
        <w:jc w:val="center"/>
      </w:pPr>
      <w:r>
        <w:rPr>
          <w:color w:val="5A5A5A"/>
          <w:sz w:val="19"/>
        </w:rPr>
        <w:t>Primary control: Caitanya-caritāmṛta Madhya 18.3–5 through RS-03 and RK-04.</w:t>
      </w:r>
    </w:p>
    <w:p>
      <w:r>
        <w:br w:type="page"/>
      </w:r>
    </w:p>
    <w:p>
      <w:pPr>
        <w:pStyle w:val="Kicker"/>
      </w:pPr>
      <w:r>
        <w:t>SOURCE CARD • THE HISTORICAL GAP IS PART OF THE EVIDENCE</w:t>
      </w:r>
    </w:p>
    <w:p>
      <w:pPr>
        <w:pStyle w:val="Heading1"/>
      </w:pPr>
      <w:r>
        <w:t>Āriṭ-grāma and the obscured tīrtha</w:t>
      </w:r>
    </w:p>
    <w:p>
      <w:r>
        <w:t>The Writing Blueprint requires this section to function as a hinge, not as a reconstruction of undocumented centuries. Caitanya-caritāmṛta supplies three facts that control the scene: Mahāprabhu arrives at an inhabited village called Āriṭ; no one present can identify Rādhā-kuṇḍa for Him; and the omniscient Lord knows the tīrtha as lupta and bathes in the little water of two paddy fields. The text does not narrate the process by which this condition arose.</w:t>
      </w:r>
    </w:p>
    <w:p>
      <w:r>
        <w:rPr>
          <w:b/>
          <w:color w:val="7B2638"/>
        </w:rPr>
        <w:t>Caitanya-caritāmṛta, Madhya 18.3</w:t>
      </w:r>
    </w:p>
    <w:p>
      <w:pPr>
        <w:pStyle w:val="SourceSanskrit"/>
      </w:pPr>
      <w:r>
        <w:t>ei-mata mahāprabhu nācite nācite | ‘āriṭ’-grāme āsi’ ‘bāhya’ haila ācambite ||3||</w:t>
      </w:r>
    </w:p>
    <w:p>
      <w:r>
        <w:t>Thus Mahāprabhu came dancing and dancing; upon arriving at Āriṭ-grāma He suddenly returned to outward awareness.</w:t>
      </w:r>
    </w:p>
    <w:p>
      <w:r>
        <w:rPr>
          <w:b/>
          <w:color w:val="7B2638"/>
        </w:rPr>
        <w:t xml:space="preserve">Research use — </w:t>
      </w:r>
      <w:r>
        <w:t>The village is already there and named. The narrative enters the Rādhā-kuṇḍa episode through ecstatic pilgrimage, not through the discovery of an abandoned settlement.</w:t>
      </w:r>
    </w:p>
    <w:p>
      <w:r>
        <w:rPr>
          <w:b/>
          <w:color w:val="7B2638"/>
        </w:rPr>
        <w:t>Caitanya-caritāmṛta, Madhya 18.4</w:t>
      </w:r>
    </w:p>
    <w:p>
      <w:pPr>
        <w:pStyle w:val="SourceSanskrit"/>
      </w:pPr>
      <w:r>
        <w:t>āriṭe rādhā-kuṇḍa-vārtā puche loka-sthāne | keha nāhi kahe, saṅgera brāhmaṇa nā jāne ||4||</w:t>
      </w:r>
    </w:p>
    <w:p>
      <w:r>
        <w:t>At Āriṭ He asked the local people for news of Rādhā-kuṇḍa. No one could tell Him, and the accompanying brāhmaṇa did not know.</w:t>
      </w:r>
    </w:p>
    <w:p>
      <w:r>
        <w:rPr>
          <w:b/>
          <w:color w:val="7B2638"/>
        </w:rPr>
        <w:t xml:space="preserve">Research use — </w:t>
      </w:r>
      <w:r>
        <w:t>This establishes loss of public identification at that moment. It does not establish hostility, total regional amnesia, or the date and cause of the loss.</w:t>
      </w:r>
    </w:p>
    <w:p>
      <w:r>
        <w:rPr>
          <w:b/>
          <w:color w:val="7B2638"/>
        </w:rPr>
        <w:t>Caitanya-caritāmṛta, Madhya 18.5</w:t>
      </w:r>
    </w:p>
    <w:p>
      <w:pPr>
        <w:pStyle w:val="SourceSanskrit"/>
      </w:pPr>
      <w:r>
        <w:t>tīrtha ‘lupta’ jāni’ prabhu sarvajña bhagavān | dui dhānya-kṣetre alpa-jale kailā snāna ||5||</w:t>
      </w:r>
    </w:p>
    <w:p>
      <w:r>
        <w:t>Knowing the tīrtha to be obscured or lost, the omniscient Lord bathed in the little water of two paddy fields.</w:t>
      </w:r>
    </w:p>
    <w:p>
      <w:r>
        <w:rPr>
          <w:b/>
          <w:color w:val="7B2638"/>
        </w:rPr>
        <w:t xml:space="preserve">Research use — </w:t>
      </w:r>
      <w:r>
        <w:t>The governing terms are lupta, sarvajña, dui dhānya-kṣetre, and alpa-jala. The verse records recognition and bathing, not excavation or construction.</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LANGUAGE RULE  </w:t>
            </w:r>
            <w:r>
              <w:t>For this project, lupta may be rendered “lost,” “obscured,” “hidden from recognition,” or “no longer visible as the known tīrtha.” “Destroyed” or “ceased to exist” is too strong for the checked passage.</w:t>
            </w:r>
          </w:p>
        </w:tc>
      </w:tr>
    </w:tbl>
    <w:p>
      <w:r>
        <w:br w:type="page"/>
      </w:r>
    </w:p>
    <w:p>
      <w:pPr>
        <w:pStyle w:val="Kicker"/>
      </w:pPr>
      <w:r>
        <w:t>READER-FACING PROSE</w:t>
      </w:r>
    </w:p>
    <w:p>
      <w:pPr>
        <w:pStyle w:val="Heading1"/>
      </w:pPr>
      <w:r>
        <w:t>8. When the Sacred Waters Became Hidden</w:t>
      </w:r>
    </w:p>
    <w:p>
      <w:r>
        <w:t>The previous three sections have asked us to see Rādhā-kuṇḍa through the eyes of the Gosvāmī literature: jeweled approaches, flowering groves, bridges, service pavilions, seasonal environments, confidential routes, and a whole society of companions whose lives are organized around Rādhā and Kṛṣṇa’s meeting. When the story turns into historical time, the visible scene changes with almost shocking abruptness.</w:t>
      </w:r>
    </w:p>
    <w:p>
      <w:r>
        <w:t>We do not possess, in the sources so far checked for this project, a continuous account of that change. There is no secure narrative telling us in what year the developed sacred waters became difficult to recognize, what physical process reduced them, or whether one single event caused the loss. To supply such a story would make the chapter smoother, but less truthful. Here the silence between sources has to remain visible.</w:t>
      </w:r>
    </w:p>
    <w:p>
      <w:r>
        <w:t>What we do have is Kṛṣṇadāsa Kavirāja’s account of Śrī Caitanya Mahāprabhu arriving at a village called Āriṭ-grāma. The village is not deserted. People live there. Mahāprabhu asks them for news of Rādhā-kuṇḍa, and no one can tell Him where it is. Even the brāhmaṇa traveling with Him does not know. The place-name survives; the recognized identity of the tīrtha does not.</w:t>
      </w:r>
    </w:p>
    <w:p>
      <w:r>
        <w:t>Kṛṣṇadāsa then compresses the entire condition into one extraordinary line: tīrtha ‘lupta’ jāni’ prabhu sarvajña bhagavān / dui dhānya-kṣetre alpa-jale kailā snāna. Knowing the tīrtha to be lupta—lost or obscured—the omniscient Lord bathes in the little water of two paddy fields. The contrast with the nitya-līlā landscape could hardly be stronger. The sacred waters that the Gosvāmī imagination knows as an immense world of service are outwardly present only as slight water within agricultural fields.</w:t>
      </w:r>
    </w:p>
    <w:p>
      <w:r>
        <w:t>The word lupta must carry exactly the weight the text gives it, and no more. It does not say that Rādhā-kuṇḍa had ceased to exist. It does not tell us that an army destroyed it, that the village was abandoned, that the waters vanished completely, or that all memory of the place disappeared from the wider region. It tells us that the tīrtha was lost or obscured as a publicly identifiable sacred place. The people Mahāprabhu asks cannot point it out.</w:t>
      </w:r>
    </w:p>
    <w:p>
      <w:r>
        <w:t>Nor should the two paddy fields be turned into a romantic ruin scene. They are evidence of an agricultural landscape into which the sacred waters had become physically embedded. Kṛṣṇadāsa gives no monumental ghāṭs, no causeway, no temple skyline and no developed pilgrimage town. Those belong to later chapters of the history. At this moment, the visible form is small enough that the people standing there do not recognize what Mahāprabhu recognizes.</w:t>
      </w:r>
    </w:p>
    <w:p>
      <w:r>
        <w:t>That is the historical hinge of the Rādhā-kuṇḍa story. We have moved from texts that disclose what the place eternally is to a narrative in which outward appearance no longer announces that identity. The eternal geography has not been disproved by the humble fields, and the humble fields should not be overwritten by the eternal geography. Both descriptions must be allowed to stand in their own registers.</w:t>
      </w:r>
    </w:p>
    <w:p>
      <w:r>
        <w:t>The next scene begins when one pilgrim refuses to measure the place by what everyone else can see. Kṛṣṇadāsa calls Him sarvajña bhagavān, the omniscient Lord. He knows the tīrtha in its obscurity, steps into the little water, and by bathing begins to make its identity public again. The hidden waters are about to be recognized.</w:t>
      </w:r>
    </w:p>
    <w:p>
      <w:pPr>
        <w:pStyle w:val="Kicker"/>
      </w:pPr>
      <w:r>
        <w:t>INTERNAL CONTROL APPARATUS • REMOVE OR CONVERT TO NOTES IN FINAL COMPILATION</w:t>
      </w:r>
    </w:p>
    <w:p>
      <w:pPr>
        <w:pStyle w:val="Heading1"/>
      </w:pPr>
      <w:r>
        <w:t>Sources actually used</w:t>
      </w:r>
    </w:p>
    <w:p>
      <w:r>
        <w:t>• Kṛṣṇadāsa Kavirāja, Caitanya-caritāmṛta Madhya 18.3–5, through the quotation packet in RS-03. Bengali/transliteration and verse sequence were previously checked against the Vedabase witness during RS-03 research.</w:t>
      </w:r>
    </w:p>
    <w:p>
      <w:r>
        <w:t>• RS-03 — Śrī Caitanya Mahāprabhu at Rādhā-kuṇḍa, especially §§1–5 and the arrival/recognition quotation packet. This is the principal interpretive control for lupta, bāhya, sarvajña, alpa-jala, and the distinction between recognition and excavation.</w:t>
      </w:r>
    </w:p>
    <w:p>
      <w:r>
        <w:t>• RK-04 v0.3 §2 and the master dossier v0.4 §25, which preserve the A/B/C/D boundary and the ruling that Āriṭ-grāma is inhabited while the tīrtha identity is obscured.</w:t>
      </w:r>
    </w:p>
    <w:p>
      <w:r>
        <w:t>• RKST-00 Writing Blueprint v1.0, Section 8, for the explicit instruction to preserve the undocumented historical gap rather than invent a decline narrative.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CC Madhya 18.3</w:t>
            </w:r>
          </w:p>
        </w:tc>
        <w:tc>
          <w:tcPr>
            <w:tcW w:type="dxa" w:w="2498"/>
            <w:vAlign w:val="top"/>
          </w:tcPr>
          <w:p>
            <w:r>
              <w:t>nācite nācite … āriṭ-grāme … bāhya</w:t>
            </w:r>
          </w:p>
        </w:tc>
        <w:tc>
          <w:tcPr>
            <w:tcW w:type="dxa" w:w="2498"/>
            <w:vAlign w:val="top"/>
          </w:tcPr>
          <w:p>
            <w:r>
              <w:t>RS-03, checked Vedabase witness</w:t>
            </w:r>
          </w:p>
        </w:tc>
        <w:tc>
          <w:tcPr>
            <w:tcW w:type="dxa" w:w="2498"/>
            <w:vAlign w:val="top"/>
          </w:tcPr>
          <w:p>
            <w:r>
              <w:t>PARAPHRASE — arrival and inhabited village</w:t>
            </w:r>
          </w:p>
        </w:tc>
      </w:tr>
      <w:tr>
        <w:trPr>
          <w:cantSplit w:val="1"/>
        </w:trPr>
        <w:tc>
          <w:tcPr>
            <w:tcW w:type="dxa" w:w="2498"/>
            <w:vAlign w:val="top"/>
          </w:tcPr>
          <w:p>
            <w:r>
              <w:t>CC Madhya 18.4</w:t>
            </w:r>
          </w:p>
        </w:tc>
        <w:tc>
          <w:tcPr>
            <w:tcW w:type="dxa" w:w="2498"/>
            <w:vAlign w:val="top"/>
          </w:tcPr>
          <w:p>
            <w:r>
              <w:t>rādhā-kuṇḍa-vārtā … keha nāhi kahe</w:t>
            </w:r>
          </w:p>
        </w:tc>
        <w:tc>
          <w:tcPr>
            <w:tcW w:type="dxa" w:w="2498"/>
            <w:vAlign w:val="top"/>
          </w:tcPr>
          <w:p>
            <w:r>
              <w:t>RS-03, checked Vedabase witness</w:t>
            </w:r>
          </w:p>
        </w:tc>
        <w:tc>
          <w:tcPr>
            <w:tcW w:type="dxa" w:w="2498"/>
            <w:vAlign w:val="top"/>
          </w:tcPr>
          <w:p>
            <w:r>
              <w:t>PARAPHRASE — loss of public identification</w:t>
            </w:r>
          </w:p>
        </w:tc>
      </w:tr>
      <w:tr>
        <w:trPr>
          <w:cantSplit w:val="1"/>
        </w:trPr>
        <w:tc>
          <w:tcPr>
            <w:tcW w:type="dxa" w:w="2498"/>
            <w:vAlign w:val="top"/>
          </w:tcPr>
          <w:p>
            <w:r>
              <w:t>CC Madhya 18.5</w:t>
            </w:r>
          </w:p>
        </w:tc>
        <w:tc>
          <w:tcPr>
            <w:tcW w:type="dxa" w:w="2498"/>
            <w:vAlign w:val="top"/>
          </w:tcPr>
          <w:p>
            <w:r>
              <w:t>tīrtha ‘lupta’ … dui dhānya-kṣetre alpa-jale</w:t>
            </w:r>
          </w:p>
        </w:tc>
        <w:tc>
          <w:tcPr>
            <w:tcW w:type="dxa" w:w="2498"/>
            <w:vAlign w:val="top"/>
          </w:tcPr>
          <w:p>
            <w:r>
              <w:t>RS-03, checked Vedabase witness</w:t>
            </w:r>
          </w:p>
        </w:tc>
        <w:tc>
          <w:tcPr>
            <w:tcW w:type="dxa" w:w="2498"/>
            <w:vAlign w:val="top"/>
          </w:tcPr>
          <w:p>
            <w:r>
              <w:t>KEEP — governing historical hinge</w:t>
            </w:r>
          </w:p>
        </w:tc>
      </w:tr>
    </w:tbl>
    <w:p>
      <w:pPr>
        <w:pStyle w:val="Heading2"/>
      </w:pPr>
      <w:r>
        <w:t>Claims deliberately omitted or qualified</w:t>
      </w:r>
    </w:p>
    <w:p>
      <w:r>
        <w:t>• No date is assigned to the disappearance or obscuration of the recognizable kuṇḍas.</w:t>
      </w:r>
    </w:p>
    <w:p>
      <w:r>
        <w:t>• No destruction event, invasion, natural disaster, deliberate filling, or continuous decline narrative is invented.</w:t>
      </w:r>
    </w:p>
    <w:p>
      <w:r>
        <w:t>• Āriṭ-grāma is not described as abandoned; the primary text explicitly presupposes local residents whom Mahāprabhu questions.</w:t>
      </w:r>
    </w:p>
    <w:p>
      <w:r>
        <w:t>• Lupta is not translated as “ceased to exist.” The distinction between ontological sacred identity and visible/public recognition is preserved.</w:t>
      </w:r>
    </w:p>
    <w:p>
      <w:r>
        <w:t>• The two paddy fields are not equated with the exact later masonry footprints, causeway, ghāṭs, or modern tank boundaries.</w:t>
      </w:r>
    </w:p>
    <w:p>
      <w:r>
        <w:t>• Raghunātha dāsa’s later desilting/excavation tradition is deliberately reserved for RKST-10 rather than used to fill the historical gap here.</w:t>
      </w:r>
    </w:p>
    <w:p>
      <w:pPr>
        <w:pStyle w:val="Heading2"/>
      </w:pPr>
      <w:r>
        <w:t>Open items carried forward</w:t>
      </w:r>
    </w:p>
    <w:p>
      <w:r>
        <w:t>• The intervening physical history before Mahāprabhu’s visit remains undocumented in the presently controlled source set; preserve the gap unless stronger evidence is found.</w:t>
      </w:r>
    </w:p>
    <w:p>
      <w:r>
        <w:t>• The broader semantic history of lupta-tīrtha and lupta-tīrtha-uddhāra may illuminate Gauḍīya mission language, but CC Madhya 18.5 itself records bathing, not excavation.</w:t>
      </w:r>
    </w:p>
    <w:p>
      <w:r>
        <w:t>• Historical mapping of the two paddy-field footprints remains open and should not be attempted from this verse alone.</w:t>
      </w:r>
    </w:p>
    <w:p>
      <w:pPr>
        <w:pStyle w:val="Heading2"/>
      </w:pPr>
      <w:r>
        <w:t>Cross-references</w:t>
      </w:r>
    </w:p>
    <w:p>
      <w:r>
        <w:t>• RKST-07 — closes the eternal/social map and hands off to this deliberately sparse historical scene.</w:t>
      </w:r>
    </w:p>
    <w:p>
      <w:r>
        <w:t>• RKST-09 — begins exactly where this section ends: Mahāprabhu’s recognition, bath, public astonishment, praise, remembrance, tilaka, and onward movement.</w:t>
      </w:r>
    </w:p>
    <w:p>
      <w:r>
        <w:t>• RKST-10 — introduces the distinct B-level Raghunātha restoration tradition; do not backfill it into the Mahāprabhu scene.</w:t>
      </w:r>
    </w:p>
    <w:p>
      <w:r>
        <w:t>• RKST-12 — later documentary physical history may clarify settlement and water development, but must not retroactively manufacture a continuous pre-Caitanya chronology.</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REVIEW QUESTION FOR V0.2  </w:t>
            </w:r>
            <w:r>
              <w:t>Does this hinge feel deliberately sparse rather than incomplete—making the historical silence meaningful while preparing the reader for Mahāprabhu’s recognition in the next section?</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RKST-08 • Draft v0.1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RKST-08 — When the Sacred Waters Became Hidden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