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RKST-10</w:t>
      </w:r>
    </w:p>
    <w:p>
      <w:pPr>
        <w:jc w:val="center"/>
      </w:pPr>
      <w:r>
        <w:rPr>
          <w:b/>
          <w:color w:val="7B2638"/>
          <w:sz w:val="44"/>
        </w:rPr>
        <w:t>Raghunātha dāsa Comes to Stay</w:t>
      </w:r>
    </w:p>
    <w:p>
      <w:pPr>
        <w:jc w:val="center"/>
      </w:pPr>
      <w:r>
        <w:rPr>
          <w:i/>
          <w:sz w:val="23"/>
        </w:rPr>
        <w:t>Residence, renunciation, restoration, sacred trees, kuṭīra, and the first documentary property horizon</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section deliberately changes source layers in public view: Raghunātha’s own A-level prayer establishes what Rādhā-kuṇḍa meant to him; Bhakti-ratnākara later preserves the B-level restoration and kuṭīra traditions; documentary scholarship then supplies a separate D-level property horizon.</w:t>
            </w:r>
          </w:p>
        </w:tc>
      </w:tr>
    </w:tbl>
    <w:p>
      <w:pPr>
        <w:jc w:val="center"/>
      </w:pPr>
      <w:r>
        <w:rPr>
          <w:color w:val="5A5A5A"/>
          <w:sz w:val="19"/>
        </w:rPr>
        <w:t>Controlling sources: Vilāpa-kusumāñjali 97; Bhakti-ratnākara 5.530–561; Mukherjee–Habib, Land Rights in the Reign of Akbar, especially the 1588 Aritha declaration.</w:t>
      </w:r>
    </w:p>
    <w:p>
      <w:r>
        <w:br w:type="page"/>
      </w:r>
    </w:p>
    <w:p>
      <w:pPr>
        <w:pStyle w:val="Kicker"/>
      </w:pPr>
      <w:r>
        <w:t>SOURCE CARD • A → B → D LAYERS KEPT DISTINCT</w:t>
      </w:r>
    </w:p>
    <w:p>
      <w:pPr>
        <w:pStyle w:val="Heading1"/>
      </w:pPr>
      <w:r>
        <w:t>Raghunātha’s own voice: residence before biography</w:t>
      </w:r>
    </w:p>
    <w:p>
      <w:r>
        <w:rPr>
          <w:b/>
          <w:color w:val="7B2638"/>
        </w:rPr>
        <w:t>Raghunātha dāsa Gosvāmī, Vilāpa-kusumāñjali 97</w:t>
      </w:r>
    </w:p>
    <w:p>
      <w:pPr>
        <w:pStyle w:val="SourceSanskrit"/>
      </w:pPr>
      <w:r>
        <w:t>sva-kuṇḍaṁ tava lolākṣi / sa-priyāyāḥ sadāspadam | atraiva mama saṁvāsa / ihaiva mama saṁsthitiḥ ||97||</w:t>
      </w:r>
    </w:p>
    <w:p>
      <w:r>
        <w:t>O restless-eyed one, Your own kuṇḍa is the eternal abode of You together with Your beloved. Here alone shall be my residence; here alone shall be my abiding place.</w:t>
      </w:r>
    </w:p>
    <w:p>
      <w:r>
        <w:rPr>
          <w:b/>
          <w:color w:val="7B2638"/>
        </w:rPr>
        <w:t xml:space="preserve">Research use — </w:t>
      </w:r>
      <w:r>
        <w:t>A-level anchor. It establishes Rādhā-kuṇḍa as Raghunātha’s desired geographical home of bhajana and Rādhā-dāsya; it is not a construction record.</w:t>
      </w:r>
    </w:p>
    <w:p>
      <w:pPr>
        <w:pStyle w:val="Heading1"/>
      </w:pPr>
      <w:r>
        <w:t>Bhakti-ratnākara: the remembered restoration</w:t>
      </w:r>
    </w:p>
    <w:p>
      <w:r>
        <w:rPr>
          <w:b/>
          <w:color w:val="7B2638"/>
        </w:rPr>
        <w:t>Bhakti-ratnākara 5.530–534</w:t>
      </w:r>
    </w:p>
    <w:p>
      <w:pPr>
        <w:pStyle w:val="SourceSanskrit"/>
      </w:pPr>
      <w:r>
        <w:t>ahe śrīnivāsa, dhānyakṣetra kuṇḍadvaya | eba jale paripūrṇa haila atiśaya ||530||</w:t>
        <w:br/>
        <w:t>erūpa haila yaicche dhānyakṣetra giyā | śuna se prasaṅga—kahi saṁkṣepa kariyā ||531||</w:t>
        <w:br/>
        <w:t>akasmāt raghunātha-mane ei hailā | kuṇḍadvaya jale pūrṇa haile haita bhāla ||532||</w:t>
        <w:br/>
        <w:t>artheria ākāṅkhā kichu ihāte bujhāya | eta vicāriyā hailena stabdhaprāya ||533||</w:t>
        <w:br/>
        <w:t>āpanāke dhikkāra karaye vāravāra | kene e vāsanā mane haïla āmāra ||534||</w:t>
      </w:r>
    </w:p>
    <w:p>
      <w:r>
        <w:t>O Śrīnivāsa, the two kuṇḍas that had been paddy fields are now exceedingly full of water; hear briefly how this came to be. Raghunātha suddenly thought that it would be good if the two kuṇḍas were filled with water, but then he became almost stunned, seeing in such a project an implication of desire for wealth, and repeatedly reproached himself.</w:t>
      </w:r>
    </w:p>
    <w:p>
      <w:r>
        <w:rPr>
          <w:b/>
          <w:color w:val="7B2638"/>
        </w:rPr>
        <w:t xml:space="preserve">Research use — </w:t>
      </w:r>
      <w:r>
        <w:t>B-level early Gauḍīya memory. The emotional center is the tension between sevā and renunciation.</w:t>
      </w:r>
    </w:p>
    <w:p>
      <w:r>
        <w:rPr>
          <w:b/>
          <w:color w:val="7B2638"/>
        </w:rPr>
        <w:t>Bhakti-ratnākara 5.545–547</w:t>
      </w:r>
    </w:p>
    <w:p>
      <w:pPr>
        <w:pStyle w:val="SourceSanskrit"/>
      </w:pPr>
      <w:r>
        <w:t>katakṣaṇe kahe praśaṁsiyā vāravāra | śīghra kuṇḍadvayera karaha paṅkoddhāra ||545||</w:t>
        <w:br/>
        <w:t>śuni mahājana mahā-ānanda hailā | sei kṣaṇe bahu loka niyukta karilā ||546||</w:t>
        <w:br/>
        <w:t>śīghra kuṇḍadvaya khodāila yatnamate | śyāmakuṇḍa vakra yaiche śuna sābahite ||547||</w:t>
      </w:r>
    </w:p>
    <w:p>
      <w:r>
        <w:t>After praising the donor repeatedly, Raghunātha tells him to undertake the paṅkoddhāra of the two kuṇḍas. The patron rejoices, immediately engages many people, and has the two kuṇḍas carefully excavated.</w:t>
      </w:r>
    </w:p>
    <w:p>
      <w:r>
        <w:rPr>
          <w:b/>
          <w:color w:val="7B2638"/>
        </w:rPr>
        <w:t xml:space="preserve">Research use — </w:t>
      </w:r>
      <w:r>
        <w:t>The pair paṅkoddhāra + khodāila controls our wording: substantial desilting and excavation/restoration, not creation ex nihilo.</w:t>
      </w:r>
    </w:p>
    <w:p>
      <w:r>
        <w:rPr>
          <w:b/>
          <w:color w:val="7B2638"/>
        </w:rPr>
        <w:t>Bhakti-ratnākara 5.549–553</w:t>
      </w:r>
    </w:p>
    <w:p>
      <w:pPr>
        <w:pStyle w:val="SourceSanskrit"/>
      </w:pPr>
      <w:r>
        <w:t>svapne rājā yudhiṣṭhira kahe raghunāthe | vṛkṣarūpe morā pañca āchiye ethāte ||549||</w:t>
        <w:br/>
        <w:t>kāli-prāte mānasa-pāvanaghāṭe giyā | karibena rakṣā pañca vṛkṣa nirakhiyā ||550||</w:t>
        <w:br/>
        <w:t>vṛkṣera chedana sabe vāraṇa karila | ei hetu śyāmakuṇḍa caurasa nahila ||552||</w:t>
        <w:br/>
        <w:t>nirmala jalete paripūrṇa kuṇḍadvaya | dekhi raghunātha hṛṣṭa haila atiśaya ||553||</w:t>
      </w:r>
    </w:p>
    <w:p>
      <w:r>
        <w:t>In a dream Yudhiṣṭhira tells Raghunātha that the five brothers are present there as trees and asks him to protect them at Mānasa-pāvana. Raghunātha forbids the trees to be cut; for this reason, the tradition says, Śyāma-kuṇḍa does not become square. Seeing the two kuṇḍas full of clear water, he rejoices greatly.</w:t>
      </w:r>
    </w:p>
    <w:p>
      <w:r>
        <w:rPr>
          <w:b/>
          <w:color w:val="7B2638"/>
        </w:rPr>
        <w:t xml:space="preserve">Research use — </w:t>
      </w:r>
      <w:r>
        <w:t>B-level sacred-tree and lake-shape tradition. It is devotional historiography, not archaeological proof of the modern shoreline or surviving tree ages.</w:t>
      </w:r>
    </w:p>
    <w:p>
      <w:r>
        <w:rPr>
          <w:b/>
          <w:color w:val="7B2638"/>
        </w:rPr>
        <w:t>Bhakti-ratnākara 5.554, 560–561</w:t>
      </w:r>
    </w:p>
    <w:p>
      <w:pPr>
        <w:pStyle w:val="SourceSanskrit"/>
      </w:pPr>
      <w:r>
        <w:t>divārātra raghunātha vṛkṣatale rahe | kuṭira karite tāṅra kabhu icchā nahe ||554||</w:t>
        <w:br/>
        <w:t>raghunātha-prati snehe kahe dhīre dhīre | vṛkṣatala haite ebe rahite kuṭire ||560||</w:t>
        <w:br/>
        <w:t>jānāiyo viśeṣa gosāñī gelā snāne | kuṭirera ārambha haila sei dine ||561||</w:t>
      </w:r>
    </w:p>
    <w:p>
      <w:r>
        <w:t>Day and night Raghunātha remained beneath a tree and had no wish to make a hut. Out of affection, Sanātana gently tells him to live now in a kuṭīra rather than beneath the tree; the kuṭīra is begun that very day.</w:t>
      </w:r>
    </w:p>
    <w:p>
      <w:r>
        <w:rPr>
          <w:b/>
          <w:color w:val="7B2638"/>
        </w:rPr>
        <w:t xml:space="preserve">Research use — </w:t>
      </w:r>
      <w:r>
        <w:t>B-level foundation for the first kuṭīra tradition. The intervening verses include Sanātana’s encounter with a tiger near Mānasa-pāvana; this does not prove that a present structure is the unchanged first hut.</w:t>
      </w:r>
    </w:p>
    <w:p>
      <w:pPr>
        <w:pStyle w:val="Heading1"/>
      </w:pPr>
      <w:r>
        <w:t>Documentary horizon: the 1588 Aritha declaration</w:t>
      </w:r>
    </w:p>
    <w:p>
      <w:r>
        <w:t>Tarapada Mukherjee and Irfan Habib publish and analyze an Aritha set of Persian/Braj property documents. Their Document 11 is an original Persian declaration dated 7 Rajab 996 / 2 June 1588. It states that Gosain Raghunātha declared himself to have purchased six plots in the neighborhood of the village tank for an aggregate Rs.238 and made a hiba (gift) of them to Jīva Gosain. The same study warns that the purported earlier transaction dates and supporting sale-deeds were likely constructed later, probably in 1579 or 1588, to strengthen Raghunātha’s and Jīva’s claims. The secure historical use is therefore cautious: by the late sixteenth century, property claims around the tank were being formally articulated and transferred within the Gauḍīya network.</w:t>
      </w:r>
    </w:p>
    <w:p>
      <w:pPr>
        <w:pStyle w:val="Heading2"/>
      </w:pPr>
      <w:r>
        <w:t>Layer-control 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Layer</w:t>
            </w:r>
          </w:p>
        </w:tc>
        <w:tc>
          <w:tcPr>
            <w:tcW w:type="dxa" w:w="2498"/>
            <w:shd w:fill="7B2638"/>
          </w:tcPr>
          <w:p>
            <w:r>
              <w:rPr>
                <w:b/>
                <w:color w:val="FFFFFF"/>
              </w:rPr>
              <w:t>Witness</w:t>
            </w:r>
          </w:p>
        </w:tc>
        <w:tc>
          <w:tcPr>
            <w:tcW w:type="dxa" w:w="2498"/>
            <w:shd w:fill="7B2638"/>
          </w:tcPr>
          <w:p>
            <w:r>
              <w:rPr>
                <w:b/>
                <w:color w:val="FFFFFF"/>
              </w:rPr>
              <w:t>What it establishes</w:t>
            </w:r>
          </w:p>
        </w:tc>
        <w:tc>
          <w:tcPr>
            <w:tcW w:type="dxa" w:w="2498"/>
            <w:shd w:fill="7B2638"/>
          </w:tcPr>
          <w:p>
            <w:r>
              <w:rPr>
                <w:b/>
                <w:color w:val="FFFFFF"/>
              </w:rPr>
              <w:t>What it does not establish</w:t>
            </w:r>
          </w:p>
        </w:tc>
      </w:tr>
      <w:tr>
        <w:trPr>
          <w:cantSplit w:val="1"/>
        </w:trPr>
        <w:tc>
          <w:tcPr>
            <w:tcW w:type="dxa" w:w="2498"/>
            <w:vAlign w:val="top"/>
          </w:tcPr>
          <w:p>
            <w:r>
              <w:t>A — Gosvāmī</w:t>
            </w:r>
          </w:p>
        </w:tc>
        <w:tc>
          <w:tcPr>
            <w:tcW w:type="dxa" w:w="2498"/>
            <w:vAlign w:val="top"/>
          </w:tcPr>
          <w:p>
            <w:r>
              <w:t>Vilāpa-kusumāñjali 97</w:t>
            </w:r>
          </w:p>
        </w:tc>
        <w:tc>
          <w:tcPr>
            <w:tcW w:type="dxa" w:w="2498"/>
            <w:vAlign w:val="top"/>
          </w:tcPr>
          <w:p>
            <w:r>
              <w:t>Raghunātha’s own desire to reside and remain at Rādhā’s kuṇḍa.</w:t>
            </w:r>
          </w:p>
        </w:tc>
        <w:tc>
          <w:tcPr>
            <w:tcW w:type="dxa" w:w="2498"/>
            <w:vAlign w:val="top"/>
          </w:tcPr>
          <w:p>
            <w:r>
              <w:t>Excavation chronology or property engineering.</w:t>
            </w:r>
          </w:p>
        </w:tc>
      </w:tr>
      <w:tr>
        <w:trPr>
          <w:cantSplit w:val="1"/>
        </w:trPr>
        <w:tc>
          <w:tcPr>
            <w:tcW w:type="dxa" w:w="2498"/>
            <w:vAlign w:val="top"/>
          </w:tcPr>
          <w:p>
            <w:r>
              <w:t>B — Early pilgrimage/devotional history</w:t>
            </w:r>
          </w:p>
        </w:tc>
        <w:tc>
          <w:tcPr>
            <w:tcW w:type="dxa" w:w="2498"/>
            <w:vAlign w:val="top"/>
          </w:tcPr>
          <w:p>
            <w:r>
              <w:t>Bhakti-ratnākara 5.530–561</w:t>
            </w:r>
          </w:p>
        </w:tc>
        <w:tc>
          <w:tcPr>
            <w:tcW w:type="dxa" w:w="2498"/>
            <w:vAlign w:val="top"/>
          </w:tcPr>
          <w:p>
            <w:r>
              <w:t>Restoration memory, anonymous donor, paṅkoddhāra/khodāila, Pāṇḍava trees, first kuṭīra tradition.</w:t>
            </w:r>
          </w:p>
        </w:tc>
        <w:tc>
          <w:tcPr>
            <w:tcW w:type="dxa" w:w="2498"/>
            <w:vAlign w:val="top"/>
          </w:tcPr>
          <w:p>
            <w:r>
              <w:t>First-person construction record; archaeological causation; exact modern footprints.</w:t>
            </w:r>
          </w:p>
        </w:tc>
      </w:tr>
      <w:tr>
        <w:trPr>
          <w:cantSplit w:val="1"/>
        </w:trPr>
        <w:tc>
          <w:tcPr>
            <w:tcW w:type="dxa" w:w="2498"/>
            <w:vAlign w:val="top"/>
          </w:tcPr>
          <w:p>
            <w:r>
              <w:t>D — Documentary</w:t>
            </w:r>
          </w:p>
        </w:tc>
        <w:tc>
          <w:tcPr>
            <w:tcW w:type="dxa" w:w="2498"/>
            <w:vAlign w:val="top"/>
          </w:tcPr>
          <w:p>
            <w:r>
              <w:t>Mukherjee–Habib, Aritha documents</w:t>
            </w:r>
          </w:p>
        </w:tc>
        <w:tc>
          <w:tcPr>
            <w:tcW w:type="dxa" w:w="2498"/>
            <w:vAlign w:val="top"/>
          </w:tcPr>
          <w:p>
            <w:r>
              <w:t>Late-sixteenth-century land/property claims and 1588 hiba to Jīva.</w:t>
            </w:r>
          </w:p>
        </w:tc>
        <w:tc>
          <w:tcPr>
            <w:tcW w:type="dxa" w:w="2498"/>
            <w:vAlign w:val="top"/>
          </w:tcPr>
          <w:p>
            <w:r>
              <w:t>That Raghunātha purchased or gifted the sacred waters themselves; certainty for all earlier deed dates.</w:t>
            </w:r>
          </w:p>
        </w:tc>
      </w:tr>
    </w:tbl>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NAME CONTROL  </w:t>
            </w:r>
            <w:r>
              <w:t>Bhakti-ratnākara in this restoration block uses the now-common Śyāma-kuṇḍa terminology. Earlier Gosvāmī sources often say Ariṣṭa-kuṇḍa, Ariṣṭa-saras, or Kṛṣṇa-kuṇḍa. This section follows each source’s own naming rather than retroactively normalizing every witness.</w:t>
            </w:r>
          </w:p>
        </w:tc>
      </w:tr>
    </w:tbl>
    <w:p>
      <w:r>
        <w:br w:type="page"/>
      </w:r>
    </w:p>
    <w:p>
      <w:pPr>
        <w:pStyle w:val="Kicker"/>
      </w:pPr>
      <w:r>
        <w:t>READER-FACING PROSE</w:t>
      </w:r>
    </w:p>
    <w:p>
      <w:pPr>
        <w:pStyle w:val="Heading1"/>
      </w:pPr>
      <w:r>
        <w:t>10. Raghunātha dāsa Comes to Stay</w:t>
      </w:r>
    </w:p>
    <w:p>
      <w:r>
        <w:t>Mahāprabhu left Āriṭ-grāma carrying earth from the kuṇḍa and continued toward Govardhana. Raghunātha dāsa Gosvāmī represents another relation to the same place. He does not appear in his own poetry as a pilgrim passing through. He wants to stay.</w:t>
      </w:r>
    </w:p>
    <w:p>
      <w:r>
        <w:t>His prayer is almost startling in its simplicity. Addressing Rādhā as lolākṣi, “restless-eyed one,” he says: sva-kuṇḍaṁ tava lolākṣi / sa-priyāyāḥ sadāspadam—“Your own kuṇḍa is the eternal abode of You together with Your beloved.” Then the petition becomes geographical: atraiva mama saṁvāsa / ihaiva mama saṁsthitiḥ—“Here alone shall be my residence; here alone shall be my abiding place.”</w:t>
      </w:r>
    </w:p>
    <w:p>
      <w:r>
        <w:t>This is the firmest place to begin Raghunātha’s Rādhā-kuṇḍa story because it is his own voice. The verse does not tell us when a bank was cut, how deep a basin was dug, who supplied money, or where a later building stood. It tells us why residence mattered. The kuṇḍa is Rādhā’s own; it is the enduring abode of Rādhā together with Kṛṣṇa; therefore to remain there is to place one’s life inside the geography of the service one desires.</w:t>
      </w:r>
    </w:p>
    <w:p>
      <w:pPr/>
      <w:r>
        <w:t>Residence, however, should not be confused with legal ownership. In this verse Raghunātha does not claim a parcel, define a boundary, or speak as a proprietor. Saṁvāsa and saṁsthiti are devotional words of remaining and abiding. That distinction will matter when documents appear later in the story. His prayer tells us what he wanted his life to be oriented around; deeds tell us how land around the tank was handled in an increasingly organized sacred settlement. The two kinds of evidence illuminate different dimensions of the same place.</w:t>
      </w:r>
    </w:p>
    <w:p>
      <w:r>
        <w:t>That longing also explains why the later restoration story has such force in Gauḍīya memory. Bhakti-ratnākara, written after Raghunātha’s lifetime, looks back from a world in which the two kuṇḍas are visibly filled with water and asks how the paddy-field condition remembered from Mahāprabhu’s visit became this later sacred landscape. Narahari Cakravartī explicitly tells Śrīnivāsa: the two kuṇḍas that had been paddy fields are now full of water; hear briefly how this came to pass.</w:t>
      </w:r>
    </w:p>
    <w:p>
      <w:r>
        <w:t>The story begins not with wealth but with Raghunātha’s discomfort at the thought of needing it. A desire arises in him: how good it would be if the two kuṇḍas were filled with water. Then he stops. Such a project seems to imply an aspiration for money, and the renunciant reproaches himself for having allowed the desire to arise at all. The tension is exactly the tension one would expect from the Raghunātha remembered in Gauḍīya tradition: the service appears worthy; the means required to accomplish it seem incompatible with the life he has chosen.</w:t>
      </w:r>
    </w:p>
    <w:p>
      <w:r>
        <w:t>Bhakti-ratnākara resolves the impasse outside Raghunātha’s own initiative. It speaks simply of kona eka dhanī—a certain wealthy man. The donor is not named in this passage, and we should resist the urge to improve the story by supplying a name from later retellings. At Badarikāśrama, according to Narahari, this wealthy pilgrim wishes to offer money in service. Nārāyaṇa appears in a dream and directs him to Āriṭ-grāma, to Raghunātha, for the service of the two kuṇḍas.</w:t>
      </w:r>
    </w:p>
    <w:p>
      <w:pPr/>
      <w:r>
        <w:t>The anonymity is itself worth preserving. Narahari’s interest is not in producing a donor genealogy or attaching the restoration to a celebrated courtly patron. The narrative protects Raghunātha’s renunciation by making the necessary resource arrive through providence: a pilgrim elsewhere conceives a service, receives a command, and comes to the kuṇḍa. The money enters the story only after Raghunātha has refused to organize his life around acquiring it.</w:t>
      </w:r>
    </w:p>
    <w:p>
      <w:r>
        <w:t>The donor reaches Raghunātha, presents the funds, and recounts the command. Only then does Raghunātha accept the possibility of the work. The terminology that follows is important. He orders paṅkoddhāra of the two kuṇḍas—literally the raising or removal of mud and silt. The patron rejoices and immediately engages bahu loka, many people. The next verse adds that the two kuṇḍas are khodāila yatnamate—caused to be dug or excavated carefully.</w:t>
      </w:r>
    </w:p>
    <w:p>
      <w:r>
        <w:t>Those words are stronger than “someone cleaned the ponds,” but they are not a second creation story. Rādhā-kuṇḍa had already been manifested in the līlā; Mahāprabhu had already recognized the sacred earthly tīrtha in the paddy fields. Bhakti-ratnākara remembers Raghunātha directing a substantial desilting and excavation-restoration of those waters. “Raghunātha created Rādhā-kuṇḍa” would collapse manifestation, recognition and restoration into one event. The sources themselves preserve the distinction.</w:t>
      </w:r>
    </w:p>
    <w:p>
      <w:r>
        <w:t>Narahari then explains why the companion lake did not become geometrically regular. During the work, King Yudhiṣṭhira appears to Raghunātha in a dream. The five Pāṇḍava brothers, he says, are present there in the forms of five trees at Mānasa-pāvana. Raghunātha is asked to protect them. He therefore forbids their cutting, and Bhakti-ratnākara makes this the reason Śyāma-kuṇḍa did not become square.</w:t>
      </w:r>
    </w:p>
    <w:p>
      <w:r>
        <w:t>This is a beautiful piece of early pilgrimage memory because trees, excavation and sacred identity become inseparable. It is also precisely the sort of story that can be mishandled if its source layer is forgotten. Narahari establishes that Gauḍīya pilgrims knew a tradition connecting five sacred trees at Mānasa-pāvana with the irregular form of the lake. He does not give us an archaeological survey demonstrating the age of particular surviving trees or proving the modern shoreline has remained unchanged since Raghunātha’s work.</w:t>
      </w:r>
    </w:p>
    <w:p>
      <w:r>
        <w:t>The end of the restoration episode is quiet. The two kuṇḍas stand full of clear water, and Raghunātha is exceedingly joyful. The renunciant who had rebuked himself for thinking about money sees the service completed without having turned his own bhajana into a project of acquisition. In Narahari’s telling, the funds come searching for the service rather than Raghunātha searching for funds.</w:t>
      </w:r>
    </w:p>
    <w:p>
      <w:r>
        <w:t>Bhakti-ratnākara next turns from the waters to the question of shelter. Raghunātha, it says, remained day and night beneath a tree and had no desire to construct a kuṭīra. Here again the narrative insists on the extremity of his renunciation before explaining why a dwelling appeared.</w:t>
      </w:r>
    </w:p>
    <w:p>
      <w:r>
        <w:t>Sanātana Gosvāmī comes from Vṛndāvana. On his way toward Mānasa-pāvana to bathe, the tradition says, he sees a tiger drinking nearby. Raghunātha remains absorbed in meditation beneath the tree, apparently indifferent to the danger. Sanātana’s response is not admiration for greater austerity. Out of affection he gently tells Raghunātha that he should now live in a kuṭīra rather than at the base of a tree. Narahari closes the episode with the plain statement: kuṭirera ārambha haila sei dine—the kuṭīra was begun that day.</w:t>
      </w:r>
    </w:p>
    <w:p>
      <w:r>
        <w:t>This passage is the early textual foundation for the Raghunātha bhajana-kuṭīra tradition. It does not, by itself, prove that a particular building visible today is the unchanged first hut erected after Sanātana’s advice. The distinction matters. A remembered first kuṭīra belongs securely to the early pilgrimage biography; architectural continuity of a modern memorial requires another kind of evidence.</w:t>
      </w:r>
    </w:p>
    <w:p>
      <w:pPr/>
      <w:r>
        <w:t>The hut also marks a subtle change in the social landscape. A man who wished only to remain beneath a tree can now be approached at a recognizable place of bhajana. Bhakti-ratnākara does not present this as the founding of a monastery or the construction of an institution, and we should not inflate it into one. Yet once residence acquires even the smallest built form, the possibility of continuity changes: visitors can return, disciples and senior Vaiṣṇavas can know where to find him, and memory can attach itself to a site. The later sacred community will grow around precisely this tension between radical renunciation and a place that increasingly draws people toward the renunciant.</w:t>
      </w:r>
    </w:p>
    <w:p>
      <w:r>
        <w:t>Even the tiger deserves that discipline. Braj in the sixteenth and early modern periods possessed considerably more woodland and wildlife than the landscape familiar to many pilgrims today; Entwistle notes Mughal-period tiger hunting in the Mathurā region. That makes Narahari’s setting environmentally plausible. It does not turn the specific tiger encounter into a documented zoological event. The story remains Bhakti-ratnākara’s devotional history.</w:t>
      </w:r>
    </w:p>
    <w:p>
      <w:r>
        <w:t>By this point the transformation in our narrative is already substantial. Mahāprabhu had recognized sacred water almost hidden inside agriculture. Raghunātha’s own poetry makes the place a desired permanent home. Bhakti-ratnākara remembers the waters enlarged and cleared, sacred trees protected, and the ascetic beneath a tree persuaded to accept a small dwelling. The beginnings of a resident sacred landscape are visible.</w:t>
      </w:r>
    </w:p>
    <w:p>
      <w:r>
        <w:t>Then another kind of evidence enters—documents rather than devotional biography. The transition must be handled carefully because the documents do not simply confirm every detail of Bhakti-ratnākara. They ask different questions.</w:t>
      </w:r>
    </w:p>
    <w:p>
      <w:r>
        <w:t>In their study of land rights at Vrindavan and Aritha, Tarapada Mukherjee and Irfan Habib publish a group of early property documents connected with the village. One of the most important is an original Persian declaration dated 7 Rajab 996, corresponding to 2 June 1588. In it, Gosain Raghunātha declares that he had acquired six plots of land in the neighborhood of the village tank at a stated aggregate price of 238 rupees and that he made a hiba—a gift—of those plots to Jīva Gosain.</w:t>
      </w:r>
    </w:p>
    <w:p>
      <w:r>
        <w:t>This is much firmer than a vague later claim that “Raghunātha gave Rādhā-kuṇḍa to Jīva,” but it is also narrower. The document concerns six plots of land in the neighborhood of a tank. It does not say that the sacred waters themselves were bought and sold for 238 rupees. The distinction becomes especially important because some later summaries broaden the object of the transaction into “the lakes.” The documentary wording does not justify that simplification.</w:t>
      </w:r>
    </w:p>
    <w:p>
      <w:r>
        <w:t>Mukherjee and Habib add another complication. The earlier sale-deeds used to establish the purchase history of these plots contain serious chronological problems: over decades they name the same set of sellers in the same order, and some purported dates are demonstrably impossible. The historians conclude that much of the supporting record was probably constructed later—around 1579 or 1588—to strengthen the property claims of Raghunātha and Jīva. The 1588 declaration is therefore historically valuable, but it does not allow us to read every earlier date in its embedded purchase history as a transparent contemporary record.</w:t>
      </w:r>
    </w:p>
    <w:p>
      <w:pPr/>
      <w:r>
        <w:t>The document calendar is nevertheless rich in landscape language. The plots are bounded by features such as a tank, wells, a nullah, a Mahādeva temple, a ghāṭ, a large neem tree and cultivated or garden ground. We should not turn those boundary descriptions into a confident modern map without further work, but they are valuable for another reason: the late-sixteenth-century documentary landscape is already more than two anonymous pools in open fields. Water, worship, trees, paths or ghāṭ-related access, wells and agricultural space are entering a legal vocabulary of place.</w:t>
      </w:r>
    </w:p>
    <w:p>
      <w:r>
        <w:t>That caution actually helps us see what the document can securely contribute. By the late sixteenth century, the land around the tank at Aritha had become important enough to the Gauḍīya community for claims to be stated formally, boundaries described, wells, trees, a nullah, a Mahādeva temple and ghāṭ-related features named, and property interests transferred from Raghunātha to Jīva. A resident devotional center was becoming an administered landscape.</w:t>
      </w:r>
    </w:p>
    <w:p>
      <w:r>
        <w:t>The three source layers now speak without needing to be flattened into one voice. Raghunātha himself says: here alone I wish to reside. Bhakti-ratnākara remembers what residence looked like in sacred biography: refusal to pursue wealth, restoration of the waters, protection of trees, life beneath a tree, Sanātana’s concern, and a first kuṭīra. The Persian documentary world shows land claims around the tank entering legal and institutional form.</w:t>
      </w:r>
    </w:p>
    <w:p>
      <w:r>
        <w:t>Together they explain why Raghunātha dāsa becomes so central to later Rādhā-kuṇḍa memory. He is not remembered merely as a saint who happened to live beside an important tīrtha. The kuṇḍa is the place his own prayer chooses as home; later tradition makes his renunciation and sevā part of the physical restoration of the waters; and documentary evidence places him within the developing property history of Aritha.</w:t>
      </w:r>
    </w:p>
    <w:p>
      <w:r>
        <w:t>Later Bhakti-ratnākara will tell Śrīnivāsa something even more revealing: rādhākuṇḍavāsa raghunāthakṛpā haite—residence at Rādhā-kuṇḍa comes through the mercy of Raghunātha. By then, one man’s desire to remain has become part of the pilgrimage theology of the place.</w:t>
      </w:r>
    </w:p>
    <w:p>
      <w:r>
        <w:t>And one man’s residence is becoming a community. Around Raghunātha appear Kṛṣṇadāsa Kavirāja, Rāghava Paṇḍita and other Vaiṣṇavas; Jīva’s Vṛndāvana center is linked to them; pilgrims and teachers begin to move between Vṛndāvana, Rādhā-kuṇḍa, Govardhana and Gauḍa. The next stage of the story is therefore not another solitary ascetic biography. It is the formation of a Gauḍīya sacred network.</w:t>
      </w:r>
    </w:p>
    <w:p/>
    <w:p>
      <w:pPr>
        <w:pStyle w:val="Kicker"/>
      </w:pPr>
      <w:r>
        <w:t>INTERNAL CONTROL APPARATUS • REMOVE OR CONVERT TO NOTES IN FINAL COMPILATION</w:t>
      </w:r>
    </w:p>
    <w:p>
      <w:pPr>
        <w:pStyle w:val="Heading1"/>
      </w:pPr>
      <w:r>
        <w:t>Sources actually used</w:t>
      </w:r>
    </w:p>
    <w:p>
      <w:r>
        <w:t>• Raghunātha dāsa Gosvāmī, Vilāpa-kusumāñjali 97 in the local Stavāvalī witness: A-level devotional residence anchor.</w:t>
      </w:r>
    </w:p>
    <w:p>
      <w:r>
        <w:t>• Narahari Cakravartī, Bhakti-ratnākara 5.530–561 as preserved and verse-controlled in RK-04 v0.3: B-level restoration, anonymous donor, Badarikāśrama dream, paṅkoddhāra/khodāila, Pāṇḍava-tree, tiger/Sanātana, and first-kuṭīra traditions.</w:t>
      </w:r>
    </w:p>
    <w:p>
      <w:r>
        <w:t>• RK-04 v0.3 §§3–8 and the master dossier v0.4: control the separation of Raghunātha’s own writing, later devotional biography, and documentary/property evidence.</w:t>
      </w:r>
    </w:p>
    <w:p>
      <w:r>
        <w:t>• Tarapada Mukherjee and Irfan Habib, “Land Rights in the Reign of Akbar: The Evidence of the Sale-deeds of Vrindaban and Aritha,” pp. 237–239 and document calendar pp. 248–249, especially Document 11/G.D. 8: D-level 1588 Aritha declaration and critical analysis of the document set.</w:t>
      </w:r>
    </w:p>
    <w:p>
      <w:r>
        <w:t>• Habib–Mukherjee, Braj Bhum in Mughal Times, used only as corroborating D-level synthesis of the Arith document problem; fuller physical-history use is reserved for RKST-12.</w:t>
      </w:r>
    </w:p>
    <w:p>
      <w:r>
        <w:t>• Entwistle, Braj: Centre of Krishna Pilgrimage, pp. 1–2, used narrowly for environmental plausibility of a more wooded/wildlife-rich early modern Braj, not to verify the tiger episode.</w:t>
      </w:r>
    </w:p>
    <w:p>
      <w:r>
        <w:t>• RKST-00 Writing Blueprint v1.0, Section 10: controls target length, A→B→D narrative order, quotation anchors, and claims not to make.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Vilāpa-kusumāñjali 97</w:t>
            </w:r>
          </w:p>
        </w:tc>
        <w:tc>
          <w:tcPr>
            <w:tcW w:type="dxa" w:w="2498"/>
            <w:vAlign w:val="top"/>
          </w:tcPr>
          <w:p>
            <w:r>
              <w:t>sva-kuṇḍaṁ tava lolākṣi … atraiva mama saṁvāsa / ihaiva mama saṁsthitiḥ</w:t>
            </w:r>
          </w:p>
        </w:tc>
        <w:tc>
          <w:tcPr>
            <w:tcW w:type="dxa" w:w="2498"/>
            <w:vAlign w:val="top"/>
          </w:tcPr>
          <w:p>
            <w:r>
              <w:t>Local Stavāvalī / RK-04</w:t>
            </w:r>
          </w:p>
        </w:tc>
        <w:tc>
          <w:tcPr>
            <w:tcW w:type="dxa" w:w="2498"/>
            <w:vAlign w:val="top"/>
          </w:tcPr>
          <w:p>
            <w:r>
              <w:t>KEEP — primary opening voice</w:t>
            </w:r>
          </w:p>
        </w:tc>
      </w:tr>
      <w:tr>
        <w:trPr>
          <w:cantSplit w:val="1"/>
        </w:trPr>
        <w:tc>
          <w:tcPr>
            <w:tcW w:type="dxa" w:w="2498"/>
            <w:vAlign w:val="top"/>
          </w:tcPr>
          <w:p>
            <w:r>
              <w:t>BR 5.530–534</w:t>
            </w:r>
          </w:p>
        </w:tc>
        <w:tc>
          <w:tcPr>
            <w:tcW w:type="dxa" w:w="2498"/>
            <w:vAlign w:val="top"/>
          </w:tcPr>
          <w:p>
            <w:r>
              <w:t>dhānyakṣetra … kuṇḍadvaya … jale pūrṇa … āpanāke dhikkāra</w:t>
            </w:r>
          </w:p>
        </w:tc>
        <w:tc>
          <w:tcPr>
            <w:tcW w:type="dxa" w:w="2498"/>
            <w:vAlign w:val="top"/>
          </w:tcPr>
          <w:p>
            <w:r>
              <w:t>RK-04 controlled working witness</w:t>
            </w:r>
          </w:p>
        </w:tc>
        <w:tc>
          <w:tcPr>
            <w:tcW w:type="dxa" w:w="2498"/>
            <w:vAlign w:val="top"/>
          </w:tcPr>
          <w:p>
            <w:r>
              <w:t>KEEP selectively — paddy-field bridge + renunciation tension</w:t>
            </w:r>
          </w:p>
        </w:tc>
      </w:tr>
      <w:tr>
        <w:trPr>
          <w:cantSplit w:val="1"/>
        </w:trPr>
        <w:tc>
          <w:tcPr>
            <w:tcW w:type="dxa" w:w="2498"/>
            <w:vAlign w:val="top"/>
          </w:tcPr>
          <w:p>
            <w:r>
              <w:t>BR 5.545–547</w:t>
            </w:r>
          </w:p>
        </w:tc>
        <w:tc>
          <w:tcPr>
            <w:tcW w:type="dxa" w:w="2498"/>
            <w:vAlign w:val="top"/>
          </w:tcPr>
          <w:p>
            <w:r>
              <w:t>paṅkoddhāra … bahu loka … khodāila yatnamate</w:t>
            </w:r>
          </w:p>
        </w:tc>
        <w:tc>
          <w:tcPr>
            <w:tcW w:type="dxa" w:w="2498"/>
            <w:vAlign w:val="top"/>
          </w:tcPr>
          <w:p>
            <w:r>
              <w:t>RK-04 controlled working witness</w:t>
            </w:r>
          </w:p>
        </w:tc>
        <w:tc>
          <w:tcPr>
            <w:tcW w:type="dxa" w:w="2498"/>
            <w:vAlign w:val="top"/>
          </w:tcPr>
          <w:p>
            <w:r>
              <w:t>KEEP — restoration terminology</w:t>
            </w:r>
          </w:p>
        </w:tc>
      </w:tr>
      <w:tr>
        <w:trPr>
          <w:cantSplit w:val="1"/>
        </w:trPr>
        <w:tc>
          <w:tcPr>
            <w:tcW w:type="dxa" w:w="2498"/>
            <w:vAlign w:val="top"/>
          </w:tcPr>
          <w:p>
            <w:r>
              <w:t>BR 5.549–553</w:t>
            </w:r>
          </w:p>
        </w:tc>
        <w:tc>
          <w:tcPr>
            <w:tcW w:type="dxa" w:w="2498"/>
            <w:vAlign w:val="top"/>
          </w:tcPr>
          <w:p>
            <w:r>
              <w:t>vṛkṣarūpe morā pañca … śyāmakuṇḍa caurasa nahila</w:t>
            </w:r>
          </w:p>
        </w:tc>
        <w:tc>
          <w:tcPr>
            <w:tcW w:type="dxa" w:w="2498"/>
            <w:vAlign w:val="top"/>
          </w:tcPr>
          <w:p>
            <w:r>
              <w:t>RK-04 controlled working witness</w:t>
            </w:r>
          </w:p>
        </w:tc>
        <w:tc>
          <w:tcPr>
            <w:tcW w:type="dxa" w:w="2498"/>
            <w:vAlign w:val="top"/>
          </w:tcPr>
          <w:p>
            <w:r>
              <w:t>PARAPHRASE + short phrase</w:t>
            </w:r>
          </w:p>
        </w:tc>
      </w:tr>
      <w:tr>
        <w:trPr>
          <w:cantSplit w:val="1"/>
        </w:trPr>
        <w:tc>
          <w:tcPr>
            <w:tcW w:type="dxa" w:w="2498"/>
            <w:vAlign w:val="top"/>
          </w:tcPr>
          <w:p>
            <w:r>
              <w:t>BR 5.554, 560–561</w:t>
            </w:r>
          </w:p>
        </w:tc>
        <w:tc>
          <w:tcPr>
            <w:tcW w:type="dxa" w:w="2498"/>
            <w:vAlign w:val="top"/>
          </w:tcPr>
          <w:p>
            <w:r>
              <w:t>vṛkṣatale rahe … rahite kuṭire … kuṭirera ārambha</w:t>
            </w:r>
          </w:p>
        </w:tc>
        <w:tc>
          <w:tcPr>
            <w:tcW w:type="dxa" w:w="2498"/>
            <w:vAlign w:val="top"/>
          </w:tcPr>
          <w:p>
            <w:r>
              <w:t>RK-04 controlled working witness</w:t>
            </w:r>
          </w:p>
        </w:tc>
        <w:tc>
          <w:tcPr>
            <w:tcW w:type="dxa" w:w="2498"/>
            <w:vAlign w:val="top"/>
          </w:tcPr>
          <w:p>
            <w:r>
              <w:t>KEEP selectively — kuṭīra tradition</w:t>
            </w:r>
          </w:p>
        </w:tc>
      </w:tr>
      <w:tr>
        <w:trPr>
          <w:cantSplit w:val="1"/>
        </w:trPr>
        <w:tc>
          <w:tcPr>
            <w:tcW w:type="dxa" w:w="2498"/>
            <w:vAlign w:val="top"/>
          </w:tcPr>
          <w:p>
            <w:r>
              <w:t>Mukherjee–Habib Doc. 11</w:t>
            </w:r>
          </w:p>
        </w:tc>
        <w:tc>
          <w:tcPr>
            <w:tcW w:type="dxa" w:w="2498"/>
            <w:vAlign w:val="top"/>
          </w:tcPr>
          <w:p>
            <w:r>
              <w:t>hiba; six plots; neighborhood of the tank; Rs.238; 2 June 1588</w:t>
            </w:r>
          </w:p>
        </w:tc>
        <w:tc>
          <w:tcPr>
            <w:tcW w:type="dxa" w:w="2498"/>
            <w:vAlign w:val="top"/>
          </w:tcPr>
          <w:p>
            <w:r>
              <w:t>Published document calendar / study</w:t>
            </w:r>
          </w:p>
        </w:tc>
        <w:tc>
          <w:tcPr>
            <w:tcW w:type="dxa" w:w="2498"/>
            <w:vAlign w:val="top"/>
          </w:tcPr>
          <w:p>
            <w:r>
              <w:t>PARAPHRASE — documentary layer</w:t>
            </w:r>
          </w:p>
        </w:tc>
      </w:tr>
    </w:tbl>
    <w:p>
      <w:pPr>
        <w:pStyle w:val="Heading2"/>
      </w:pPr>
      <w:r>
        <w:t>Claims deliberately omitted or qualified</w:t>
      </w:r>
    </w:p>
    <w:p>
      <w:r>
        <w:t>• Raghunātha is not said to have created Rādhā-kuṇḍa or Śyāma-kuṇḍa ex nihilo; the restoration is described as paṅkoddhāra plus careful excavation.</w:t>
      </w:r>
    </w:p>
    <w:p>
      <w:r>
        <w:t>• The anonymous donor in Bhakti-ratnākara remains kona eka dhanī; no personal name is supplied.</w:t>
      </w:r>
    </w:p>
    <w:p>
      <w:r>
        <w:t>• The Pāṇḍava-tree explanation is presented as B-level early pilgrimage/devotional history, not archaeological proof of lake geometry or tree age.</w:t>
      </w:r>
    </w:p>
    <w:p>
      <w:r>
        <w:t>• The tiger scene is treated as devotional biography; environmental plausibility is not evidence that the exact encounter is historically documented.</w:t>
      </w:r>
    </w:p>
    <w:p>
      <w:r>
        <w:t>• The modern Raghunātha bhajana-kuṭīra is not declared to be the unchanged first hut described in BR 5.554–561.</w:t>
      </w:r>
    </w:p>
    <w:p>
      <w:r>
        <w:t>• The 238 rupees are not described as the price paid for the two sacred lakes. Mukherjee–Habib’s 1588 declaration concerns six plots in the neighborhood of the tank.</w:t>
      </w:r>
    </w:p>
    <w:p>
      <w:r>
        <w:t>• The purported earlier purchase dates embedded in the Aritha document set are not treated as securely contemporary; Mukherjee–Habib identify likely later fabrication/backdating within the set.</w:t>
      </w:r>
    </w:p>
    <w:p>
      <w:r>
        <w:t>• The documentary property layer is not used to prove the details of Bhakti-ratnākara’s restoration story; the two evidence types are allowed to remain different.</w:t>
      </w:r>
    </w:p>
    <w:p>
      <w:pPr>
        <w:pStyle w:val="Heading2"/>
      </w:pPr>
      <w:r>
        <w:t>Open items carried forward</w:t>
      </w:r>
    </w:p>
    <w:p>
      <w:r>
        <w:t>• Direct publication-quality Bengali verification of Bhakti-ratnākara 5.530–561 remains desirable, although the controlled working text is adequate for this narrative draft.</w:t>
      </w:r>
    </w:p>
    <w:p>
      <w:r>
        <w:t>• The precise chronology between Raghunātha’s resident bhajana, the restoration remembered by Bhakti-ratnākara, and the 1588 property declaration is not established verse-by-document and should not be over-sequenced.</w:t>
      </w:r>
    </w:p>
    <w:p>
      <w:r>
        <w:t>• The exact continuity of the present Raghunātha bhajana-kuṭīra and the identity/age of surviving Pāṇḍava trees remain C/D questions for RKST-13 and historical work.</w:t>
      </w:r>
    </w:p>
    <w:p>
      <w:r>
        <w:t>• The relationship between the 1588 hiba and later Jīva institutional/property development should be developed in RKST-11/12 without turning Jīva into a demonstrated permanent Rādhā-kuṇḍa resident.</w:t>
      </w:r>
    </w:p>
    <w:p>
      <w:r>
        <w:t>• A compact RK-05 historical chronology should later integrate the 1637 document report, seventeenth-century protections, nālā/water records, 1721–22 claims, and later physical development.</w:t>
      </w:r>
    </w:p>
    <w:p>
      <w:pPr>
        <w:pStyle w:val="Heading2"/>
      </w:pPr>
      <w:r>
        <w:t>Cross-references</w:t>
      </w:r>
    </w:p>
    <w:p>
      <w:r>
        <w:t>• RKST-09 — Mahāprabhu recognizes the obscured tīrtha; RKST-10 explains the later transition to resident bhajana and restoration memory.</w:t>
      </w:r>
    </w:p>
    <w:p>
      <w:r>
        <w:t>• RKST-11 — begin with the fact that Raghunātha’s residence becomes a center around which Jīva, Kṛṣṇadāsa, Jāhnavā, Śrīnivāsa, Narottama, Rāghava and other Vaiṣṇavas form a network.</w:t>
      </w:r>
    </w:p>
    <w:p>
      <w:r>
        <w:t>• RKST-12 — return to the 1588 hiba and the Aritha document set in greater documentary detail, including later land, water, roads, dwellings, gardens and institutional administration.</w:t>
      </w:r>
    </w:p>
    <w:p>
      <w:r>
        <w:t>• RKST-13 — distinguish the B-level first-kuṭīra/Pāṇḍava-tree memories from present memorial structures and trees.</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REVIEW QUESTION FOR V0.2  </w:t>
            </w:r>
            <w:r>
              <w:t>Does the section let Raghunātha’s own desire for residence remain the devotional center while clearly changing source layers when it moves into Bhakti-ratnākara’s restoration biography and the 1588 documentary property horizon?</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RKST-10 • Draft v0.1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RKST-10 — Raghunātha dāsa Comes to Stay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