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A5A5A"/>
          <w:sz w:val="18"/>
        </w:rPr>
        <w:t>GOVARDHANA PILGRIMAGE</w:t>
      </w:r>
    </w:p>
    <w:p>
      <w:pPr>
        <w:jc w:val="center"/>
      </w:pPr>
      <w:r>
        <w:rPr>
          <w:rFonts w:ascii="Aptos" w:hAnsi="Aptos"/>
          <w:b/>
          <w:sz w:val="24"/>
        </w:rPr>
        <w:t>Rādhā-kuṇḍa Story</w:t>
      </w:r>
    </w:p>
    <w:p>
      <w:pPr>
        <w:jc w:val="center"/>
      </w:pPr>
      <w:r>
        <w:rPr>
          <w:b/>
          <w:sz w:val="20"/>
        </w:rPr>
        <w:t>RK-05</w:t>
      </w:r>
    </w:p>
    <w:p>
      <w:pPr>
        <w:pStyle w:val="Title"/>
        <w:jc w:val="center"/>
      </w:pPr>
      <w:r>
        <w:t>Historical &amp; Physical Rādhā-kuṇḍa</w:t>
      </w:r>
    </w:p>
    <w:p>
      <w:pPr>
        <w:pStyle w:val="Subtitle"/>
        <w:jc w:val="center"/>
      </w:pPr>
      <w:r>
        <w:t>Compact documentary chronology for the transition from Āriṭ to a developed pilgrimage settlement</w:t>
      </w:r>
    </w:p>
    <w:tbl>
      <w:tblPr>
        <w:tblW w:type="auto" w:w="0"/>
        <w:jc w:val="center"/>
        <w:tblLayout w:type="autofit"/>
        <w:tblLook w:firstColumn="1" w:firstRow="1" w:lastColumn="0" w:lastRow="0" w:noHBand="0" w:noVBand="1" w:val="04A0"/>
      </w:tblPr>
      <w:tblGrid>
        <w:gridCol w:w="9994"/>
      </w:tblGrid>
      <w:tr>
        <w:tc>
          <w:tcPr>
            <w:tcW w:type="dxa" w:w="9994"/>
            <w:shd w:fill="F3F3F3"/>
            <w:tcMar>
              <w:top w:w="110" w:type="dxa"/>
              <w:start w:w="160" w:type="dxa"/>
              <w:bottom w:w="110" w:type="dxa"/>
              <w:end w:w="160" w:type="dxa"/>
            </w:tcMar>
            <w:vAlign w:val="center"/>
          </w:tcPr>
          <w:p>
            <w:pPr>
              <w:jc w:val="left"/>
            </w:pPr>
            <w:r>
              <w:rPr>
                <w:sz w:val="18"/>
              </w:rPr>
              <w:t>STATUS  Research Ledger v0.1. This is the short D-level consolidation required by the RKST-00 Writing Blueprint before drafting RKST-12. It organizes the strongest existing documentary and historical evidence already in the project corpus; it is not a new open-ended source hunt.</w:t>
            </w:r>
          </w:p>
        </w:tc>
      </w:tr>
    </w:tbl>
    <w:p>
      <w:pPr>
        <w:jc w:val="center"/>
      </w:pPr>
      <w:r>
        <w:rPr>
          <w:b/>
          <w:color w:val="505050"/>
          <w:sz w:val="18"/>
        </w:rPr>
        <w:t>SOURCE CARD • METHOD AND BOUNDARY</w:t>
      </w:r>
    </w:p>
    <w:p>
      <w:pPr>
        <w:spacing w:after="80"/>
        <w:ind w:left="259" w:right="259"/>
      </w:pPr>
      <w:r>
        <w:t>Controlling layer: D — historical/documentary evidence. A-level nitya-līlā texts and B-level restoration/pilgrimage traditions remain important context, but they do not determine masonry chronology.</w:t>
      </w:r>
    </w:p>
    <w:p>
      <w:pPr>
        <w:spacing w:after="80"/>
        <w:ind w:left="259" w:right="259"/>
      </w:pPr>
      <w:r>
        <w:t>Central distinction: eternal/textual Rādhā-kuṇḍa, Mahāprabhu’s recognized earthly tīrtha, and the historically developed settlement are related but not interchangeable.</w:t>
      </w:r>
    </w:p>
    <w:p>
      <w:pPr>
        <w:spacing w:after="80"/>
        <w:ind w:left="259" w:right="259"/>
      </w:pPr>
      <w:r>
        <w:t>Non-loss rule: doubtful deed dates, retrospective ownership claims, uncertain modern footprints, and missing map evidence remain visible rather than being harmonized.</w:t>
      </w:r>
    </w:p>
    <w:p>
      <w:pPr>
        <w:pStyle w:val="Heading1"/>
        <w:keepNext w:val="1"/>
        <w:keepLines w:val="1"/>
      </w:pPr>
      <w:r>
        <w:t>1. Compact chronology</w:t>
      </w:r>
    </w:p>
    <w:p>
      <w:pPr>
        <w:spacing w:after="60"/>
      </w:pPr>
      <w:r>
        <w:rPr>
          <w:b/>
        </w:rPr>
        <w:t xml:space="preserve">Before 1588 — component deed problem. </w:t>
      </w:r>
      <w:r>
        <w:t>The surviving Aritha sale-deed set gives dates extending far earlier than the period that the editors consider credible. Mukherjee and Habib identify repeated sellers, duplicated transactions and other anachronisms and conclude that several component deeds are retrospective or fictitiously dated. Their safest reconstruction is not a year-by-year acquisition sequence but that six plots of untilled land east of Āriṭ had come into the Raghunātha/Jīva property history by the late sixteenth century. Do not use the individual early dates as a secure construction chronology.</w:t>
      </w:r>
    </w:p>
    <w:p>
      <w:pPr>
        <w:spacing w:after="120"/>
        <w:ind w:left="317"/>
      </w:pPr>
      <w:r>
        <w:rPr>
          <w:i/>
          <w:sz w:val="18"/>
        </w:rPr>
        <w:t>D — Mukherjee–Habib, “Land Rights in the Reign of Akbar,” pp. 237–239; Habib–Mukherjee, Braj Bhum in Mughal Times, “From Arith to Radhakund,” pp. 165–166.</w:t>
      </w:r>
    </w:p>
    <w:p>
      <w:pPr>
        <w:spacing w:after="60"/>
      </w:pPr>
      <w:r>
        <w:rPr>
          <w:b/>
        </w:rPr>
        <w:t xml:space="preserve">2 June 1588 — Raghunātha’s hiba to Jīva. </w:t>
      </w:r>
      <w:r>
        <w:t>Document 11/G.D. 8, dated 7 Rajab 996 AH / 2 June 1588, records six plots connected with Āriṭ and a stated aggregate earlier purchase price of Rs. 238, followed by a hiba—gift—to Jīva Gosvāmī. The Rs. 238 is not the sale price of “the two lakes,” and the 1588 legal act is not a sale.</w:t>
      </w:r>
    </w:p>
    <w:p>
      <w:pPr>
        <w:spacing w:after="120"/>
        <w:ind w:left="317"/>
      </w:pPr>
      <w:r>
        <w:rPr>
          <w:i/>
          <w:sz w:val="18"/>
        </w:rPr>
        <w:t>D — Mukherjee–Habib, pp. 237–239; document calendar pp. 248–249.</w:t>
      </w:r>
    </w:p>
    <w:p>
      <w:pPr>
        <w:spacing w:after="60"/>
      </w:pPr>
      <w:r>
        <w:rPr>
          <w:b/>
        </w:rPr>
        <w:t xml:space="preserve">1598 — an officially recognized Devala of Rādhākuṇḍa. </w:t>
      </w:r>
      <w:r>
        <w:t>Akbar’s comprehensive temple-grant record lists “Devala of Radhakund, in village Arith, pargana Sahar” with ten bighas. Whatever the precise size and fabric of the shrine, this is a strong administrative checkpoint: a religious establishment identified by the sacred name Rādhākuṇḍa was recognized within Āriṭ by 1598.</w:t>
      </w:r>
    </w:p>
    <w:p>
      <w:pPr>
        <w:spacing w:after="120"/>
        <w:ind w:left="317"/>
      </w:pPr>
      <w:r>
        <w:rPr>
          <w:i/>
          <w:sz w:val="18"/>
        </w:rPr>
        <w:t>D — Akbar farmān as reproduced/analyzed in Habib–Mukherjee, Braj Bhum in Mughal Times, pp. 83–84, 166.</w:t>
      </w:r>
    </w:p>
    <w:p>
      <w:pPr>
        <w:spacing w:after="60"/>
      </w:pPr>
      <w:r>
        <w:rPr>
          <w:b/>
        </w:rPr>
        <w:t xml:space="preserve">1606 / 1608 — Jīva’s Vṛndāvana succession system. </w:t>
      </w:r>
      <w:r>
        <w:t>Jīva’s testament and codicil concern succession to temple service, deities, books and related effects. They are not a Rādhā-kuṇḍa building record, but they explain the institutional chain that later appears in Rādhā-kuṇḍa property documents.</w:t>
      </w:r>
    </w:p>
    <w:p>
      <w:pPr>
        <w:spacing w:after="120"/>
        <w:ind w:left="317"/>
      </w:pPr>
      <w:r>
        <w:rPr>
          <w:i/>
          <w:sz w:val="18"/>
        </w:rPr>
        <w:t>D — Tarapada Mukherjee &amp; J. C. Wright, “An Early Testamentary Document in Sanskrit,” pp. 297–304.</w:t>
      </w:r>
    </w:p>
    <w:p>
      <w:pPr>
        <w:spacing w:after="60"/>
      </w:pPr>
      <w:r>
        <w:rPr>
          <w:b/>
        </w:rPr>
        <w:t xml:space="preserve">1637 — premises, dwellings, gardens, and institutional succession. </w:t>
      </w:r>
      <w:r>
        <w:t>A directly studied declaration by Kṛṣṇadāsa son of Bharatācārya—not Kṛṣṇadāsa Kavirāja—states that Rūpa, Sanātana and Raghunātha had conveyed libraries, premises, documents and property to Jīva; Jīva to Vilāsa; and Vilāsa to the declarant. The declarant conveys Rādhā-kuṇḍa premises including Raghunātha’s dwelling and the adjacent Jīva dwelling/garden to Purohita Chaudhuri Śrī Kiśora Soti by kṛṣṇārpaṇa. The same text separately mentions a prior settlement of Kṛṣṇadāsa Kavirāja’s dwelling to Haridāsa. Boundary material and associated records show a settlement already forming around the pond.</w:t>
      </w:r>
    </w:p>
    <w:p>
      <w:pPr>
        <w:spacing w:after="120"/>
        <w:ind w:left="317"/>
      </w:pPr>
      <w:r>
        <w:rPr>
          <w:i/>
          <w:sz w:val="18"/>
        </w:rPr>
        <w:t>D — Mukherjee–Wright, pp. 314–318; Habib–Mukherjee, pp. 166–167.</w:t>
      </w:r>
    </w:p>
    <w:p>
      <w:pPr>
        <w:spacing w:after="60"/>
      </w:pPr>
      <w:r>
        <w:rPr>
          <w:b/>
        </w:rPr>
        <w:t xml:space="preserve">1641 — contested land above the kuṇḍa. </w:t>
      </w:r>
      <w:r>
        <w:t>Village headmen acknowledged that land they had attempted to sell above the kuṇḍa/kuñja had already been alienated by their ancestors to the Gauḍīya property line associated with Rūpa, Sanātana and Jīva; the later sale was annulled. The record shows both land pressure and the need to defend earlier sacred-property claims.</w:t>
      </w:r>
    </w:p>
    <w:p>
      <w:pPr>
        <w:spacing w:after="120"/>
        <w:ind w:left="317"/>
      </w:pPr>
      <w:r>
        <w:rPr>
          <w:i/>
          <w:sz w:val="18"/>
        </w:rPr>
        <w:t>D — Habib–Mukherjee, “From Arith to Radhakund,” p. 167.</w:t>
      </w:r>
    </w:p>
    <w:p>
      <w:pPr>
        <w:spacing w:after="60"/>
      </w:pPr>
      <w:r>
        <w:rPr>
          <w:b/>
        </w:rPr>
        <w:t xml:space="preserve">1642 — the nālā becomes legally visible. </w:t>
      </w:r>
      <w:r>
        <w:t>Headmen Bari Khan, Chand and Girdhar undertook not to extend cultivation around the nālā associated with Rādhā-kuṇḍa and not to cut trees there. This is one of the strongest early physical-history records: the sacred water body already depended on a managed channel and a protected bank/tree environment.</w:t>
      </w:r>
    </w:p>
    <w:p>
      <w:pPr>
        <w:spacing w:after="120"/>
        <w:ind w:left="317"/>
      </w:pPr>
      <w:r>
        <w:rPr>
          <w:i/>
          <w:sz w:val="18"/>
        </w:rPr>
        <w:t>D — Habib–Mukherjee, p. 167; AH 1052 / AD 1642.</w:t>
      </w:r>
    </w:p>
    <w:p>
      <w:pPr>
        <w:spacing w:after="60"/>
      </w:pPr>
      <w:r>
        <w:rPr>
          <w:b/>
        </w:rPr>
        <w:t xml:space="preserve">1645–1646 — water, trees and access protected. </w:t>
      </w:r>
      <w:r>
        <w:t>Officials were asked to prevent cutting of trees, obstruction of the water channel/path, and interference with access to the ghāṭ. The village headmen again pledged not to cultivate the channel carrying water to the kuṇḍa and not to cut trees above it. These records document repeated hydraulic and environmental management, not merely ownership on paper.</w:t>
      </w:r>
    </w:p>
    <w:p>
      <w:pPr>
        <w:spacing w:after="120"/>
        <w:ind w:left="317"/>
      </w:pPr>
      <w:r>
        <w:rPr>
          <w:i/>
          <w:sz w:val="18"/>
        </w:rPr>
        <w:t>D — Habib–Mukherjee, pp. 167–168; Rādhākuṇḍa documents 102 and 104 in their calendar.</w:t>
      </w:r>
    </w:p>
    <w:p>
      <w:pPr>
        <w:spacing w:after="60"/>
      </w:pPr>
      <w:r>
        <w:rPr>
          <w:b/>
        </w:rPr>
        <w:t xml:space="preserve">1658 — a possible Nārāyaṇa Bhaṭṭa kuñja. </w:t>
      </w:r>
      <w:r>
        <w:t>A bilingual boundary record names a neighboring kuñj of “Nara[in] Bhatt / Narayan Bath.” Habib and Mukherjee ask whether this could be the author of Vraja-bhakti-vilāsa. The identification is plausible but not proven, so it belongs in the ledger as a hypothesis rather than a fixed resident-site claim.</w:t>
      </w:r>
    </w:p>
    <w:p>
      <w:pPr>
        <w:spacing w:after="120"/>
        <w:ind w:left="317"/>
      </w:pPr>
      <w:r>
        <w:rPr>
          <w:i/>
          <w:sz w:val="18"/>
        </w:rPr>
        <w:t>D-secondary hypothesis — Habib–Mukherjee addendum to “From Arith to Radhakund.”</w:t>
      </w:r>
    </w:p>
    <w:p>
      <w:pPr>
        <w:spacing w:after="60"/>
      </w:pPr>
      <w:r>
        <w:rPr>
          <w:b/>
        </w:rPr>
        <w:t xml:space="preserve">1667 — a Rādhā-Kṛṣṇa temple establishment. </w:t>
      </w:r>
      <w:r>
        <w:t>A land sale to Gosāins Māṇikaṇṭha and Kamal Nain identifies them as priests of the devala Rādhākrishan; Habib and Mukherjee infer that a new temple of that name had been built by this point. This adds another built religious node to the expanding settlement.</w:t>
      </w:r>
    </w:p>
    <w:p>
      <w:pPr>
        <w:spacing w:after="120"/>
        <w:ind w:left="317"/>
      </w:pPr>
      <w:r>
        <w:rPr>
          <w:i/>
          <w:sz w:val="18"/>
        </w:rPr>
        <w:t>D — Habib–Mukherjee, p. 172.</w:t>
      </w:r>
    </w:p>
    <w:p>
      <w:pPr>
        <w:spacing w:after="60"/>
      </w:pPr>
      <w:r>
        <w:rPr>
          <w:b/>
        </w:rPr>
        <w:t xml:space="preserve">1669 — residence beside the water channel. </w:t>
      </w:r>
      <w:r>
        <w:t>Because Vraj Kunwar’s kuñj stood near the nālā leading water into Rādhā-kuṇḍa, village headmen again promised not to till the adjoining land or cut trees and branches above the kuṇḍa.</w:t>
      </w:r>
    </w:p>
    <w:p>
      <w:pPr>
        <w:spacing w:after="120"/>
        <w:ind w:left="317"/>
      </w:pPr>
      <w:r>
        <w:rPr>
          <w:i/>
          <w:sz w:val="18"/>
        </w:rPr>
        <w:t>D — Habib–Mukherjee, documentary history entry for Vraj Kunwar; AH 1080 / AD 1669.</w:t>
      </w:r>
    </w:p>
    <w:p>
      <w:pPr>
        <w:spacing w:after="60"/>
      </w:pPr>
      <w:r>
        <w:rPr>
          <w:b/>
        </w:rPr>
        <w:t xml:space="preserve">1676 — land, gardens, and the sacred name. </w:t>
      </w:r>
      <w:r>
        <w:t>Vraj Kunwar and Paramānanda, described as residents of Rādhā-kuṇḍa, obtained protection against interference with their land and garden. A 1676 parwāna uses the village name Rādhākuṇḍa without Āriṭ, an important checkpoint in the gradual replacement of the old village name by the sacred one.</w:t>
      </w:r>
    </w:p>
    <w:p>
      <w:pPr>
        <w:spacing w:after="120"/>
        <w:ind w:left="317"/>
      </w:pPr>
      <w:r>
        <w:rPr>
          <w:i/>
          <w:sz w:val="18"/>
        </w:rPr>
        <w:t>D — Habib–Mukherjee, pp. 176, 201.</w:t>
      </w:r>
    </w:p>
    <w:p>
      <w:pPr>
        <w:spacing w:after="60"/>
      </w:pPr>
      <w:r>
        <w:rPr>
          <w:b/>
        </w:rPr>
        <w:t xml:space="preserve">1710 — a materially described kuñj. </w:t>
      </w:r>
      <w:r>
        <w:t>A kuñj sold to Rādhā Mohan is described as enclosed by brick and mud walls and partly roofed with wood. The wording gives a rare glimpse of actual building fabric around the sacred tanks rather than a purely legal abstraction.</w:t>
      </w:r>
    </w:p>
    <w:p>
      <w:pPr>
        <w:spacing w:after="120"/>
        <w:ind w:left="317"/>
      </w:pPr>
      <w:r>
        <w:rPr>
          <w:i/>
          <w:sz w:val="18"/>
        </w:rPr>
        <w:t>D — Habib–Mukherjee, p. 172.</w:t>
      </w:r>
    </w:p>
    <w:p>
      <w:pPr>
        <w:spacing w:after="60"/>
      </w:pPr>
      <w:r>
        <w:rPr>
          <w:b/>
        </w:rPr>
        <w:t xml:space="preserve">1713–1716 — access, pilgrimage authority, and name transition. </w:t>
      </w:r>
      <w:r>
        <w:t>Village headmen made declarations concerning control of access to Rādhā-kuṇḍa and Vaiṣṇava assemblies. The records show that the kuṇḍa’s growing sanctity now mattered to village governance and pilgrimage traffic. At the same time, some local documents still used Āriṭ, showing that the name change was gradual rather than instantaneous.</w:t>
      </w:r>
    </w:p>
    <w:p>
      <w:pPr>
        <w:spacing w:after="120"/>
        <w:ind w:left="317"/>
      </w:pPr>
      <w:r>
        <w:rPr>
          <w:i/>
          <w:sz w:val="18"/>
        </w:rPr>
        <w:t>D — Habib–Mukherjee, pp. 170–171, 176.</w:t>
      </w:r>
    </w:p>
    <w:p>
      <w:pPr>
        <w:spacing w:after="60"/>
      </w:pPr>
      <w:r>
        <w:rPr>
          <w:b/>
        </w:rPr>
        <w:t xml:space="preserve">1717 — gardens, walls, neighbors, and a public road. </w:t>
      </w:r>
      <w:r>
        <w:t>Jagannātha purchased the Ghasi Ram garden, whose boundaries included another proprietor’s land, the wall of a Brāhmaṇa’s kuñj, the land of a shoemaker, and a public road. The landscape is now recognizably mixed and settlement-like: gardens, walled religious retreats, artisan property and roads coexist around the sacred center.</w:t>
      </w:r>
    </w:p>
    <w:p>
      <w:pPr>
        <w:spacing w:after="120"/>
        <w:ind w:left="317"/>
      </w:pPr>
      <w:r>
        <w:rPr>
          <w:i/>
          <w:sz w:val="18"/>
        </w:rPr>
        <w:t>D — Habib–Mukherjee, p. 173.</w:t>
      </w:r>
    </w:p>
    <w:p>
      <w:pPr>
        <w:spacing w:after="60"/>
      </w:pPr>
      <w:r>
        <w:rPr>
          <w:b/>
        </w:rPr>
        <w:t xml:space="preserve">1720–1722 — retrospective Jīva ownership claims. </w:t>
      </w:r>
      <w:r>
        <w:t>Gopī Raman, claiming succession from Jīva, told officials that an ancestor had purchased land at Āriṭ/Rādhā-kuṇḍa and established a pond and gardens there; later orders protect the claimed land against encroachment and tree cutting. A later local English reproduction expands this into language that Jīva “built lakes and gardens.” For this project, the archival claims establish a seventeenth/eighteenth-century legal memory of Jīva-associated ownership and improvements; they do not by themselves overturn Bhakti-ratnākara’s Raghunātha-centered restoration tradition or prove that Jīva personally excavated the sacred lakes.</w:t>
      </w:r>
    </w:p>
    <w:p>
      <w:pPr>
        <w:spacing w:after="120"/>
        <w:ind w:left="317"/>
      </w:pPr>
      <w:r>
        <w:rPr>
          <w:i/>
          <w:sz w:val="18"/>
        </w:rPr>
        <w:t>D, with C-level reproduction caution — Habib–Mukherjee, pp. 171–172; Ananta Dāsa Bābājī, later reproduced 1721–22 translations.</w:t>
      </w:r>
    </w:p>
    <w:p>
      <w:pPr>
        <w:spacing w:after="60"/>
      </w:pPr>
      <w:r>
        <w:rPr>
          <w:b/>
        </w:rPr>
        <w:t xml:space="preserve">After 1725 — spoil mounds and pressure on sacred land. </w:t>
      </w:r>
      <w:r>
        <w:t>A complaint concerning land south-west of Rādhā-kuṇḍa describes mounds of earth said to have been dug out when the kuṇḍa was excavated. Whatever their precise date, the statement shows that excavation spoil had become part of the remembered physical topography and that land nearest the tanks had become valuable and contested.</w:t>
      </w:r>
    </w:p>
    <w:p>
      <w:pPr>
        <w:spacing w:after="120"/>
        <w:ind w:left="317"/>
      </w:pPr>
      <w:r>
        <w:rPr>
          <w:i/>
          <w:sz w:val="18"/>
        </w:rPr>
        <w:t>D — Habib–Mukherjee, p. 172.</w:t>
      </w:r>
    </w:p>
    <w:p>
      <w:pPr>
        <w:spacing w:after="60"/>
      </w:pPr>
      <w:r>
        <w:rPr>
          <w:b/>
        </w:rPr>
        <w:t xml:space="preserve">Early nineteenth century — major masonry rebuilding. </w:t>
      </w:r>
      <w:r>
        <w:t>Entwistle attributes major masonry work at Rādhā-kuṇḍa to Kṛṣṇa Chandra Sinha, Lala Babu (1775–1820), stating that he provided the kuṇḍa with masonry ghāṭs; elsewhere Entwistle says the surrounding steps and causeway were reconstructed by him. This is an important rebuilding anchor, not proof that no masonry existed earlier and not a license to date every present stone element to one campaign.</w:t>
      </w:r>
    </w:p>
    <w:p>
      <w:pPr>
        <w:spacing w:after="120"/>
        <w:ind w:left="317"/>
      </w:pPr>
      <w:r>
        <w:rPr>
          <w:i/>
          <w:sz w:val="18"/>
        </w:rPr>
        <w:t>D-secondary — A. W. Entwistle, Braj: Centre of Krishna Pilgrimage, pp. 215–216, 338–340.</w:t>
      </w:r>
    </w:p>
    <w:p>
      <w:pPr>
        <w:pStyle w:val="Heading1"/>
        <w:keepNext w:val="1"/>
        <w:keepLines w:val="1"/>
      </w:pPr>
      <w:r>
        <w:t>2. Controlling rulings for RKST-12</w:t>
      </w:r>
    </w:p>
    <w:p>
      <w:pPr>
        <w:ind w:left="259" w:hanging="173"/>
      </w:pPr>
      <w:r>
        <w:rPr>
          <w:b/>
        </w:rPr>
        <w:t xml:space="preserve">• </w:t>
      </w:r>
      <w:r>
        <w:t>The 1588 deed controls the legal claim: six plots, Rs. 238 aggregate earlier purchase price, hiba to Jīva. Never say that Raghunātha bought both sacred lakes for Rs. 238.</w:t>
      </w:r>
    </w:p>
    <w:p>
      <w:pPr>
        <w:ind w:left="259" w:hanging="173"/>
      </w:pPr>
      <w:r>
        <w:rPr>
          <w:b/>
        </w:rPr>
        <w:t xml:space="preserve">• </w:t>
      </w:r>
      <w:r>
        <w:t>The 1637 declarant Kṛṣṇadāsa son of Bharatācārya is not Kṛṣṇadāsa Kavirāja. The Kavirāja’s dwelling is a separate item in the same documentary world.</w:t>
      </w:r>
    </w:p>
    <w:p>
      <w:pPr>
        <w:ind w:left="259" w:hanging="173"/>
      </w:pPr>
      <w:r>
        <w:rPr>
          <w:b/>
        </w:rPr>
        <w:t xml:space="preserve">• </w:t>
      </w:r>
      <w:r>
        <w:t>The nālā records of 1642 and 1645–46 are central physical evidence. They show managed water supply/drainage, protected land, trees, and ghāṭ access.</w:t>
      </w:r>
    </w:p>
    <w:p>
      <w:pPr>
        <w:ind w:left="259" w:hanging="173"/>
      </w:pPr>
      <w:r>
        <w:rPr>
          <w:b/>
        </w:rPr>
        <w:t xml:space="preserve">• </w:t>
      </w:r>
      <w:r>
        <w:t>The later claims that Jīva or his line “established a pond and gardens” are retrospective property language. They may reflect legal ownership, maintenance, improvements, or competing institutional memory; do not force them into a single excavation narrative.</w:t>
      </w:r>
    </w:p>
    <w:p>
      <w:pPr>
        <w:ind w:left="259" w:hanging="173"/>
      </w:pPr>
      <w:r>
        <w:rPr>
          <w:b/>
        </w:rPr>
        <w:t xml:space="preserve">• </w:t>
      </w:r>
      <w:r>
        <w:t>The 1842 heading in the later local history does not control chronology; the archival nālā/tree undertaking is AH 1052 / AD 1642.</w:t>
      </w:r>
    </w:p>
    <w:p>
      <w:pPr>
        <w:ind w:left="259" w:hanging="173"/>
      </w:pPr>
      <w:r>
        <w:rPr>
          <w:b/>
        </w:rPr>
        <w:t xml:space="preserve">• </w:t>
      </w:r>
      <w:r>
        <w:t>Lala Babu is a strong nineteenth-century masonry-reconstruction anchor, but the project still lacks a secure first-construction chronology for every ghāṭ, step, and the saṅgama/causeway.</w:t>
      </w:r>
    </w:p>
    <w:p>
      <w:pPr>
        <w:ind w:left="259" w:hanging="173"/>
      </w:pPr>
      <w:r>
        <w:rPr>
          <w:b/>
        </w:rPr>
        <w:t xml:space="preserve">• </w:t>
      </w:r>
      <w:r>
        <w:t>Govinda-līlāmṛta’s jeweled setu and tīrthas remain A-level nitya-līlā geography and are not evidence for early-modern masonry.</w:t>
      </w:r>
    </w:p>
    <w:p>
      <w:pPr>
        <w:ind w:left="259" w:hanging="173"/>
      </w:pPr>
      <w:r>
        <w:rPr>
          <w:b/>
        </w:rPr>
        <w:t xml:space="preserve">• </w:t>
      </w:r>
      <w:r>
        <w:t>Exact historical spatial overlay remains open because the desired Survey of India sheet 54 E/6 and a complete map sequence are not yet in the project corpus.</w:t>
      </w:r>
    </w:p>
    <w:p>
      <w:pPr>
        <w:pStyle w:val="Heading1"/>
        <w:keepNext w:val="1"/>
        <w:keepLines w:val="1"/>
      </w:pPr>
      <w:r>
        <w:t>3. Source stack used in this consolidation</w:t>
      </w:r>
    </w:p>
    <w:p>
      <w:pPr>
        <w:ind w:left="259" w:hanging="173"/>
      </w:pPr>
      <w:r>
        <w:rPr>
          <w:b/>
        </w:rPr>
        <w:t xml:space="preserve">• </w:t>
      </w:r>
      <w:r>
        <w:t>Tarapada Mukherjee and Irfan Habib, “Land Rights in the Reign of Akbar: the Evidence of the Sale-deeds of Vrindaban and Arith,” especially pp. 237–239 and document calendar pp. 248–249.</w:t>
      </w:r>
    </w:p>
    <w:p>
      <w:pPr>
        <w:ind w:left="259" w:hanging="173"/>
      </w:pPr>
      <w:r>
        <w:rPr>
          <w:b/>
        </w:rPr>
        <w:t xml:space="preserve">• </w:t>
      </w:r>
      <w:r>
        <w:t>Tarapada Mukherjee and J. C. Wright, “An Early Testamentary Document in Sanskrit,” BSOAS 42.2 (1979), pp. 297–320, especially pp. 314–318.</w:t>
      </w:r>
    </w:p>
    <w:p>
      <w:pPr>
        <w:ind w:left="259" w:hanging="173"/>
      </w:pPr>
      <w:r>
        <w:rPr>
          <w:b/>
        </w:rPr>
        <w:t xml:space="preserve">• </w:t>
      </w:r>
      <w:r>
        <w:t>Irfan Habib and Tarapada Mukherjee, Braj Bhum in Mughal Times, especially “From Arith to Radhakund” and the documentary-history entries for Jīva’s successors.</w:t>
      </w:r>
    </w:p>
    <w:p>
      <w:pPr>
        <w:ind w:left="259" w:hanging="173"/>
      </w:pPr>
      <w:r>
        <w:rPr>
          <w:b/>
        </w:rPr>
        <w:t xml:space="preserve">• </w:t>
      </w:r>
      <w:r>
        <w:t>A. W. Entwistle, Braj: Centre of Krishna Pilgrimage, especially pp. 215–216 and 338–340.</w:t>
      </w:r>
    </w:p>
    <w:p>
      <w:pPr>
        <w:ind w:left="259" w:hanging="173"/>
      </w:pPr>
      <w:r>
        <w:rPr>
          <w:b/>
        </w:rPr>
        <w:t xml:space="preserve">• </w:t>
      </w:r>
      <w:r>
        <w:t>Ananta Dāsa Bābājī, The Glory and Heritage of Śrī Śrī Rādhākuṇḍa, used only as a later transmission witness where archival documents are not directly in hand; its 1642/1842 inconsistency is not allowed to control chronology.</w:t>
      </w:r>
    </w:p>
    <w:p>
      <w:pPr>
        <w:ind w:left="259" w:hanging="173"/>
      </w:pPr>
      <w:r>
        <w:rPr>
          <w:b/>
        </w:rPr>
        <w:t xml:space="preserve">• </w:t>
      </w:r>
      <w:r>
        <w:t>RKST-00 Writing Blueprint v1.0 and the Project Readiness &amp; Continuity Report, used as project-level source-control documents.</w:t>
      </w:r>
    </w:p>
    <w:p>
      <w:pPr>
        <w:pStyle w:val="Heading1"/>
        <w:keepNext w:val="1"/>
        <w:keepLines w:val="1"/>
      </w:pPr>
      <w:r>
        <w:t>4. Open historical-physical questions</w:t>
      </w:r>
    </w:p>
    <w:p>
      <w:pPr>
        <w:ind w:left="259" w:hanging="173"/>
      </w:pPr>
      <w:r>
        <w:rPr>
          <w:b/>
        </w:rPr>
        <w:t xml:space="preserve">• </w:t>
      </w:r>
      <w:r>
        <w:t>Obtain/directly inspect the best Persian facsimile/transcription for the 1588 hiba and map the six plots against later property boundaries.</w:t>
      </w:r>
    </w:p>
    <w:p>
      <w:pPr>
        <w:ind w:left="259" w:hanging="173"/>
      </w:pPr>
      <w:r>
        <w:rPr>
          <w:b/>
        </w:rPr>
        <w:t xml:space="preserve">• </w:t>
      </w:r>
      <w:r>
        <w:t>Clarify whether Entwistle’s Bansal-transcribed 1637 settlement record is identical with, derived from, or distinct from the 1637 declaration published by Mukherjee–Wright.</w:t>
      </w:r>
    </w:p>
    <w:p>
      <w:pPr>
        <w:ind w:left="259" w:hanging="173"/>
      </w:pPr>
      <w:r>
        <w:rPr>
          <w:b/>
        </w:rPr>
        <w:t xml:space="preserve">• </w:t>
      </w:r>
      <w:r>
        <w:t>Trace the first secure masonry phases of the twin-kuṇḍa banks, ghāṭs, stairs, water-control works and saṅgama/causeway before Lala Babu’s rebuilding.</w:t>
      </w:r>
    </w:p>
    <w:p>
      <w:pPr>
        <w:ind w:left="259" w:hanging="173"/>
      </w:pPr>
      <w:r>
        <w:rPr>
          <w:b/>
        </w:rPr>
        <w:t xml:space="preserve">• </w:t>
      </w:r>
      <w:r>
        <w:t>Recover a sequence of historical maps, especially Survey of India sheet 54 E/6, to test settlement expansion and old/new watercourse alignments.</w:t>
      </w:r>
    </w:p>
    <w:p>
      <w:pPr>
        <w:ind w:left="259" w:hanging="173"/>
      </w:pPr>
      <w:r>
        <w:rPr>
          <w:b/>
        </w:rPr>
        <w:t xml:space="preserve">• </w:t>
      </w:r>
      <w:r>
        <w:t>Date principal surviving temples, samādhis, bhajana-kuṭīras and baithaks individually rather than treating the late-modern perimeter as one period.</w:t>
      </w:r>
    </w:p>
    <w:p>
      <w:pPr>
        <w:pStyle w:val="Heading2"/>
        <w:keepNext w:val="1"/>
        <w:keepLines w:val="1"/>
      </w:pPr>
      <w:r>
        <w:t>Completion ruling</w:t>
      </w:r>
    </w:p>
    <w:p>
      <w:r>
        <w:t>The short RK-05 consolidation required by RKST-00 is complete enough to draft RKST-12. The strongest narrative spine is now secure: late-sixteenth-century land transfer and temple recognition; 1637 named premises and succession; 1640s water/tree/access management; later seventeenth-century residential and temple growth; early-eighteenth-century roads, gardens, walls, access disputes and name change; and nineteenth-century masonry rebuilding. Exact first-construction dates for individual ghāṭs and the causeway remain open.</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RK-05 • Research Ledger v0.1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RKST-10 — Raghunātha dāsa Comes to Stay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