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jc w:val="center"/>
      </w:pPr>
      <w:r>
        <w:t>GOVARDHANA PILGRIMAGE</w:t>
      </w:r>
    </w:p>
    <w:p>
      <w:pPr>
        <w:jc w:val="center"/>
      </w:pPr>
      <w:r>
        <w:rPr>
          <w:b/>
          <w:color w:val="B28B45"/>
          <w:sz w:val="30"/>
        </w:rPr>
        <w:t>Rādhā-kuṇḍa Story</w:t>
      </w:r>
    </w:p>
    <w:p>
      <w:pPr>
        <w:jc w:val="center"/>
      </w:pPr>
      <w:r>
        <w:rPr>
          <w:b/>
          <w:color w:val="7B2638"/>
          <w:sz w:val="56"/>
        </w:rPr>
        <w:t>RKST-04</w:t>
      </w:r>
    </w:p>
    <w:p>
      <w:pPr>
        <w:jc w:val="center"/>
      </w:pPr>
      <w:r>
        <w:rPr>
          <w:b/>
          <w:color w:val="7B2638"/>
          <w:sz w:val="44"/>
        </w:rPr>
        <w:t>What the Manifestation Reveals</w:t>
      </w:r>
    </w:p>
    <w:p>
      <w:pPr>
        <w:jc w:val="center"/>
      </w:pPr>
      <w:r>
        <w:rPr>
          <w:i/>
          <w:sz w:val="23"/>
        </w:rPr>
        <w:t>Grace, mutual dearness, eternal play, and devotional participation</w:t>
      </w:r>
    </w:p>
    <w:p/>
    <w:tbl>
      <w:tblPr>
        <w:tblW w:type="auto" w:w="0"/>
        <w:jc w:val="center"/>
        <w:tblLook w:firstColumn="1" w:firstRow="1" w:lastColumn="0" w:lastRow="0" w:noHBand="0" w:noVBand="1" w:val="04A0"/>
      </w:tblPr>
      <w:tblGrid>
        <w:gridCol w:w="9994"/>
      </w:tblGrid>
      <w:tr>
        <w:tc>
          <w:tcPr>
            <w:tcW w:type="dxa" w:w="9994"/>
            <w:shd w:fill="F3EBDD"/>
          </w:tcPr>
          <w:p>
            <w:r>
              <w:t>APPROVED STATUS  Final v1.0. Reader-facing prose approved by the user and then passed through source, quotation, evidence-layer, continuity, literary, open-item, and apparatus audits.</w:t>
            </w:r>
          </w:p>
        </w:tc>
      </w:tr>
    </w:tbl>
    <w:p>
      <w:pPr>
        <w:jc w:val="center"/>
      </w:pPr>
      <w:r>
        <w:rPr>
          <w:color w:val="5A5A5A"/>
          <w:sz w:val="19"/>
        </w:rPr>
        <w:t>Primary/Gosvāmī theology dominates. Interpretive synthesis is kept visible in the attached control apparatus.</w:t>
      </w:r>
    </w:p>
    <w:p>
      <w:r>
        <w:br w:type="page"/>
      </w:r>
    </w:p>
    <w:p>
      <w:pPr>
        <w:pStyle w:val="Kicker"/>
      </w:pPr>
      <w:r>
        <w:t>SOURCE CARD • THEOLOGICAL CONTROLS CHECKED BEFORE DRAFTING</w:t>
      </w:r>
    </w:p>
    <w:p>
      <w:pPr>
        <w:pStyle w:val="Heading1"/>
      </w:pPr>
      <w:r>
        <w:t>Rūpa and Raghunātha: the principal interpretive witnesses</w:t>
      </w:r>
    </w:p>
    <w:p>
      <w:r>
        <w:t>The Writing Blueprint makes RKST-04 the most interpretive section in the first narrative movement. Its governing rule is therefore strict: every major theological claim must either rest on direct wording in a primary/Gosvāmī source or be identified in the internal notes as project synthesis. The quotations below were checked against the local Stavāvalī and Mathurā-māhātmya witnesses, the local Govinda-līlāmṛta mūla, and Vedabase for Upadeśāmṛta and Caitanya-caritāmṛta on 22 August 2026.</w:t>
      </w:r>
    </w:p>
    <w:p>
      <w:r>
        <w:rPr>
          <w:b/>
          <w:color w:val="7B2638"/>
        </w:rPr>
        <w:t>Rādhā-kuṇḍāṣṭaka 3</w:t>
      </w:r>
    </w:p>
    <w:p>
      <w:pPr>
        <w:ind w:left="317"/>
      </w:pPr>
      <w:r>
        <w:rPr>
          <w:i/>
        </w:rPr>
        <w:t>agha-ripur api yatnād atra devyāḥ prasāda- / prasara-kṛta-kaṭākṣa-prāpti-kāmaḥ prakāmam | anusarati yad uccaiḥ snāna-sevānubandhais / tad ati-surabhi rādhā-kuṇḍam evāśrayo me ||3||</w:t>
      </w:r>
    </w:p>
    <w:p>
      <w:pPr>
        <w:ind w:left="317"/>
      </w:pPr>
      <w:r>
        <w:t>Even Kṛṣṇa, the enemy of Agha, eagerly follows this lake through the bonds of bathing and service, longing to obtain the gracious sidelong glance flowing from the Goddess. May that exquisitely fragrant Rādhā-kuṇḍa be my shelter.</w:t>
      </w:r>
    </w:p>
    <w:p>
      <w:pPr>
        <w:ind w:left="317"/>
      </w:pPr>
      <w:r>
        <w:rPr>
          <w:b/>
          <w:color w:val="7B2638"/>
        </w:rPr>
        <w:t xml:space="preserve">Research use — </w:t>
      </w:r>
      <w:r>
        <w:t>Principal grace/service anchor. Raghunātha depicts even Kṛṣṇa in relation to Rādhā-kuṇḍa through snāna, sevā, prasāda, and Her kaṭākṣa.</w:t>
      </w:r>
    </w:p>
    <w:p>
      <w:r>
        <w:rPr>
          <w:b/>
          <w:color w:val="7B2638"/>
        </w:rPr>
        <w:t>Mathurā-māhātmya 421, decisive half-verse</w:t>
      </w:r>
    </w:p>
    <w:p>
      <w:pPr>
        <w:ind w:left="317"/>
      </w:pPr>
      <w:r>
        <w:rPr>
          <w:i/>
        </w:rPr>
        <w:t>yathā rādhā priyā viṣṇos / tasyāḥ kuṇḍaṁ priyaṁ tathā</w:t>
      </w:r>
    </w:p>
    <w:p>
      <w:pPr>
        <w:ind w:left="317"/>
      </w:pPr>
      <w:r>
        <w:t>As Rādhā is dear to Viṣṇu—that is, to Kṛṣṇa—so Her kuṇḍa is dear to Him.</w:t>
      </w:r>
    </w:p>
    <w:p>
      <w:pPr>
        <w:ind w:left="317"/>
      </w:pPr>
      <w:r>
        <w:rPr>
          <w:b/>
          <w:color w:val="7B2638"/>
        </w:rPr>
        <w:t xml:space="preserve">Research use — </w:t>
      </w:r>
      <w:r>
        <w:t>The most concise dearness formula; the kuṇḍa’s status is relational to Rādhā Herself.</w:t>
      </w:r>
    </w:p>
    <w:p>
      <w:r>
        <w:rPr>
          <w:b/>
          <w:color w:val="7B2638"/>
        </w:rPr>
        <w:t>Upadeśāmṛta 11</w:t>
      </w:r>
    </w:p>
    <w:p>
      <w:pPr>
        <w:ind w:left="317"/>
      </w:pPr>
      <w:r>
        <w:rPr>
          <w:i/>
        </w:rPr>
        <w:t>kṛṣṇasyoccaiḥ praṇaya-vasatiḥ preyasībhyo ’pi rādhā / kuṇḍaṁ cāsyā munibhir abhitas tādṛg eva vyadhāyi | yat preṣṭhair apy alam asulabhaṁ kiṁ punar bhakti-bhājāṁ / tat premedaṁ sakṛd api saraḥ snātur āviṣkaroti ||11||</w:t>
      </w:r>
    </w:p>
    <w:p>
      <w:pPr>
        <w:ind w:left="317"/>
      </w:pPr>
      <w:r>
        <w:t>Rādhā is the supreme abode of Kṛṣṇa’s love among His beloveds, and the sages describe Her lake as similarly dear in every respect. This lake reveals in one who bathes even once the prema that is exceedingly difficult to attain even for Kṛṣṇa’s dearest ones.</w:t>
      </w:r>
    </w:p>
    <w:p>
      <w:pPr>
        <w:ind w:left="317"/>
      </w:pPr>
      <w:r>
        <w:rPr>
          <w:b/>
          <w:color w:val="7B2638"/>
        </w:rPr>
        <w:t xml:space="preserve">Research use — </w:t>
      </w:r>
      <w:r>
        <w:t>Bathing is tied directly to prema; verses 9–10 supply the surrounding language of sevā, dearness, and shelter.</w:t>
      </w:r>
    </w:p>
    <w:p>
      <w:r>
        <w:rPr>
          <w:b/>
          <w:color w:val="7B2638"/>
        </w:rPr>
        <w:t>Rādhā-kuṇḍāṣṭaka 5</w:t>
      </w:r>
    </w:p>
    <w:p>
      <w:pPr>
        <w:ind w:left="317"/>
      </w:pPr>
      <w:r>
        <w:rPr>
          <w:i/>
        </w:rPr>
        <w:t>api jana iha kaścid yasya sevā-prasādaiḥ / praṇaya-sura-latā syāt tasya goṣṭhendra-sūnoḥ | sapadi kila mad-īśā-dāsya-puṣpa-praśasyā / tad ati-surabhi rādhā-kuṇḍam evāśrayo me ||5||</w:t>
      </w:r>
    </w:p>
    <w:p>
      <w:pPr>
        <w:ind w:left="317"/>
      </w:pPr>
      <w:r>
        <w:t>For anyone who receives the grace of serving it, the divine creeper of affection for the son of the lord of the cowherds arises and is quickly adorned with the celebrated blossom of service to my Mistress. May that exquisitely fragrant Rādhā-kuṇḍa be my shelter.</w:t>
      </w:r>
    </w:p>
    <w:p>
      <w:pPr>
        <w:ind w:left="317"/>
      </w:pPr>
      <w:r>
        <w:rPr>
          <w:b/>
          <w:color w:val="7B2638"/>
        </w:rPr>
        <w:t xml:space="preserve">Research use — </w:t>
      </w:r>
      <w:r>
        <w:t>The devotional culmination is Rādhā-dāsya, not generic sacred merit.</w:t>
      </w:r>
    </w:p>
    <w:p>
      <w:r>
        <w:rPr>
          <w:b/>
          <w:color w:val="7B2638"/>
        </w:rPr>
        <w:t>Rādhā-kuṇḍāṣṭaka 8</w:t>
      </w:r>
    </w:p>
    <w:p>
      <w:pPr>
        <w:ind w:left="317"/>
      </w:pPr>
      <w:r>
        <w:rPr>
          <w:i/>
        </w:rPr>
        <w:t>anudinam ati-raṅgaiḥ prema-mattāli-saṅghair / vara-sarasija-gandhair hāri-vāri-prapūrṇe | viharata iha yasmin dam-patī tau pramattau / tad ati-surabhi rādhā-kuṇḍam evāśrayo me ||8||</w:t>
      </w:r>
    </w:p>
    <w:p>
      <w:pPr>
        <w:ind w:left="317"/>
      </w:pPr>
      <w:r>
        <w:t>Every day, in its captivating waters filled with the fragrance of excellent lotuses, the Divine Couple sport amid assemblies of companions intoxicated with love. May that exquisitely fragrant Rādhā-kuṇḍa be my shelter.</w:t>
      </w:r>
    </w:p>
    <w:p>
      <w:pPr>
        <w:ind w:left="317"/>
      </w:pPr>
      <w:r>
        <w:rPr>
          <w:b/>
          <w:color w:val="7B2638"/>
        </w:rPr>
        <w:t xml:space="preserve">Research use — </w:t>
      </w:r>
      <w:r>
        <w:t>anudinam, “every day,” makes the bridge from manifestation to nitya-līlā explicit.</w:t>
      </w:r>
    </w:p>
    <w:p>
      <w:r>
        <w:rPr>
          <w:b/>
          <w:color w:val="7B2638"/>
        </w:rPr>
        <w:t>Caitanya-caritāmṛta Madhya 18.9</w:t>
      </w:r>
    </w:p>
    <w:p>
      <w:pPr>
        <w:ind w:left="317"/>
      </w:pPr>
      <w:r>
        <w:rPr>
          <w:i/>
        </w:rPr>
        <w:t>yei kuṇḍe nitya kṛṣṇa rādhikāra saṅge / jale jala-keli kare, tīre rāsa-raṅge</w:t>
      </w:r>
    </w:p>
    <w:p>
      <w:pPr>
        <w:ind w:left="317"/>
      </w:pPr>
      <w:r>
        <w:t>In this kuṇḍa Kṛṣṇa daily performs water-play with Rādhikā, and on its bank He delights in rāsa.</w:t>
      </w:r>
    </w:p>
    <w:p>
      <w:pPr>
        <w:ind w:left="317"/>
      </w:pPr>
      <w:r>
        <w:rPr>
          <w:b/>
          <w:color w:val="7B2638"/>
        </w:rPr>
        <w:t xml:space="preserve">Research use — </w:t>
      </w:r>
      <w:r>
        <w:t>Vedabase verification confirms nitya = “daily” in the word-for-word. This is a compact Gauḍīya reception of the lake as an ongoing līlā-place.</w:t>
      </w:r>
    </w:p>
    <w:p>
      <w:r>
        <w:rPr>
          <w:b/>
          <w:color w:val="7B2638"/>
        </w:rPr>
        <w:t>Govinda-līlāmṛta 7.102 — project mūla witness</w:t>
      </w:r>
    </w:p>
    <w:p>
      <w:pPr>
        <w:ind w:left="317"/>
      </w:pPr>
      <w:r>
        <w:rPr>
          <w:i/>
        </w:rPr>
        <w:t>śrī-rādheva hares tadīya-sarasī preṣṭhādbhutaiḥ svair guṇair / yasyāṁ śrī-yuta-mādhavendur aniśaṁ premṇā tayā krīḍati | premāsmin bata rādhikeva labhate yasmin sakṛt snāna-kṛt / tat tasyā mahimā tathā madhurimā kenāstu varṇyaḥ kṣitau ||102||</w:t>
      </w:r>
    </w:p>
    <w:p>
      <w:pPr>
        <w:ind w:left="317"/>
      </w:pPr>
      <w:r>
        <w:t>By its own wonderful qualities Her lake is as dear to Hari as Śrī Rādhā. There the moonlike Mādhava plays incessantly with Her in love. One who bathes there even once obtains love for Him like Rādhikā’s. Who on earth can describe its greatness and sweetness?</w:t>
      </w:r>
    </w:p>
    <w:p>
      <w:pPr>
        <w:ind w:left="317"/>
      </w:pPr>
      <w:r>
        <w:rPr>
          <w:b/>
          <w:color w:val="7B2638"/>
        </w:rPr>
        <w:t xml:space="preserve">Research use — </w:t>
      </w:r>
      <w:r>
        <w:t>Cross-text confirmation of dearness, incessant play, bathing, and prema. The Caitanya-caritāmṛta witness of this verse has variants and is kept distinct.</w:t>
      </w:r>
    </w:p>
    <w:tbl>
      <w:tblPr>
        <w:tblW w:type="auto" w:w="0"/>
        <w:jc w:val="center"/>
        <w:tblLook w:firstColumn="1" w:firstRow="1" w:lastColumn="0" w:lastRow="0" w:noHBand="0" w:noVBand="1" w:val="04A0"/>
      </w:tblPr>
      <w:tblGrid>
        <w:gridCol w:w="9994"/>
      </w:tblGrid>
      <w:tr>
        <w:tc>
          <w:tcPr>
            <w:tcW w:type="dxa" w:w="9994"/>
            <w:shd w:fill="F3EBDD"/>
          </w:tcPr>
          <w:p>
            <w:pPr>
              <w:spacing w:after="40"/>
            </w:pPr>
            <w:r>
              <w:rPr>
                <w:b/>
                <w:color w:val="7B2638"/>
              </w:rPr>
              <w:t xml:space="preserve">INTERPRETIVE BOUNDARY  </w:t>
            </w:r>
            <w:r>
              <w:t>“Union without erasure,” “sovereignty through grace,” and “progressive revelation” are project synthesis phrases. They may be useful in exposition, but they are not quotations or formal doctrinal formulas from the cited texts.</w:t>
            </w:r>
          </w:p>
        </w:tc>
      </w:tr>
    </w:tbl>
    <w:p>
      <w:r>
        <w:br w:type="page"/>
      </w:r>
    </w:p>
    <w:p>
      <w:pPr>
        <w:pStyle w:val="Kicker"/>
      </w:pPr>
      <w:r>
        <w:t>READER-FACING PROSE</w:t>
      </w:r>
    </w:p>
    <w:p>
      <w:pPr>
        <w:pStyle w:val="Heading1"/>
      </w:pPr>
      <w:r>
        <w:t>4. What the Manifestation Reveals</w:t>
      </w:r>
    </w:p>
    <w:p>
      <w:r>
        <w:t>The manifestation story can be read simply as a beautiful account of how two sacred ponds appeared. But the early Gauḍīya witnesses of Rūpa Gosvāmī and Raghunātha dāsa Gosvāmī give us the language by which the tradition understands more than the founding of a tīrtha. Their verses return to features the story itself has already placed before us: playful speech about dharma, Kṛṣṇa’s mastery over the holy places, Rādhā’s own act with Her companions, the tīrthas’ petition for Her grace, the joining of the waters, reciprocal dearness, daily play, bathing, service, shelter, and residence. The narrative has an architecture. Its meaning unfolds through the order of its actions.</w:t>
      </w:r>
    </w:p>
    <w:p>
      <w:r>
        <w:t>The first safeguard is also the simplest. The episode does not teach that Kṛṣṇa became truly contaminated by killing Ariṣṭa. Raghunātha compresses the opening into the phrase narma-dharmokti-raṅgaiḥ: the delights of playful speech concerning dharma. Rādhā’s charge has force inside the līlā—She refuses Kṛṣṇa’s touch, speaks the language of atonement, and requires an impossible pilgrimage—but the very word narma keeps us inside intimate play. The dharma argument is not discarded; it becomes the occasion by which the deeper relation of the two kuṇḍas can be revealed.</w:t>
      </w:r>
    </w:p>
    <w:p>
      <w:r>
        <w:t>Kṛṣṇa’s answer establishes the first half of that revelation. He does not travel to the tīrthas; He summons them. Bhogavatī rises when He strikes the earth with His heel, and sacred rivers, oceans, lakes, and confluences appear at His command. Before the story says anything about Rādhā’s extraordinary position, it has already shown Kṛṣṇa’s unrestricted sovereignty over sacred geography. The tīrthas obey Him. Their sanctity has not been questioned, and Kṛṣṇa has no need to borrow spiritual authority from them. He gathers them into Vraja because He wills it.</w:t>
      </w:r>
    </w:p>
    <w:p>
      <w:r>
        <w:t>Only after that sovereignty has been displayed does Rādhā answer. Her pond does not appear by imitating Kṛṣṇa’s heel-strike. She chooses the depression marked by Ariṣṭa’s hooves, and Her sakhīs lift the soft earth with their own hands. Raghunātha again preserves the detail: nikhila-nija-sakhībhir … sva-hastena—together with all Her own companions, by their own hands. The scene places collective sevā at the very birth of Rādhā-kuṇḍa. Kṛṣṇa’s pond manifests through sovereign command; Rādhā’s takes form through Her independent resolve and the intimate service of Her circle. To call one method greater than the other would already flatten the story. Their contrast is part of its beauty.</w:t>
      </w:r>
    </w:p>
    <w:p>
      <w:r>
        <w:t>The theological center arrives when the tīrthas change posture. They have already come because Kṛṣṇa commanded them, yet their desire remains incomplete. At His gesture their spokesman approaches Rādhā, bows, praises Her, and asks permission to enter Her lake. This is why their petition deserves more than a passing mention. They do not move from impurity to purity; they are already the holy places. Nor do they cease to belong to Kṛṣṇa’s pond. What changes is their relation to Rādhā. Obedience has brought them into the story; participation in Her kuṇḍa depends upon Her consent.</w:t>
      </w:r>
    </w:p>
    <w:p>
      <w:r>
        <w:t>Raghunātha’s third verse gives that movement an astonishing parallel. He says that even Kṛṣṇa follows Rādhā-kuṇḍa through the bonds of bathing and service, longing for the gracious sidelong glance that flows from Devī: devyāḥ prasāda … kaṭākṣa-prāpti-kāmaḥ. Raghunātha is not presenting Kṛṣṇa as powerless. The manifestation account has just displayed His command over all tīrthas. Rather, the intimacy of love makes service itself desirable. The Lord who summons every sacred river also delights in placing Himself within the economy of Rādhā’s grace.</w:t>
      </w:r>
    </w:p>
    <w:p>
      <w:r>
        <w:t>This is a better way to speak of Rādhā’s supremacy in the episode than by piling up abstract titles. The story itself gives us its grammar: the tīrthas bow; they ask; Rādhā listens; She glances toward Kṛṣṇa; She smiles; and She grants their request. Grace is not added afterward as an explanation. It is the action by which the story turns. Only after prasāda—after permission—do the waters break through the separating boundary and fill Her lake.</w:t>
      </w:r>
    </w:p>
    <w:p>
      <w:r>
        <w:t>The joining of the waters creates another important balance. The two ponds become connected, but the texts continue to distinguish them. Kṛṣṇa-kuṇḍa remains His; Rādhā-kuṇḍa remains Hers. Later, Govinda-līlāmṛta describes the two as joined at a saṅgama and speaks of a setu at that meeting region, while Raghunātha’s Vraja-vilāsa-stava praises the middle place where the banks of the two beloved kuṇḍas meet. One useful way to describe this is “union without erasure”—but that phrase is our synthesis, not a quotation from the Gosvāmīs. The textual point is simpler: intimacy does not require the loss of distinction.</w:t>
      </w:r>
    </w:p>
    <w:p>
      <w:r>
        <w:t>That same principle guards the ending of the manifestation story from being reduced to a contest. Kṛṣṇa does indeed declare that Rādhā-kuṇḍa will possess greater glory than His own pond. But verse 19 immediately answers verse 18: Rādhā vows to bathe with Her sakhīs in Ariṣṭa-mardana-saras and blesses those devoted to it. The episode is not a humiliation in which one lake wins and the other is discarded. Kṛṣṇa exalts Her kuṇḍa; Rādhā honors His. The final relation is reciprocal.</w:t>
      </w:r>
    </w:p>
    <w:p>
      <w:r>
        <w:t>Rūpa Gosvāmī gives that reciprocity its most concise theological center when he writes: yathā rādhā priyā viṣṇos / tasyāḥ kuṇḍaṁ priyaṁ tathā—“As Rādhā is dear to Kṛṣṇa, so Her kuṇḍa is dear to Him.” The statement explains Rādhā-kuṇḍa relationally. Its highest glory does not come first from antiquity, size, ritual prestige, or the number of tīrthas contained within it. The lake is dear because it belongs to Her and participates in Her dearness. Upadeśāmṛta 9–11 develops the same logic: Rādhā is the supreme abode of Kṛṣṇa’s love among His beloveds; Her lake is described as correspondingly dear; therefore the appropriate response is āśraya—taking shelter—and sevā.</w:t>
      </w:r>
    </w:p>
    <w:p>
      <w:r>
        <w:t>This also changes how the strong promises attached to bathing should be heard. Upadeśāmṛta 11 says that Rādhā-kuṇḍa reveals prema even to one who bathes there once. Caitanya-caritāmṛta Madhya 18.10 makes the promise still more direct in its Bengali praise. Such lines are meant to astonish. But neither Rūpa nor Raghunātha leaves bathing isolated from the rest of devotional life. Upadeśāmṛta 9 has already asked who would not render sevā to the kuṇḍa; verse 10 speaks of taking shelter; Raghunātha’s refrain repeatedly asks that Rādhā-kuṇḍa itself become his āśraya.</w:t>
      </w:r>
    </w:p>
    <w:p>
      <w:r>
        <w:t>Rādhā-kuṇḍāṣṭaka 5 goes further. The grace of serving the lake causes the divine creeper of affection for Kṛṣṇa to grow, and that creeper becomes adorned with the blossom of mad-īśā-dāsya—service to “my Mistress,” Rādhā. This is one of the clearest statements of where Raghunātha’s devotion to the kuṇḍa leads. The goal is not anonymous holiness and not merely a more powerful place for acquiring merit. Rādhā-kuṇḍa belongs to a specific relational world: love of Kṛṣṇa flowering into service under Rādhā’s shelter.</w:t>
      </w:r>
    </w:p>
    <w:p>
      <w:r>
        <w:t>Residence belongs to the same movement. Elsewhere Raghunātha prays to Rādhā that Her own kuṇḍa is the eternal abode of Her together with Her beloved, and then says, “Here alone shall be my residence; here alone my abiding place.” Bathing, therefore, is only one embodied expression among several: one bathes, serves, takes shelter, remembers, and desires to live where the Divine Couple’s līlā is continually present. The physical act and the devotional orientation should not be torn apart.</w:t>
      </w:r>
    </w:p>
    <w:p>
      <w:r>
        <w:t>The manifestation account itself already points beyond a one-time historical beginning. In Kṛṣṇa’s declaration the word nityam binds His future bathing and water-play to Rādhā-kuṇḍa. Raghunātha later says anudinam—every day—the Divine Couple sport there amid companions intoxicated with love. Kṛṣṇadāsa Kavirāja, describing Mahāprabhu’s praise of the nearly hidden kuṇḍa, uses the same kind of language: yei kuṇḍe nitya kṛṣṇa rādhikāra saṅge / jale jala-keli kare, tīre rāsa-raṅge—there Kṛṣṇa daily performs water-play with Rādhikā and delights in rāsa upon the bank.</w:t>
      </w:r>
    </w:p>
    <w:p>
      <w:r>
        <w:t>This verbal bridge—nityam, anudinam, nitya—explains why the story ends with rāsa rather than with the completion of a purification rite. The manifestation is not merely the establishment of a memorial to something that happened once. It opens into the daily līlā world that later Gosvāmī texts describe in extraordinary detail. Govinda-līlāmṛta will populate the banks with groves, terraces, swings, service areas, companions, routes, food, music, water-play, joking, and secret meetings. Kṛṣṇa-bhāvanāmṛta will offer another mature vision of the same daily world. Those descriptions belong to the next stage of our story.</w:t>
      </w:r>
    </w:p>
    <w:p>
      <w:r>
        <w:t>For now, the manifestation can be allowed to disclose its own theological shape. Playful dharma speech becomes an occasion for revelation. Kṛṣṇa’s sovereignty gathers every tīrtha into Vraja. Rādhā’s independent response gathers Her companions into service. The holy places seek Her permission. Joined waters preserve distinct identities. Kṛṣṇa and Rādhā honor one another’s lakes. Their vows open into daily play. And the pilgrim’s relation to the place moves from external merit toward prema, sevā, shelter, residence, and Rādhā-dāsya.</w:t>
      </w:r>
    </w:p>
    <w:p>
      <w:r>
        <w:t>That is why Rādhā-kuṇḍa cannot be understood adequately as a pond at which a sacred event once occurred. The event itself points beyond its own beginning. The next question is no longer, “How did the kuṇḍa appear?” It is, “What kind of place have the Gosvāmīs told us it eternally is?” To answer that, we must walk from the origin story into the landscape itself.</w:t>
      </w:r>
    </w:p>
    <w:p>
      <w:pPr>
        <w:pStyle w:val="Kicker"/>
      </w:pPr>
      <w:r>
        <w:t>INTERNAL CONTROL APPARATUS • REMOVE OR CONVERT TO NOTES IN FINAL COMPILATION</w:t>
      </w:r>
    </w:p>
    <w:p>
      <w:pPr>
        <w:pStyle w:val="Heading1"/>
      </w:pPr>
      <w:r>
        <w:t>Sources actually used</w:t>
      </w:r>
    </w:p>
    <w:p>
      <w:r>
        <w:t>• Raghunātha dāsa Gosvāmī, Rādhā-kuṇḍāṣṭaka 1–8. Sanskrit checked in the local Stavāvalī witness; project translations follow the controlled RS-02 quotation packet with light literary adjustment where noted.</w:t>
      </w:r>
    </w:p>
    <w:p>
      <w:r>
        <w:t>• Rūpa Gosvāmī, Mathurā-māhātmya 418–423. The dearness formula at 421 was checked directly in the project source file.</w:t>
      </w:r>
    </w:p>
    <w:p>
      <w:r>
        <w:t>• Rūpa Gosvāmī, Upadeśāmṛta 9–11. Sanskrit/transliteration checked directly against Bhaktivedanta Vedabase on 22 August 2026; reader-facing English here is independently worded.</w:t>
      </w:r>
    </w:p>
    <w:p>
      <w:r>
        <w:t>• Caitanya-caritāmṛta Madhya 18.7–12. Bengali/transliteration checked directly against Bhaktivedanta Vedabase on 22 August 2026; 18.9 supplies the nitya/daily water-play and rāsa bridge.</w:t>
      </w:r>
    </w:p>
    <w:p>
      <w:r>
        <w:t>• Kṛṣṇadāsa Kavirāja, Govinda-līlāmṛta 7.6 and 7.102. Sanskrit controlled through the local searchable mūla; 7.102 is kept distinct from the Caitanya-caritāmṛta variant.</w:t>
      </w:r>
    </w:p>
    <w:p>
      <w:r>
        <w:t>• Raghunātha dāsa Gosvāmī, Vraja-vilāsa-stava 52 and Vilāpa-kusumāñjali 97, as controlled in RS-02/local Stavāvalī; used for joined-bank and residence theology.</w:t>
      </w:r>
    </w:p>
    <w:p>
      <w:r>
        <w:t>• RS-02 — Theological Architecture of the Manifestation Līlā v1.0 and RKST-00 Writing Blueprint v1.0 for interpretive boundaries and section architecture.</w:t>
      </w:r>
    </w:p>
    <w:p>
      <w:pPr>
        <w:pStyle w:val="Heading2"/>
      </w:pPr>
      <w:r>
        <w:t>Quotation ledger</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trPr>
        <w:tc>
          <w:tcPr>
            <w:tcW w:type="dxa" w:w="2498"/>
            <w:shd w:fill="7B2638"/>
          </w:tcPr>
          <w:p>
            <w:r>
              <w:rPr>
                <w:b/>
                <w:color w:val="FFFFFF"/>
              </w:rPr>
              <w:t>Locus</w:t>
            </w:r>
          </w:p>
        </w:tc>
        <w:tc>
          <w:tcPr>
            <w:tcW w:type="dxa" w:w="2498"/>
            <w:shd w:fill="7B2638"/>
          </w:tcPr>
          <w:p>
            <w:r>
              <w:rPr>
                <w:b/>
                <w:color w:val="FFFFFF"/>
              </w:rPr>
              <w:t>Text retained</w:t>
            </w:r>
          </w:p>
        </w:tc>
        <w:tc>
          <w:tcPr>
            <w:tcW w:type="dxa" w:w="2498"/>
            <w:shd w:fill="7B2638"/>
          </w:tcPr>
          <w:p>
            <w:r>
              <w:rPr>
                <w:b/>
                <w:color w:val="FFFFFF"/>
              </w:rPr>
              <w:t>Witness check</w:t>
            </w:r>
          </w:p>
        </w:tc>
        <w:tc>
          <w:tcPr>
            <w:tcW w:type="dxa" w:w="2498"/>
            <w:shd w:fill="7B2638"/>
          </w:tcPr>
          <w:p>
            <w:r>
              <w:rPr>
                <w:b/>
                <w:color w:val="FFFFFF"/>
              </w:rPr>
              <w:t>Final-use status</w:t>
            </w:r>
          </w:p>
        </w:tc>
      </w:tr>
      <w:tr>
        <w:tc>
          <w:tcPr>
            <w:tcW w:type="dxa" w:w="2498"/>
            <w:vAlign w:val="top"/>
          </w:tcPr>
          <w:p>
            <w:r>
              <w:t>RKA 1</w:t>
            </w:r>
          </w:p>
        </w:tc>
        <w:tc>
          <w:tcPr>
            <w:tcW w:type="dxa" w:w="2498"/>
            <w:vAlign w:val="top"/>
          </w:tcPr>
          <w:p>
            <w:r>
              <w:t>narma-dharmokti-raṅgaiḥ; sva-hastena</w:t>
            </w:r>
          </w:p>
        </w:tc>
        <w:tc>
          <w:tcPr>
            <w:tcW w:type="dxa" w:w="2498"/>
            <w:vAlign w:val="top"/>
          </w:tcPr>
          <w:p>
            <w:r>
              <w:t>Local Stavāvalī / RS-02</w:t>
            </w:r>
          </w:p>
        </w:tc>
        <w:tc>
          <w:tcPr>
            <w:tcW w:type="dxa" w:w="2498"/>
            <w:vAlign w:val="top"/>
          </w:tcPr>
          <w:p>
            <w:r>
              <w:t>PARAPHRASE in prose; full verse already visible in RKST-03</w:t>
            </w:r>
          </w:p>
        </w:tc>
      </w:tr>
      <w:tr>
        <w:tc>
          <w:tcPr>
            <w:tcW w:type="dxa" w:w="2498"/>
            <w:vAlign w:val="top"/>
          </w:tcPr>
          <w:p>
            <w:r>
              <w:t>RKA 3</w:t>
            </w:r>
          </w:p>
        </w:tc>
        <w:tc>
          <w:tcPr>
            <w:tcW w:type="dxa" w:w="2498"/>
            <w:vAlign w:val="top"/>
          </w:tcPr>
          <w:p>
            <w:r>
              <w:t>devyāḥ prasāda … kaṭākṣa … snāna-sevānubandhais</w:t>
            </w:r>
          </w:p>
        </w:tc>
        <w:tc>
          <w:tcPr>
            <w:tcW w:type="dxa" w:w="2498"/>
            <w:vAlign w:val="top"/>
          </w:tcPr>
          <w:p>
            <w:r>
              <w:t>Local Stavāvalī / RS-02</w:t>
            </w:r>
          </w:p>
        </w:tc>
        <w:tc>
          <w:tcPr>
            <w:tcW w:type="dxa" w:w="2498"/>
            <w:vAlign w:val="top"/>
          </w:tcPr>
          <w:p>
            <w:r>
              <w:t>KEEP — principal visible theological quotation</w:t>
            </w:r>
          </w:p>
        </w:tc>
      </w:tr>
      <w:tr>
        <w:tc>
          <w:tcPr>
            <w:tcW w:type="dxa" w:w="2498"/>
            <w:vAlign w:val="top"/>
          </w:tcPr>
          <w:p>
            <w:r>
              <w:t>MM 421</w:t>
            </w:r>
          </w:p>
        </w:tc>
        <w:tc>
          <w:tcPr>
            <w:tcW w:type="dxa" w:w="2498"/>
            <w:vAlign w:val="top"/>
          </w:tcPr>
          <w:p>
            <w:r>
              <w:t>yathā rādhā priyā viṣṇos / tasyāḥ kuṇḍaṁ priyaṁ tathā</w:t>
            </w:r>
          </w:p>
        </w:tc>
        <w:tc>
          <w:tcPr>
            <w:tcW w:type="dxa" w:w="2498"/>
            <w:vAlign w:val="top"/>
          </w:tcPr>
          <w:p>
            <w:r>
              <w:t>Project Mathurā-māhātmya</w:t>
            </w:r>
          </w:p>
        </w:tc>
        <w:tc>
          <w:tcPr>
            <w:tcW w:type="dxa" w:w="2498"/>
            <w:vAlign w:val="top"/>
          </w:tcPr>
          <w:p>
            <w:r>
              <w:t>KEEP — central dearness formula</w:t>
            </w:r>
          </w:p>
        </w:tc>
      </w:tr>
      <w:tr>
        <w:tc>
          <w:tcPr>
            <w:tcW w:type="dxa" w:w="2498"/>
            <w:vAlign w:val="top"/>
          </w:tcPr>
          <w:p>
            <w:r>
              <w:t>NOI 11</w:t>
            </w:r>
          </w:p>
        </w:tc>
        <w:tc>
          <w:tcPr>
            <w:tcW w:type="dxa" w:w="2498"/>
            <w:vAlign w:val="top"/>
          </w:tcPr>
          <w:p>
            <w:r>
              <w:t>tat premedaṁ sakṛd api saraḥ snātur āviṣkaroti</w:t>
            </w:r>
          </w:p>
        </w:tc>
        <w:tc>
          <w:tcPr>
            <w:tcW w:type="dxa" w:w="2498"/>
            <w:vAlign w:val="top"/>
          </w:tcPr>
          <w:p>
            <w:r>
              <w:t>Vedabase, 22 Aug 2026</w:t>
            </w:r>
          </w:p>
        </w:tc>
        <w:tc>
          <w:tcPr>
            <w:tcW w:type="dxa" w:w="2498"/>
            <w:vAlign w:val="top"/>
          </w:tcPr>
          <w:p>
            <w:r>
              <w:t>KEEP selectively — bathing/prema</w:t>
            </w:r>
          </w:p>
        </w:tc>
      </w:tr>
      <w:tr>
        <w:tc>
          <w:tcPr>
            <w:tcW w:type="dxa" w:w="2498"/>
            <w:vAlign w:val="top"/>
          </w:tcPr>
          <w:p>
            <w:r>
              <w:t>RKA 5</w:t>
            </w:r>
          </w:p>
        </w:tc>
        <w:tc>
          <w:tcPr>
            <w:tcW w:type="dxa" w:w="2498"/>
            <w:vAlign w:val="top"/>
          </w:tcPr>
          <w:p>
            <w:r>
              <w:t>mad-īśā-dāsya-puṣpa-praśasyā</w:t>
            </w:r>
          </w:p>
        </w:tc>
        <w:tc>
          <w:tcPr>
            <w:tcW w:type="dxa" w:w="2498"/>
            <w:vAlign w:val="top"/>
          </w:tcPr>
          <w:p>
            <w:r>
              <w:t>Local Stavāvalī / RS-02</w:t>
            </w:r>
          </w:p>
        </w:tc>
        <w:tc>
          <w:tcPr>
            <w:tcW w:type="dxa" w:w="2498"/>
            <w:vAlign w:val="top"/>
          </w:tcPr>
          <w:p>
            <w:r>
              <w:t>KEEP selectively — Rādhā-dāsya culmination</w:t>
            </w:r>
          </w:p>
        </w:tc>
      </w:tr>
      <w:tr>
        <w:tc>
          <w:tcPr>
            <w:tcW w:type="dxa" w:w="2498"/>
            <w:vAlign w:val="top"/>
          </w:tcPr>
          <w:p>
            <w:r>
              <w:t>RKA 8</w:t>
            </w:r>
          </w:p>
        </w:tc>
        <w:tc>
          <w:tcPr>
            <w:tcW w:type="dxa" w:w="2498"/>
            <w:vAlign w:val="top"/>
          </w:tcPr>
          <w:p>
            <w:r>
              <w:t>anudinam … viharata iha yasmin dam-patī</w:t>
            </w:r>
          </w:p>
        </w:tc>
        <w:tc>
          <w:tcPr>
            <w:tcW w:type="dxa" w:w="2498"/>
            <w:vAlign w:val="top"/>
          </w:tcPr>
          <w:p>
            <w:r>
              <w:t>Local Stavāvalī / RS-02</w:t>
            </w:r>
          </w:p>
        </w:tc>
        <w:tc>
          <w:tcPr>
            <w:tcW w:type="dxa" w:w="2498"/>
            <w:vAlign w:val="top"/>
          </w:tcPr>
          <w:p>
            <w:r>
              <w:t>KEEP selectively — daily-līlā bridge</w:t>
            </w:r>
          </w:p>
        </w:tc>
      </w:tr>
      <w:tr>
        <w:tc>
          <w:tcPr>
            <w:tcW w:type="dxa" w:w="2498"/>
            <w:vAlign w:val="top"/>
          </w:tcPr>
          <w:p>
            <w:r>
              <w:t>CC Madhya 18.9</w:t>
            </w:r>
          </w:p>
        </w:tc>
        <w:tc>
          <w:tcPr>
            <w:tcW w:type="dxa" w:w="2498"/>
            <w:vAlign w:val="top"/>
          </w:tcPr>
          <w:p>
            <w:r>
              <w:t>yei kuṇḍe nitya kṛṣṇa … jale jala-keli … tīre rāsa-raṅge</w:t>
            </w:r>
          </w:p>
        </w:tc>
        <w:tc>
          <w:tcPr>
            <w:tcW w:type="dxa" w:w="2498"/>
            <w:vAlign w:val="top"/>
          </w:tcPr>
          <w:p>
            <w:r>
              <w:t>Vedabase, 22 Aug 2026</w:t>
            </w:r>
          </w:p>
        </w:tc>
        <w:tc>
          <w:tcPr>
            <w:tcW w:type="dxa" w:w="2498"/>
            <w:vAlign w:val="top"/>
          </w:tcPr>
          <w:p>
            <w:r>
              <w:t>KEEP — compact Bengali nitya-līlā anchor</w:t>
            </w:r>
          </w:p>
        </w:tc>
      </w:tr>
      <w:tr>
        <w:tc>
          <w:tcPr>
            <w:tcW w:type="dxa" w:w="2498"/>
            <w:vAlign w:val="top"/>
          </w:tcPr>
          <w:p>
            <w:r>
              <w:t>GL 7.102</w:t>
            </w:r>
          </w:p>
        </w:tc>
        <w:tc>
          <w:tcPr>
            <w:tcW w:type="dxa" w:w="2498"/>
            <w:vAlign w:val="top"/>
          </w:tcPr>
          <w:p>
            <w:r>
              <w:t>aniśaṁ … premṇā tayā krīḍati</w:t>
            </w:r>
          </w:p>
        </w:tc>
        <w:tc>
          <w:tcPr>
            <w:tcW w:type="dxa" w:w="2498"/>
            <w:vAlign w:val="top"/>
          </w:tcPr>
          <w:p>
            <w:r>
              <w:t>Local GL mūla</w:t>
            </w:r>
          </w:p>
        </w:tc>
        <w:tc>
          <w:tcPr>
            <w:tcW w:type="dxa" w:w="2498"/>
            <w:vAlign w:val="top"/>
          </w:tcPr>
          <w:p>
            <w:r>
              <w:t>SOURCE CARD / cross-text confirmation; do not harmonize with CC variant</w:t>
            </w:r>
          </w:p>
        </w:tc>
      </w:tr>
    </w:tbl>
    <w:p>
      <w:pPr>
        <w:pStyle w:val="Heading2"/>
      </w:pPr>
      <w:r>
        <w:t>Claims deliberately omitted or qualified</w:t>
      </w:r>
    </w:p>
    <w:p>
      <w:r>
        <w:t>• The prose does not say that Kṛṣṇa was ontologically impure; RKA 1 controls the opening as playful dharma speech.</w:t>
      </w:r>
    </w:p>
    <w:p>
      <w:r>
        <w:t>• Rādhā’s supremacy is expressed through petition, consent, grace, dearness, and service rather than by inventing an abstract ranking formula not present in the sources.</w:t>
      </w:r>
    </w:p>
    <w:p>
      <w:r>
        <w:t>• “Sovereignty through grace,” “progressive revelation,” and “union without erasure” are treated as project synthesis, not textual quotations.</w:t>
      </w:r>
    </w:p>
    <w:p>
      <w:r>
        <w:t>• The two ponds are joined but not said to become one undifferentiated pond.</w:t>
      </w:r>
    </w:p>
    <w:p>
      <w:r>
        <w:t>• Bathing promises are quoted faithfully but interpreted inside the surrounding textual world of sevā, āśraya, residence, prema, and Rādhā-dāsya; no automatic ritual mechanism is asserted.</w:t>
      </w:r>
    </w:p>
    <w:p>
      <w:r>
        <w:t>• The section does not identify any present causeway, ghāṭ, pavilion, or grove as the exact physical form of the nitya-līlā description.</w:t>
      </w:r>
    </w:p>
    <w:p>
      <w:r>
        <w:t>• Govinda-līlāmṛta and Kṛṣṇa-bhāvanāmṛta are invoked only as later Gosvāmī cross-text confirmations of daily līlā; their detailed geography is reserved for RKST-05–06.</w:t>
      </w:r>
    </w:p>
    <w:p>
      <w:pPr>
        <w:pStyle w:val="Heading2"/>
      </w:pPr>
      <w:r>
        <w:t>Open items carried forward</w:t>
      </w:r>
    </w:p>
    <w:p>
      <w:r>
        <w:t>• The exact Purāṇic provenance of the twenty-verse manifestation unit remains unresolved, but it does not affect this section’s Gosvāmī theological interpretation.</w:t>
      </w:r>
    </w:p>
    <w:p>
      <w:r>
        <w:t>• The phrase “union without erasure” remains optional editorial language; if retained in a final public edition it should be visibly framed as explanatory synthesis.</w:t>
      </w:r>
    </w:p>
    <w:p>
      <w:r>
        <w:t>• A fuller study of commentaries on Upadeśāmṛta 9–11 could enrich the final scholarly notes but is not required for the present core theological ruling.</w:t>
      </w:r>
    </w:p>
    <w:p>
      <w:r>
        <w:t>• Pastoral presentation of contemporary physical bathing practice is separate from the textual theology here and belongs to later pilgrimage/field-guide work.</w:t>
      </w:r>
    </w:p>
    <w:p>
      <w:pPr>
        <w:pStyle w:val="Heading2"/>
      </w:pPr>
      <w:r>
        <w:t>Cross-references</w:t>
      </w:r>
    </w:p>
    <w:p>
      <w:r>
        <w:t>• RKST-03 — this section answers the questions raised in its final paragraph rather than retelling the manifestation scene.</w:t>
      </w:r>
    </w:p>
    <w:p>
      <w:r>
        <w:t>• RKST-05 — take the nitya-līlā bridge literally into textual geography: saṅgama/setu, eight sakhī kuñjas, Anaṅga Mañjarī center, and service infrastructure.</w:t>
      </w:r>
    </w:p>
    <w:p>
      <w:r>
        <w:t>• RKST-06 — develop nitya/anudinam into movement through the midday līlā rather than leaving it as an abstract doctrine.</w:t>
      </w:r>
    </w:p>
    <w:p>
      <w:r>
        <w:t>• RKST-14 — return to āśraya, residence, and Rādhā-dāsya for the final devotional synthesis; do not exhaust Vilāpa-kusumāñjali 97 here.</w:t>
      </w:r>
    </w:p>
    <w:tbl>
      <w:tblPr>
        <w:tblW w:type="auto" w:w="0"/>
        <w:jc w:val="center"/>
        <w:tblLook w:firstColumn="1" w:firstRow="1" w:lastColumn="0" w:lastRow="0" w:noHBand="0" w:noVBand="1" w:val="04A0"/>
      </w:tblPr>
      <w:tblGrid>
        <w:gridCol w:w="9994"/>
      </w:tblGrid>
      <w:tr>
        <w:tc>
          <w:tcPr>
            <w:tcW w:type="dxa" w:w="9994"/>
            <w:shd w:fill="F3EBDD"/>
          </w:tcPr>
          <w:p>
            <w:r>
              <w:t>FINALIZATION AUDIT  Completed 22 August 2026. Two source-precision edits were made without altering the section’s argument: the opening now describes Rūpa and Raghunātha more carefully as interpretive witnesses, and the tīrthas’ petition is paraphrased rather than given an unverified direct quotation. Upadeśāmṛta 9–11 is cited as the complete sevā/dearness/shelter sequence.</w:t>
            </w:r>
          </w:p>
        </w:tc>
      </w:tr>
    </w:tbl>
    <w:sectPr w:rsidR="00FC693F" w:rsidRPr="0006063C" w:rsidSect="00034616">
      <w:headerReference w:type="default" r:id="rId9"/>
      <w:footerReference w:type="default" r:id="rId10"/>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RKST-04 • Final v1.0 • 22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Kicker"/>
      <w:jc w:val="center"/>
    </w:pPr>
    <w:r>
      <w:t>GOVARDHANA PILGRIMAGE  •  RĀDHĀ-KUṆḌA STORY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7B263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7B2638"/>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5D3A4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val="0"/>
      <w:color w:val="7B2638"/>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pPr>
      <w:spacing w:after="40"/>
    </w:pPr>
    <w:rPr>
      <w:rFonts w:ascii="Aptos" w:hAnsi="Aptos"/>
      <w:b/>
      <w:color w:val="A9853E"/>
      <w:sz w:val="17"/>
    </w:rPr>
  </w:style>
  <w:style w:type="paragraph" w:customStyle="1" w:styleId="SourceSanskrit">
    <w:name w:val="Source Sanskrit"/>
    <w:pPr>
      <w:spacing w:after="80"/>
      <w:ind w:left="403" w:right="259"/>
    </w:pPr>
    <w:rPr>
      <w:rFonts w:ascii="Aptos" w:hAnsi="Aptos"/>
      <w:i/>
      <w:color w:val="333333"/>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RKST-04 — What the Manifestation Reveals — Final v1.0</dc:title>
  <dc:subject>Govardhana Pilgrimage — Rādhā-kuṇḍa Story</dc:subject>
  <dc:creator>Govardhana Pilgrimage project</dc:creator>
  <cp:keywords>Radhakunda, Radha-kunda, Govardhana, Upadesamrita, Mathura-mahatmya, Rupa Gosvami, Raghunatha dasa Gosvami</cp:keywords>
  <dc:description>generated by python-docx</dc:description>
  <cp:lastModifiedBy/>
  <cp:revision>1</cp:revision>
  <dcterms:created xsi:type="dcterms:W3CDTF">2013-12-23T23:15:00Z</dcterms:created>
  <dcterms:modified xsi:type="dcterms:W3CDTF">2013-12-23T23:15:00Z</dcterms:modified>
  <cp:category/>
</cp:coreProperties>
</file>