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RKST-05</w:t>
      </w:r>
    </w:p>
    <w:p>
      <w:pPr>
        <w:jc w:val="center"/>
      </w:pPr>
      <w:r>
        <w:rPr>
          <w:b/>
          <w:color w:val="7B2638"/>
          <w:sz w:val="44"/>
        </w:rPr>
        <w:t>The Eternal Landscape of Rādhā-kuṇḍa</w:t>
      </w:r>
    </w:p>
    <w:p>
      <w:pPr>
        <w:jc w:val="center"/>
      </w:pPr>
      <w:r>
        <w:rPr>
          <w:i/>
          <w:sz w:val="23"/>
        </w:rPr>
        <w:t>Jeweled banks, sakhī-kuñjas, the central lotus dwelling, and the companion pond</w:t>
      </w:r>
    </w:p>
    <w:p/>
    <w:tbl>
      <w:tblPr>
        <w:tblW w:type="auto" w:w="0"/>
        <w:jc w:val="center"/>
        <w:tblLook w:firstColumn="1" w:firstRow="1" w:lastColumn="0" w:lastRow="0" w:noHBand="0" w:noVBand="1" w:val="04A0"/>
      </w:tblPr>
      <w:tblGrid>
        <w:gridCol w:w="9994"/>
      </w:tblGrid>
      <w:tr>
        <w:trPr>
          <w:cantSplit/>
        </w:trPr>
        <w:tc>
          <w:tcPr>
            <w:tcW w:type="dxa" w:w="9994"/>
            <w:shd w:fill="F3EBDD"/>
          </w:tcPr>
          <w:p>
            <w:r>
              <w:t>APPROVED STATUS  Final v1.0. Reader-facing prose approved by the user and then passed through source, quotation, evidence-layer, continuity, literary, open-item, and apparatus audits.</w:t>
            </w:r>
          </w:p>
        </w:tc>
      </w:tr>
    </w:tbl>
    <w:p>
      <w:pPr>
        <w:jc w:val="center"/>
      </w:pPr>
      <w:r>
        <w:rPr>
          <w:color w:val="5A5A5A"/>
          <w:sz w:val="19"/>
        </w:rPr>
        <w:t>Controlling witness: Govinda-līlāmṛta Sarga 7, read with Rādhā-kuṇḍāṣṭaka and the RK-02 sacred-geography ledger.</w:t>
      </w:r>
    </w:p>
    <w:p>
      <w:r>
        <w:br w:type="page"/>
      </w:r>
    </w:p>
    <w:p>
      <w:pPr>
        <w:pStyle w:val="Kicker"/>
      </w:pPr>
      <w:r>
        <w:t>SOURCE CARD • NITYA-LĪLĀ GEOGRAPHY CHECKED BEFORE DRAFTING</w:t>
      </w:r>
    </w:p>
    <w:p>
      <w:pPr>
        <w:pStyle w:val="Heading1"/>
      </w:pPr>
      <w:r>
        <w:t>Govinda-līlāmṛta Sarga 7: the controlling map</w:t>
      </w:r>
    </w:p>
    <w:p>
      <w:r>
        <w:t>The section follows the Writing Blueprint’s rule that the eternal textual landscape must be kept distinct from the later historical and modern physical landscape. Sanskrit below is controlled through the local searchable Govinda-līlāmṛta mūla and the verse-level RK-02/RK-03 ledgers. English renderings are newly worded for this project unless a controlled ledger translation is explicitly followed.</w:t>
      </w:r>
    </w:p>
    <w:p>
      <w:pPr>
        <w:keepNext/>
      </w:pPr>
      <w:r>
        <w:rPr>
          <w:b/>
          <w:color w:val="7B2638"/>
        </w:rPr>
        <w:t>Govinda-līlāmṛta 7.1</w:t>
      </w:r>
    </w:p>
    <w:p>
      <w:pPr>
        <w:pStyle w:val="SourceSanskrit"/>
        <w:keepNext/>
      </w:pPr>
      <w:r>
        <w:t>kiyad-dūraṁ tato gatvā nivṛtyodvartmanā hariḥ | rādhā-kuṇḍaṁ samāyātaḥ priyā-saṅgotsukaḥ priyam ||1||</w:t>
      </w:r>
    </w:p>
    <w:p>
      <w:r>
        <w:t>After going some distance, Hari turned back by another path and came to beloved Rādhā-kuṇḍa, eager for the company of His beloved.</w:t>
      </w:r>
    </w:p>
    <w:p>
      <w:r>
        <w:rPr>
          <w:b/>
          <w:color w:val="7B2638"/>
        </w:rPr>
        <w:t xml:space="preserve">Research use — </w:t>
      </w:r>
      <w:r>
        <w:t>The static map begins in motion. Kṛṣṇa comes to the kuṇḍa because it is a meeting place.</w:t>
      </w:r>
    </w:p>
    <w:p>
      <w:pPr>
        <w:keepNext/>
      </w:pPr>
      <w:r>
        <w:rPr>
          <w:b/>
          <w:color w:val="7B2638"/>
        </w:rPr>
        <w:t>Govinda-līlāmṛta 7.6</w:t>
      </w:r>
    </w:p>
    <w:p>
      <w:pPr>
        <w:pStyle w:val="SourceSanskrit"/>
        <w:keepNext/>
      </w:pPr>
      <w:r>
        <w:t>pūrvāgneya-diśor madhye priya-kuṇḍena saṅgatam | tatrordhve stambhakālambi-citra-setu-samanvitam ||6||</w:t>
      </w:r>
    </w:p>
    <w:p>
      <w:r>
        <w:t>Between the eastern and south-eastern directions Rādhā-kuṇḍa joins the beloved companion kuṇḍa, and above that meeting is a wonderful bridge supported or suspended by pillars.</w:t>
      </w:r>
    </w:p>
    <w:p>
      <w:r>
        <w:rPr>
          <w:b/>
          <w:color w:val="7B2638"/>
        </w:rPr>
        <w:t xml:space="preserve">Research use — </w:t>
      </w:r>
      <w:r>
        <w:t>A-level saṅgama/setu anchor. This does not establish the historical identity or exact footprint of the present causeway.</w:t>
      </w:r>
    </w:p>
    <w:p>
      <w:pPr>
        <w:keepNext/>
      </w:pPr>
      <w:r>
        <w:rPr>
          <w:b/>
          <w:color w:val="7B2638"/>
        </w:rPr>
        <w:t>Raghunātha dāsa Gosvāmī, Rādhā-kuṇḍāṣṭaka 6</w:t>
      </w:r>
    </w:p>
    <w:p>
      <w:pPr>
        <w:pStyle w:val="SourceSanskrit"/>
        <w:keepNext/>
      </w:pPr>
      <w:r>
        <w:t>taṭa-madhura-nikuñjaḥ kḷpta-nāmāna uccair / nija-parijana-vargaiḥ saṁvibhajyāśritas taiḥ | madhukara-ruta-ramyā yasya rājanti kāmyās / tad ati-surabhi rādhā-kuṇḍam evāśrayo me ||6||</w:t>
      </w:r>
    </w:p>
    <w:p>
      <w:r>
        <w:t>May that exquisitely fragrant Rādhā-kuṇḍa be my shelter, whose delightful bank-groves, distinguished by their names, are divided among and inhabited by Her own circle of attendants, and shine beautifully to the humming of bees.</w:t>
      </w:r>
    </w:p>
    <w:p>
      <w:r>
        <w:rPr>
          <w:b/>
          <w:color w:val="7B2638"/>
        </w:rPr>
        <w:t xml:space="preserve">Research use — </w:t>
      </w:r>
      <w:r>
        <w:t>Independent Gosvāmī confirmation that the banks contain named kuñjas apportioned among Rādhā’s own associates.</w:t>
      </w:r>
    </w:p>
    <w:p>
      <w:pPr>
        <w:keepNext/>
      </w:pPr>
      <w:r>
        <w:rPr>
          <w:b/>
          <w:color w:val="7B2638"/>
        </w:rPr>
        <w:t>Govinda-līlāmṛta 7.27</w:t>
      </w:r>
    </w:p>
    <w:p>
      <w:pPr>
        <w:pStyle w:val="SourceSanskrit"/>
        <w:keepNext/>
      </w:pPr>
      <w:r>
        <w:t>tīre kuñjā yasya bhānty aṣṭa-dikṣu / preṣṭhālīnāṁ sva-sva-nāmnā prasiddhāḥ | tābhiḥ premnā svīya-hastena yatnāt / krīḍā-tuṣṭyai preṣṭhayoḥ saṁskṛtā ye ||27||</w:t>
      </w:r>
    </w:p>
    <w:p>
      <w:r>
        <w:t>On its bank, groves shine in the eight directions, famous by the individual names of Rādhā’s dearest companions. With love and their own hands, they carefully prepare them for the delight of the Beloved Couple’s play.</w:t>
      </w:r>
    </w:p>
    <w:p>
      <w:r>
        <w:rPr>
          <w:b/>
          <w:color w:val="7B2638"/>
        </w:rPr>
        <w:t xml:space="preserve">Research use — </w:t>
      </w:r>
      <w:r>
        <w:t>Governing principle for the aṣṭa-sakhī directional mandala.</w:t>
      </w:r>
    </w:p>
    <w:p>
      <w:pPr>
        <w:keepNext/>
      </w:pPr>
      <w:r>
        <w:rPr>
          <w:b/>
          <w:color w:val="7B2638"/>
        </w:rPr>
        <w:t>Govinda-līlāmṛta 7.101</w:t>
      </w:r>
    </w:p>
    <w:p>
      <w:pPr>
        <w:pStyle w:val="SourceSanskrit"/>
        <w:keepNext/>
      </w:pPr>
      <w:r>
        <w:t>dhanapati-diśi tādṛk-setubandhānuṣaktaṁ / ṣaḍ-adhika-daśa-patrāmbhojavat sanniveśam | salila-kamala-sadmānaṅga-yuṅ-mañjarī śaṁ-pradam ... ||101||</w:t>
      </w:r>
    </w:p>
    <w:p>
      <w:r>
        <w:t>In the direction of Kubera, the water-lotus dwelling is joined to such a bridge, arranged like a sixteen-petalled lotus, and gives delight to Anaṅga Mañjarī.</w:t>
      </w:r>
    </w:p>
    <w:p>
      <w:r>
        <w:rPr>
          <w:b/>
          <w:color w:val="7B2638"/>
        </w:rPr>
        <w:t xml:space="preserve">Research use — </w:t>
      </w:r>
      <w:r>
        <w:t>The center is not a ninth perimeter sector. Anaṅga Mañjarī’s dwelling is in the water itself, linked by a northern bridge.</w:t>
      </w:r>
    </w:p>
    <w:p>
      <w:pPr>
        <w:keepNext/>
      </w:pPr>
      <w:r>
        <w:rPr>
          <w:b/>
          <w:color w:val="7B2638"/>
        </w:rPr>
        <w:t>Govinda-līlāmṛta 7.112–115</w:t>
      </w:r>
    </w:p>
    <w:p>
      <w:pPr>
        <w:pStyle w:val="SourceSanskrit"/>
        <w:keepNext/>
      </w:pPr>
      <w:r>
        <w:t>priya-narma-vayasyā ye subalo madhumaṅgalaḥ | ujjvalārjuna-gandharvā vidagdha-bhṛṅga-kokilāḥ ||112||</w:t>
        <w:br/>
        <w:t>dakṣa-sannandanādyāś ca teṣāṁ sva-svābhidhānvitāḥ | tair vibhajyārpitāḥ kuñjās te rādhā-lalitādiṣu ||113||</w:t>
        <w:br/>
        <w:t>vāyor diśy asti subalānandadā kuñja-śālikā | rādhayāṅgīkṛtā yasyās tīrthaṁ mānasa-pāvanam ||114||</w:t>
        <w:br/>
        <w:t>nityaṁ snāty atra sālībhiḥ kuṇḍe’smin vipulāgrahā | kṛṣṇa-pādābja-mādhvīka-pānīye kṛṣṇavat priye ||115||</w:t>
      </w:r>
    </w:p>
    <w:p>
      <w:r>
        <w:t>Kṛṣṇa’s priya-narma friends include Subala, Madhumaṅgala, Ujjvala, Arjuna, Gandharva, Vidagdha, Bhṛṅga and Kokila, with others such as Dakṣa and Sannandana. Their named groves are divided and assigned to Rādhā, Lalitā and the others. In the Vāyu direction is Subalānandadā, accepted by Rādhā; its bathing place is Mānasa-pāvana, where Rādhā bathes daily with Her companions.</w:t>
      </w:r>
    </w:p>
    <w:p>
      <w:r>
        <w:rPr>
          <w:b/>
          <w:color w:val="7B2638"/>
        </w:rPr>
        <w:t xml:space="preserve">Research use — </w:t>
      </w:r>
      <w:r>
        <w:t>The companion Ariṣṭa-kuṇḍa has a distinct priya-narma-sakhā system. The text states the assignments; the motive for them remains an open interpretive question.</w:t>
      </w:r>
    </w:p>
    <w:p>
      <w:pPr>
        <w:pStyle w:val="Heading2"/>
      </w:pPr>
      <w:r>
        <w:t>Directional control table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7B2638"/>
          </w:tcPr>
          <w:p>
            <w:r>
              <w:rPr>
                <w:b/>
                <w:color w:val="FFFFFF"/>
              </w:rPr>
              <w:t>Direction</w:t>
            </w:r>
          </w:p>
        </w:tc>
        <w:tc>
          <w:tcPr>
            <w:tcW w:type="dxa" w:w="2498"/>
            <w:shd w:fill="7B2638"/>
          </w:tcPr>
          <w:p>
            <w:r>
              <w:rPr>
                <w:b/>
                <w:color w:val="FFFFFF"/>
              </w:rPr>
              <w:t>Associate</w:t>
            </w:r>
          </w:p>
        </w:tc>
        <w:tc>
          <w:tcPr>
            <w:tcW w:type="dxa" w:w="2498"/>
            <w:shd w:fill="7B2638"/>
          </w:tcPr>
          <w:p>
            <w:r>
              <w:rPr>
                <w:b/>
                <w:color w:val="FFFFFF"/>
              </w:rPr>
              <w:t>Govinda-līlāmṛta identity</w:t>
            </w:r>
          </w:p>
        </w:tc>
        <w:tc>
          <w:tcPr>
            <w:tcW w:type="dxa" w:w="2498"/>
            <w:shd w:fill="7B2638"/>
          </w:tcPr>
          <w:p>
            <w:r>
              <w:rPr>
                <w:b/>
                <w:color w:val="FFFFFF"/>
              </w:rPr>
              <w:t>Locus</w:t>
            </w:r>
          </w:p>
        </w:tc>
      </w:tr>
      <w:tr>
        <w:trPr>
          <w:cantSplit/>
        </w:trPr>
        <w:tc>
          <w:tcPr>
            <w:tcW w:type="dxa" w:w="2498"/>
            <w:vAlign w:val="top"/>
          </w:tcPr>
          <w:p>
            <w:r>
              <w:t>North</w:t>
            </w:r>
          </w:p>
        </w:tc>
        <w:tc>
          <w:tcPr>
            <w:tcW w:type="dxa" w:w="2498"/>
            <w:vAlign w:val="top"/>
          </w:tcPr>
          <w:p>
            <w:r>
              <w:t>Lalitā</w:t>
            </w:r>
          </w:p>
        </w:tc>
        <w:tc>
          <w:tcPr>
            <w:tcW w:type="dxa" w:w="2498"/>
            <w:vAlign w:val="top"/>
          </w:tcPr>
          <w:p>
            <w:r>
              <w:t>Lalitānandada / Anaṅga-raṅgāmbuja complex</w:t>
            </w:r>
          </w:p>
        </w:tc>
        <w:tc>
          <w:tcPr>
            <w:tcW w:type="dxa" w:w="2498"/>
            <w:vAlign w:val="top"/>
          </w:tcPr>
          <w:p>
            <w:r>
              <w:t>7.31–72</w:t>
            </w:r>
          </w:p>
        </w:tc>
      </w:tr>
      <w:tr>
        <w:trPr>
          <w:cantSplit/>
        </w:trPr>
        <w:tc>
          <w:tcPr>
            <w:tcW w:type="dxa" w:w="2498"/>
            <w:vAlign w:val="top"/>
          </w:tcPr>
          <w:p>
            <w:r>
              <w:t>North-east</w:t>
            </w:r>
          </w:p>
        </w:tc>
        <w:tc>
          <w:tcPr>
            <w:tcW w:type="dxa" w:w="2498"/>
            <w:vAlign w:val="top"/>
          </w:tcPr>
          <w:p>
            <w:r>
              <w:t>Viśākhā</w:t>
            </w:r>
          </w:p>
        </w:tc>
        <w:tc>
          <w:tcPr>
            <w:tcW w:type="dxa" w:w="2498"/>
            <w:vAlign w:val="top"/>
          </w:tcPr>
          <w:p>
            <w:r>
              <w:t>Madana-sukhada / Viśākhānandada</w:t>
            </w:r>
          </w:p>
        </w:tc>
        <w:tc>
          <w:tcPr>
            <w:tcW w:type="dxa" w:w="2498"/>
            <w:vAlign w:val="top"/>
          </w:tcPr>
          <w:p>
            <w:r>
              <w:t>7.73–78</w:t>
            </w:r>
          </w:p>
        </w:tc>
      </w:tr>
      <w:tr>
        <w:trPr>
          <w:cantSplit/>
        </w:trPr>
        <w:tc>
          <w:tcPr>
            <w:tcW w:type="dxa" w:w="2498"/>
            <w:vAlign w:val="top"/>
          </w:tcPr>
          <w:p>
            <w:r>
              <w:t>East</w:t>
            </w:r>
          </w:p>
        </w:tc>
        <w:tc>
          <w:tcPr>
            <w:tcW w:type="dxa" w:w="2498"/>
            <w:vAlign w:val="top"/>
          </w:tcPr>
          <w:p>
            <w:r>
              <w:t>Citrā</w:t>
            </w:r>
          </w:p>
        </w:tc>
        <w:tc>
          <w:tcPr>
            <w:tcW w:type="dxa" w:w="2498"/>
            <w:vAlign w:val="top"/>
          </w:tcPr>
          <w:p>
            <w:r>
              <w:t>Citrānandada</w:t>
            </w:r>
          </w:p>
        </w:tc>
        <w:tc>
          <w:tcPr>
            <w:tcW w:type="dxa" w:w="2498"/>
            <w:vAlign w:val="top"/>
          </w:tcPr>
          <w:p>
            <w:r>
              <w:t>7.79–80</w:t>
            </w:r>
          </w:p>
        </w:tc>
      </w:tr>
      <w:tr>
        <w:trPr>
          <w:cantSplit/>
        </w:trPr>
        <w:tc>
          <w:tcPr>
            <w:tcW w:type="dxa" w:w="2498"/>
            <w:vAlign w:val="top"/>
          </w:tcPr>
          <w:p>
            <w:r>
              <w:t>South-east</w:t>
            </w:r>
          </w:p>
        </w:tc>
        <w:tc>
          <w:tcPr>
            <w:tcW w:type="dxa" w:w="2498"/>
            <w:vAlign w:val="top"/>
          </w:tcPr>
          <w:p>
            <w:r>
              <w:t>Indulekhā</w:t>
            </w:r>
          </w:p>
        </w:tc>
        <w:tc>
          <w:tcPr>
            <w:tcW w:type="dxa" w:w="2498"/>
            <w:vAlign w:val="top"/>
          </w:tcPr>
          <w:p>
            <w:r>
              <w:t>Pūrṇendu-kuñja</w:t>
            </w:r>
          </w:p>
        </w:tc>
        <w:tc>
          <w:tcPr>
            <w:tcW w:type="dxa" w:w="2498"/>
            <w:vAlign w:val="top"/>
          </w:tcPr>
          <w:p>
            <w:r>
              <w:t>7.81–84</w:t>
            </w:r>
          </w:p>
        </w:tc>
      </w:tr>
      <w:tr>
        <w:trPr>
          <w:cantSplit/>
        </w:trPr>
        <w:tc>
          <w:tcPr>
            <w:tcW w:type="dxa" w:w="2498"/>
            <w:vAlign w:val="top"/>
          </w:tcPr>
          <w:p>
            <w:r>
              <w:t>South</w:t>
            </w:r>
          </w:p>
        </w:tc>
        <w:tc>
          <w:tcPr>
            <w:tcW w:type="dxa" w:w="2498"/>
            <w:vAlign w:val="top"/>
          </w:tcPr>
          <w:p>
            <w:r>
              <w:t>Campakalatā</w:t>
            </w:r>
          </w:p>
        </w:tc>
        <w:tc>
          <w:tcPr>
            <w:tcW w:type="dxa" w:w="2498"/>
            <w:vAlign w:val="top"/>
          </w:tcPr>
          <w:p>
            <w:r>
              <w:t>Campakalatānandada / golden kuñja</w:t>
            </w:r>
          </w:p>
        </w:tc>
        <w:tc>
          <w:tcPr>
            <w:tcW w:type="dxa" w:w="2498"/>
            <w:vAlign w:val="top"/>
          </w:tcPr>
          <w:p>
            <w:r>
              <w:t>7.85–92</w:t>
            </w:r>
          </w:p>
        </w:tc>
      </w:tr>
      <w:tr>
        <w:trPr>
          <w:cantSplit/>
        </w:trPr>
        <w:tc>
          <w:tcPr>
            <w:tcW w:type="dxa" w:w="2498"/>
            <w:vAlign w:val="top"/>
          </w:tcPr>
          <w:p>
            <w:r>
              <w:t>South-west</w:t>
            </w:r>
          </w:p>
        </w:tc>
        <w:tc>
          <w:tcPr>
            <w:tcW w:type="dxa" w:w="2498"/>
            <w:vAlign w:val="top"/>
          </w:tcPr>
          <w:p>
            <w:r>
              <w:t>Raṅgadevī</w:t>
            </w:r>
          </w:p>
        </w:tc>
        <w:tc>
          <w:tcPr>
            <w:tcW w:type="dxa" w:w="2498"/>
            <w:vAlign w:val="top"/>
          </w:tcPr>
          <w:p>
            <w:r>
              <w:t>Śyāma-kuñja</w:t>
            </w:r>
          </w:p>
        </w:tc>
        <w:tc>
          <w:tcPr>
            <w:tcW w:type="dxa" w:w="2498"/>
            <w:vAlign w:val="top"/>
          </w:tcPr>
          <w:p>
            <w:r>
              <w:t>7.93–95</w:t>
            </w:r>
          </w:p>
        </w:tc>
      </w:tr>
      <w:tr>
        <w:trPr>
          <w:cantSplit/>
        </w:trPr>
        <w:tc>
          <w:tcPr>
            <w:tcW w:type="dxa" w:w="2498"/>
            <w:vAlign w:val="top"/>
          </w:tcPr>
          <w:p>
            <w:r>
              <w:t>West</w:t>
            </w:r>
          </w:p>
        </w:tc>
        <w:tc>
          <w:tcPr>
            <w:tcW w:type="dxa" w:w="2498"/>
            <w:vAlign w:val="top"/>
          </w:tcPr>
          <w:p>
            <w:r>
              <w:t>Tuṅgavidyā</w:t>
            </w:r>
          </w:p>
        </w:tc>
        <w:tc>
          <w:tcPr>
            <w:tcW w:type="dxa" w:w="2498"/>
            <w:vAlign w:val="top"/>
          </w:tcPr>
          <w:p>
            <w:r>
              <w:t>Aruṇa-kuñja</w:t>
            </w:r>
          </w:p>
        </w:tc>
        <w:tc>
          <w:tcPr>
            <w:tcW w:type="dxa" w:w="2498"/>
            <w:vAlign w:val="top"/>
          </w:tcPr>
          <w:p>
            <w:r>
              <w:t>7.96–97</w:t>
            </w:r>
          </w:p>
        </w:tc>
      </w:tr>
      <w:tr>
        <w:trPr>
          <w:cantSplit/>
        </w:trPr>
        <w:tc>
          <w:tcPr>
            <w:tcW w:type="dxa" w:w="2498"/>
            <w:vAlign w:val="top"/>
          </w:tcPr>
          <w:p>
            <w:r>
              <w:t>North-west</w:t>
            </w:r>
          </w:p>
        </w:tc>
        <w:tc>
          <w:tcPr>
            <w:tcW w:type="dxa" w:w="2498"/>
            <w:vAlign w:val="top"/>
          </w:tcPr>
          <w:p>
            <w:r>
              <w:t>Sudevī</w:t>
            </w:r>
          </w:p>
        </w:tc>
        <w:tc>
          <w:tcPr>
            <w:tcW w:type="dxa" w:w="2498"/>
            <w:vAlign w:val="top"/>
          </w:tcPr>
          <w:p>
            <w:r>
              <w:t>Harit-kuñja / Sudevī-sukhada</w:t>
            </w:r>
          </w:p>
        </w:tc>
        <w:tc>
          <w:tcPr>
            <w:tcW w:type="dxa" w:w="2498"/>
            <w:vAlign w:val="top"/>
          </w:tcPr>
          <w:p>
            <w:r>
              <w:t>7.98–99</w:t>
            </w:r>
          </w:p>
        </w:tc>
      </w:tr>
      <w:tr>
        <w:trPr>
          <w:cantSplit/>
        </w:trPr>
        <w:tc>
          <w:tcPr>
            <w:tcW w:type="dxa" w:w="2498"/>
            <w:vAlign w:val="top"/>
          </w:tcPr>
          <w:p>
            <w:r>
              <w:t>Center, in the water</w:t>
            </w:r>
          </w:p>
        </w:tc>
        <w:tc>
          <w:tcPr>
            <w:tcW w:type="dxa" w:w="2498"/>
            <w:vAlign w:val="top"/>
          </w:tcPr>
          <w:p>
            <w:r>
              <w:t>Anaṅga Mañjarī</w:t>
            </w:r>
          </w:p>
        </w:tc>
        <w:tc>
          <w:tcPr>
            <w:tcW w:type="dxa" w:w="2498"/>
            <w:vAlign w:val="top"/>
          </w:tcPr>
          <w:p>
            <w:r>
              <w:t>Salila-kamala-sadma</w:t>
            </w:r>
          </w:p>
        </w:tc>
        <w:tc>
          <w:tcPr>
            <w:tcW w:type="dxa" w:w="2498"/>
            <w:vAlign w:val="top"/>
          </w:tcPr>
          <w:p>
            <w:r>
              <w:t>7.100–101</w:t>
            </w:r>
          </w:p>
        </w:tc>
      </w:tr>
    </w:tbl>
    <w:tbl>
      <w:tblPr>
        <w:tblW w:type="auto" w:w="0"/>
        <w:jc w:val="center"/>
        <w:tblLook w:firstColumn="1" w:firstRow="1" w:lastColumn="0" w:lastRow="0" w:noHBand="0" w:noVBand="1" w:val="04A0"/>
      </w:tblPr>
      <w:tblGrid>
        <w:gridCol w:w="9994"/>
      </w:tblGrid>
      <w:tr>
        <w:trPr>
          <w:cantSplit/>
        </w:trPr>
        <w:tc>
          <w:tcPr>
            <w:tcW w:type="dxa" w:w="9994"/>
            <w:shd w:fill="F3EBDD"/>
          </w:tcPr>
          <w:p>
            <w:r>
              <w:rPr>
                <w:b/>
                <w:color w:val="7B2638"/>
              </w:rPr>
              <w:t xml:space="preserve">MAP BOUNDARY  </w:t>
            </w:r>
            <w:r>
              <w:t>Everything above is nitya-līlā/textual geography. It may later be cross-referenced to early pilgrimage or modern sites, but no present ghāṭ, property wedge, shrine, tree, or causeway is identified here as the exact physical footprint of these eternal structures.</w:t>
            </w:r>
          </w:p>
        </w:tc>
      </w:tr>
    </w:tbl>
    <w:p>
      <w:pPr>
        <w:pStyle w:val="Kicker"/>
      </w:pPr>
      <w:r>
        <w:t>READER-FACING PROSE</w:t>
      </w:r>
    </w:p>
    <w:p>
      <w:pPr>
        <w:pStyle w:val="Heading1"/>
      </w:pPr>
      <w:r>
        <w:t>5. The Eternal Landscape of Rādhā-kuṇḍa</w:t>
      </w:r>
    </w:p>
    <w:p>
      <w:r>
        <w:t>At the end of the manifestation story, Rādhā-kuṇḍa has already become more than a newly filled lake. Kṛṣṇa has promised to bathe and sport there daily; Rādhā has answered with Her own vow; and the night has opened into rāsa. The next generation of Gauḍīya writing does not leave those promises as abstractions. It gives them a landscape.</w:t>
      </w:r>
    </w:p>
    <w:p>
      <w:r>
        <w:t>Within the present project corpus, Kṛṣṇadāsa Kavirāja’s Govinda-līlāmṛta gives the most detailed early Gauḍīya map of that eternal Rādhā-kuṇḍa. Yet Sarga 7 does not begin like a survey. It begins with Kṛṣṇa moving. After going some distance, He turns by another path and comes to Rādhā-kuṇḍa, priyā-saṅgotsukaḥ—eager for the company of His beloved. Before a single jeweled stair or grove is described, the purpose of the place is therefore clear. Rādhā-kuṇḍa is a destination of meeting.</w:t>
      </w:r>
    </w:p>
    <w:p>
      <w:r>
        <w:t>The lake that comes into view is ringed by rows of jeweled steps. At the four cardinal directions are four tīrthas or bathing approaches, each joined to pavilions and paved jeweled platforms. Nearby, four swings hang from trees: campaka in the south, nīpa in the east, mango in the west, and bakula in the north. The vocabulary matters. Kṛṣṇadāsa says tīrtha; he does not give us the names of four later masonry ghāṭs. These are features of the nitya-līlā landscape, and the present-day perimeter must be studied separately.</w:t>
      </w:r>
    </w:p>
    <w:p>
      <w:r>
        <w:t>The most important fixed point comes almost immediately. Between the east and south-east sides Rādhā-kuṇḍa joins the “beloved kuṇḍa,” and above the meeting stands a remarkable bridge: pūrvāgneya-diśor madhye priya-kuṇḍena saṅgatam / tatrordhve stambhakālambi-citra-setu-samanvitam. The text therefore gives us both saṅgama and setu—joined waters and a bridge—at an exact directional sector. Later in the same description Kṛṣṇadāsa explicitly names the companion lake Ariṣṭa-kuṇḍa. The eternal textual map is precise; what it does not tell us is whether the modern causeway occupies the identical historical footprint.</w:t>
      </w:r>
    </w:p>
    <w:p>
      <w:r>
        <w:t>Around the water stretches a far larger environment than the word “pond” suggests. Kṛṣṇadāsa describes water and bathing areas of different depths, seasonally pleasant temperatures, jeweled pavements, vine-covered bowers, pavilions, terraces, beds and seats, flower and fruit gardens, banana groves, pathways, awnings and swings. The water is perfumed by lotuses and other blossoms. Birds call from the gardens. Peacocks dance. Parrots and śārīs speak of Kṛṣṇa’s pastimes.</w:t>
      </w:r>
    </w:p>
    <w:p>
      <w:r>
        <w:t>But the decisive feature is service. Forest goddesses gather flowers and fruits. Hundreds of kuñja-dāsīs prepare articles needed for the Couple. Storehouses contain the materials of service. Beds are arranged from fresh leaves and flowers; drinking vessels, sweet refreshments, tāmbūla and other necessities are ready before they are asked for. Vṛndā supervises the environment. The landscape is not merely beautiful scenery surrounding a sacred lake. Its beauty has been organized for sevā.</w:t>
      </w:r>
    </w:p>
    <w:p>
      <w:r>
        <w:t>Raghunātha dāsa Gosvāmī gives the same world in compressed form. In Rādhā-kuṇḍāṣṭaka 6 he praises the “sweet bank-groves” of Rādhā-kuṇḍa, each distinguished by name and divided among Rādhā’s own circle of attendants. Kṛṣṇadāsa then turns that principle into a compass. “On its bank,” he writes, “groves shine in the eight directions,” each famous by the name of one of Rādhā’s dearest companions and lovingly prepared by their own hands for the Divine Couple’s delight.</w:t>
      </w:r>
    </w:p>
    <w:p>
      <w:r>
        <w:t>The arrangement is orderly without being mechanical. Lalitā occupies the north; Viśākhā the north-east; Citrā the east; Indulekhā the south-east; Campakalatā the south; Raṅgadevī the south-west; Tuṅgavidyā the west; and Sudevī the north-west. Their names do not merely label eight wedges around a diagram. Each grove develops its own visual and functional character, and each belongs to a senior companion whose service authority will become important when we meet the people of the landscape more fully.</w:t>
      </w:r>
    </w:p>
    <w:p>
      <w:r>
        <w:t>Lalitā’s northern sector is by far the most elaborate. Near the northern tīrtha lies a lotus-like court called Anaṅga-raṅgāmbuja. Within the larger complex Lalitānandada functions as a royal or principal grove for Rādhā, Kṛṣṇa and Their companions. Vasanta-sukhada lies toward the north-west; Padma-mandira toward the south-west; Mādhavānandada toward the north-east. Four further lotus-groves—Sitāmbuja, Asitāmbuja, Aruṇāmbuja and Hemāmbuja—occupy their own directions.</w:t>
      </w:r>
    </w:p>
    <w:p>
      <w:r>
        <w:t>One of Lalitā’s most vivid spaces is the south-eastern swing area, Hindola-kuṭṭima, also called Madanāndolana. Govinda-līlāmṛta 7.63 places Rādhā and Kṛṣṇa at the center of an eight-petalled arrangement. Their companions occupy the surrounding petals, some singing while Vṛndā swings the Divine Couple. Here sacred geography becomes choreography: the position of the grove, the shape of the lotus, the companions, the music and Vṛndā’s service are a single scene.</w:t>
      </w:r>
    </w:p>
    <w:p>
      <w:r>
        <w:t>The other directional groves are more briefly described but no less distinctive. Viśākhā’s north-eastern Madana-sukhada is dense with flowering trees and creepers and is carefully maintained under her circle. Citrā’s eastern grove is variegated in color. Indulekhā’s Pūrṇendu-kuñja is white with crystal, moonstone, white flowers and birds; under the full moon Rādhā and Kṛṣṇa can become invisible there even to visitors who enter. Campakalatā’s southern grove glows gold and contains a kuñja kitchen where, with Vṛndā, she may arrange a private meal. Raṅgadevī’s south-western Śyāma-kuñja is dark with tamāla and sapphire-like tones; Tuṅgavidyā’s western Aruṇa-kuñja is red; Sudevī’s north-western Harit-kuñja is green. The compass is also a palette.</w:t>
      </w:r>
    </w:p>
    <w:p>
      <w:r>
        <w:t>Then Kṛṣṇadāsa does something unexpected. After filling the perimeter with eight senior sakhī groves, he places another dwelling not on the bank but in the water itself. The Salila-kamala-sadma is formed like a sixteen-petalled lotus and linked by a bridge on the northern, Kubera side. It belongs to Anaṅga Mañjarī. This is not a ninth slice added to the eightfold ring; it is a center.</w:t>
      </w:r>
    </w:p>
    <w:p>
      <w:r>
        <w:t>Anaṅga Mañjarī’s position deserves care because her name can tempt a later taxonomy to control the earlier text. Rūpa Gosvāmī classifies her among the vara-sakhīs and elsewhere identifies her as Rādhā’s younger sister. Govinda-līlāmṛta gives her the central water-lotus dwelling. The project therefore preserves her exact source category rather than assuming that every figure whose name contains “Mañjarī” belongs to one undifferentiated class. Her full social identity belongs to Section 7; here it is enough to see how strikingly the geography places her.</w:t>
      </w:r>
    </w:p>
    <w:p>
      <w:r>
        <w:t>Rādhā-kuṇḍa’s banks are also places of speech, not only architecture. Raghunātha’s next verse imagines Rādhā seated on a splendid bank-side terrace with Her prāṇa-sakhīs, delighting in the sweetest conversation concerning the moon of the cowherd settlement—Kṛṣṇa. The named groves therefore hold counsel, teasing, messages, music and confidence. They are inhabited relational spaces.</w:t>
      </w:r>
    </w:p>
    <w:p>
      <w:r>
        <w:t>The companion pond has its own social geography. Govinda-līlāmṛta first calls it Ariṣṭa-kuṇḍa and describes it as resting beside Rādhā-kuṇḍa with corresponding banks and waters. Then, in verses 111–117, Kṛṣṇadāsa turns from Rādhā’s eight sakhī groves to kuñjas associated with Kṛṣṇa’s intimate priya-narma-sakhās. He names Subala, Madhumaṅgala, Ujjvala, Arjuna, Gandharva, Vidagdha, Bhṛṅga and Kokila, along with other confidential friends.</w:t>
      </w:r>
    </w:p>
    <w:p>
      <w:r>
        <w:t>The two systems are distinct, but they are not isolated from one another. The text says that the sakhās’ named groves are divided and assigned or offered to Rādhā, Lalitā and the others. Subala’s Subalānandadā grove lies in the Vāyu direction, the north-west, and is accepted by Rādhā; its bathing place is Mānasa-pāvana, where She bathes daily with Her companions. Madhumaṅgala’s northern grove is accepted by Lalitā; Ujjvala’s north-eastern grove by Viśākhā; corresponding relationships continue around the directions.</w:t>
      </w:r>
    </w:p>
    <w:p>
      <w:r>
        <w:t>What the text does not yet tell us, in a checked explanatory passage, is why the priya-narma-sakhās make these assignments. It is tempting to turn the arrangement immediately into a complete social theology of one group surrendering its spaces for another’s service. That may prove to be a fruitful interpretation, but for now the wording itself is enough: there is a separate sakhā-kuñja network around Ariṣṭa-kuṇḍa, and Kṛṣṇadāsa deliberately interweaves it with Rādhā’s circle rather than leaving two sealed worlds side by side.</w:t>
      </w:r>
    </w:p>
    <w:p>
      <w:r>
        <w:t>This is the point at which a map can help and also mislead. The Gosvāmī text gives us directions, names, relationships, bridges, bathing approaches and groves with remarkable precision. Those facts belong to the nitya-līlā map. They do not automatically draw modern property boundaries, date a masonry ghāṭ, or prove that a present shrine occupies the exact eternal position described in the poem. Later pilgrimage texts and local tradition may preserve important correspondences, but those belong to different evidentiary layers and will be introduced as such.</w:t>
      </w:r>
    </w:p>
    <w:p>
      <w:r>
        <w:t>What we can say already is substantial. In the Gosvāmī imagination Rādhā-kuṇḍa is not an empty sheet of water around which sacred memories accumulate. It is a prepared world: approached by paths, entered through tīrthas, joined to the companion pond, crossed by bridges, surrounded by groves, centered on a lotus dwelling, supplied for service, and inhabited by distinct circles of intimate associates. The architecture expresses relationship.</w:t>
      </w:r>
    </w:p>
    <w:p>
      <w:r>
        <w:t>And a relationship cannot remain static. Kṛṣṇadāsa began Sarga 7 with Kṛṣṇa turning toward the kuṇḍa, eager to meet Rādhā. The next step is therefore to let the map move—to follow how Rādhā and Kṛṣṇa leave their separate public worlds, travel under different pretexts, reach this landscape, and spend the midday hours within it.</w:t>
      </w:r>
    </w:p>
    <w:p/>
    <w:p>
      <w:pPr>
        <w:pStyle w:val="Kicker"/>
      </w:pPr>
      <w:r>
        <w:t>INTERNAL CONTROL APPARATUS • REMOVE OR CONVERT TO NOTES IN FINAL COMPILATION</w:t>
      </w:r>
    </w:p>
    <w:p>
      <w:pPr>
        <w:pStyle w:val="Heading1"/>
      </w:pPr>
      <w:r>
        <w:t>Sources actually used</w:t>
      </w:r>
    </w:p>
    <w:p>
      <w:r>
        <w:t>• Kṛṣṇadāsa Kavirāja, Govinda-līlāmṛta Sarga 7, especially 7.1–18, 7.25–30, 7.31–101, and 7.111–117. Sanskrit controlled through the local searchable mūla. The section uses the verse-level source decisions already verified in RK-02/RK-03.</w:t>
      </w:r>
    </w:p>
    <w:p>
      <w:r>
        <w:t>• Raghunātha dāsa Gosvāmī, Rādhā-kuṇḍāṣṭaka 6–8 in the local Stavāvalī witness. Verse 6 supplies independent named-bank-kuñja evidence; verse 7 supplies the bank-side prāṇa-sakhī social setting; verse 8 remains the daily-līlā bridge from Section 4.</w:t>
      </w:r>
    </w:p>
    <w:p>
      <w:r>
        <w:t>• RK-02 — Rādhā-kuṇḍa Nitya-līlā &amp; Sacred Geography Research Ledger v0.2: controlling sacred-architecture, directional mandala, Lalitā micro-geography, Anaṅga Mañjarī center, and sakhā-kuñja rulings.</w:t>
      </w:r>
    </w:p>
    <w:p>
      <w:r>
        <w:t>• RK-03 — People of the Rādhā-kuṇḍa Landscape v0.3: controls Anaṅga Mañjarī’s vara-sakhī classification and the unresolved social rationale of GL 7.111–117.</w:t>
      </w:r>
    </w:p>
    <w:p>
      <w:r>
        <w:t>• Rādhā-Kṛṣṇa-gaṇoddeśa-dīpikā 121–122 and related passages, used only to prevent a taxonomic error about Anaṅga Mañjarī; the fuller people study remains reserved for RKST-07.</w:t>
      </w:r>
    </w:p>
    <w:p>
      <w:r>
        <w:t>• Vraja-rīti-cintāmaṇi is retained as an A-level/later-Gosvāmī cross-text witness to idealized Vraja geography but does not control the detailed map here.</w:t>
      </w:r>
    </w:p>
    <w:p>
      <w:r>
        <w:t>• RKST-00 Writing Blueprint v1.0 and the master Rādhā-kuṇḍa dossier v0.4 for section scope, source-layer discipline, and modern-localization cautions.</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check</w:t>
            </w:r>
          </w:p>
        </w:tc>
        <w:tc>
          <w:tcPr>
            <w:tcW w:type="dxa" w:w="2498"/>
            <w:shd w:fill="7B2638"/>
          </w:tcPr>
          <w:p>
            <w:r>
              <w:rPr>
                <w:b/>
                <w:color w:val="FFFFFF"/>
              </w:rPr>
              <w:t>Final-use status</w:t>
            </w:r>
          </w:p>
        </w:tc>
      </w:tr>
      <w:tr>
        <w:trPr>
          <w:cantSplit/>
        </w:trPr>
        <w:tc>
          <w:tcPr>
            <w:tcW w:type="dxa" w:w="2498"/>
            <w:vAlign w:val="top"/>
          </w:tcPr>
          <w:p>
            <w:r>
              <w:t>GL 7.1</w:t>
            </w:r>
          </w:p>
        </w:tc>
        <w:tc>
          <w:tcPr>
            <w:tcW w:type="dxa" w:w="2498"/>
            <w:vAlign w:val="top"/>
          </w:tcPr>
          <w:p>
            <w:r>
              <w:t>rādhā-kuṇḍaṁ samāyātaḥ priyā-saṅgotsukaḥ</w:t>
            </w:r>
          </w:p>
        </w:tc>
        <w:tc>
          <w:tcPr>
            <w:tcW w:type="dxa" w:w="2498"/>
            <w:vAlign w:val="top"/>
          </w:tcPr>
          <w:p>
            <w:r>
              <w:t>Local searchable mūla / RK-02</w:t>
            </w:r>
          </w:p>
        </w:tc>
        <w:tc>
          <w:tcPr>
            <w:tcW w:type="dxa" w:w="2498"/>
            <w:vAlign w:val="top"/>
          </w:tcPr>
          <w:p>
            <w:r>
              <w:t>KEEP — opening movement</w:t>
            </w:r>
          </w:p>
        </w:tc>
      </w:tr>
      <w:tr>
        <w:trPr>
          <w:cantSplit/>
        </w:trPr>
        <w:tc>
          <w:tcPr>
            <w:tcW w:type="dxa" w:w="2498"/>
            <w:vAlign w:val="top"/>
          </w:tcPr>
          <w:p>
            <w:r>
              <w:t>GL 7.6</w:t>
            </w:r>
          </w:p>
        </w:tc>
        <w:tc>
          <w:tcPr>
            <w:tcW w:type="dxa" w:w="2498"/>
            <w:vAlign w:val="top"/>
          </w:tcPr>
          <w:p>
            <w:r>
              <w:t>pūrvāgneya-diśor madhye … saṅgatam … citra-setu</w:t>
            </w:r>
          </w:p>
        </w:tc>
        <w:tc>
          <w:tcPr>
            <w:tcW w:type="dxa" w:w="2498"/>
            <w:vAlign w:val="top"/>
          </w:tcPr>
          <w:p>
            <w:r>
              <w:t>Local searchable mūla / RK-02</w:t>
            </w:r>
          </w:p>
        </w:tc>
        <w:tc>
          <w:tcPr>
            <w:tcW w:type="dxa" w:w="2498"/>
            <w:vAlign w:val="top"/>
          </w:tcPr>
          <w:p>
            <w:r>
              <w:t>KEEP — principal map anchor</w:t>
            </w:r>
          </w:p>
        </w:tc>
      </w:tr>
      <w:tr>
        <w:trPr>
          <w:cantSplit/>
        </w:trPr>
        <w:tc>
          <w:tcPr>
            <w:tcW w:type="dxa" w:w="2498"/>
            <w:vAlign w:val="top"/>
          </w:tcPr>
          <w:p>
            <w:r>
              <w:t>RKA 6</w:t>
            </w:r>
          </w:p>
        </w:tc>
        <w:tc>
          <w:tcPr>
            <w:tcW w:type="dxa" w:w="2498"/>
            <w:vAlign w:val="top"/>
          </w:tcPr>
          <w:p>
            <w:r>
              <w:t>taṭa-madhura-nikuñjaḥ … saṁvibhajyāśritas</w:t>
            </w:r>
          </w:p>
        </w:tc>
        <w:tc>
          <w:tcPr>
            <w:tcW w:type="dxa" w:w="2498"/>
            <w:vAlign w:val="top"/>
          </w:tcPr>
          <w:p>
            <w:r>
              <w:t>Local Stavāvalī</w:t>
            </w:r>
          </w:p>
        </w:tc>
        <w:tc>
          <w:tcPr>
            <w:tcW w:type="dxa" w:w="2498"/>
            <w:vAlign w:val="top"/>
          </w:tcPr>
          <w:p>
            <w:r>
              <w:t>KEEP selectively — independent kuñja witness</w:t>
            </w:r>
          </w:p>
        </w:tc>
      </w:tr>
      <w:tr>
        <w:trPr>
          <w:cantSplit/>
        </w:trPr>
        <w:tc>
          <w:tcPr>
            <w:tcW w:type="dxa" w:w="2498"/>
            <w:vAlign w:val="top"/>
          </w:tcPr>
          <w:p>
            <w:r>
              <w:t>GL 7.27</w:t>
            </w:r>
          </w:p>
        </w:tc>
        <w:tc>
          <w:tcPr>
            <w:tcW w:type="dxa" w:w="2498"/>
            <w:vAlign w:val="top"/>
          </w:tcPr>
          <w:p>
            <w:r>
              <w:t>tīre kuñjā … aṣṭa-dikṣu … sva-sva-nāmnā</w:t>
            </w:r>
          </w:p>
        </w:tc>
        <w:tc>
          <w:tcPr>
            <w:tcW w:type="dxa" w:w="2498"/>
            <w:vAlign w:val="top"/>
          </w:tcPr>
          <w:p>
            <w:r>
              <w:t>Local searchable mūla</w:t>
            </w:r>
          </w:p>
        </w:tc>
        <w:tc>
          <w:tcPr>
            <w:tcW w:type="dxa" w:w="2498"/>
            <w:vAlign w:val="top"/>
          </w:tcPr>
          <w:p>
            <w:r>
              <w:t>KEEP — eight-direction principle</w:t>
            </w:r>
          </w:p>
        </w:tc>
      </w:tr>
      <w:tr>
        <w:trPr>
          <w:cantSplit/>
        </w:trPr>
        <w:tc>
          <w:tcPr>
            <w:tcW w:type="dxa" w:w="2498"/>
            <w:vAlign w:val="top"/>
          </w:tcPr>
          <w:p>
            <w:r>
              <w:t>GL 7.63</w:t>
            </w:r>
          </w:p>
        </w:tc>
        <w:tc>
          <w:tcPr>
            <w:tcW w:type="dxa" w:w="2498"/>
            <w:vAlign w:val="top"/>
          </w:tcPr>
          <w:p>
            <w:r>
              <w:t>madhya-gau rādhikācyutau … vṛndā dolayatīśvarau</w:t>
            </w:r>
          </w:p>
        </w:tc>
        <w:tc>
          <w:tcPr>
            <w:tcW w:type="dxa" w:w="2498"/>
            <w:vAlign w:val="top"/>
          </w:tcPr>
          <w:p>
            <w:r>
              <w:t>Local searchable mūla / RK-02</w:t>
            </w:r>
          </w:p>
        </w:tc>
        <w:tc>
          <w:tcPr>
            <w:tcW w:type="dxa" w:w="2498"/>
            <w:vAlign w:val="top"/>
          </w:tcPr>
          <w:p>
            <w:r>
              <w:t>PARAPHRASE — swing choreography</w:t>
            </w:r>
          </w:p>
        </w:tc>
      </w:tr>
      <w:tr>
        <w:trPr>
          <w:cantSplit/>
        </w:trPr>
        <w:tc>
          <w:tcPr>
            <w:tcW w:type="dxa" w:w="2498"/>
            <w:vAlign w:val="top"/>
          </w:tcPr>
          <w:p>
            <w:r>
              <w:t>GL 7.101</w:t>
            </w:r>
          </w:p>
        </w:tc>
        <w:tc>
          <w:tcPr>
            <w:tcW w:type="dxa" w:w="2498"/>
            <w:vAlign w:val="top"/>
          </w:tcPr>
          <w:p>
            <w:r>
              <w:t>ṣaḍ-adhika-daśa-patrāmbhojavat … salila-kamala-sadma</w:t>
            </w:r>
          </w:p>
        </w:tc>
        <w:tc>
          <w:tcPr>
            <w:tcW w:type="dxa" w:w="2498"/>
            <w:vAlign w:val="top"/>
          </w:tcPr>
          <w:p>
            <w:r>
              <w:t>Local searchable mūla / RK-03</w:t>
            </w:r>
          </w:p>
        </w:tc>
        <w:tc>
          <w:tcPr>
            <w:tcW w:type="dxa" w:w="2498"/>
            <w:vAlign w:val="top"/>
          </w:tcPr>
          <w:p>
            <w:r>
              <w:t>KEEP — central lotus dwelling</w:t>
            </w:r>
          </w:p>
        </w:tc>
      </w:tr>
      <w:tr>
        <w:trPr>
          <w:cantSplit/>
        </w:trPr>
        <w:tc>
          <w:tcPr>
            <w:tcW w:type="dxa" w:w="2498"/>
            <w:vAlign w:val="top"/>
          </w:tcPr>
          <w:p>
            <w:r>
              <w:t>GL 7.112–115</w:t>
            </w:r>
          </w:p>
        </w:tc>
        <w:tc>
          <w:tcPr>
            <w:tcW w:type="dxa" w:w="2498"/>
            <w:vAlign w:val="top"/>
          </w:tcPr>
          <w:p>
            <w:r>
              <w:t>priya-narma-vayasyā … subalānandadā … mānasa-pāvanam</w:t>
            </w:r>
          </w:p>
        </w:tc>
        <w:tc>
          <w:tcPr>
            <w:tcW w:type="dxa" w:w="2498"/>
            <w:vAlign w:val="top"/>
          </w:tcPr>
          <w:p>
            <w:r>
              <w:t>Local searchable mūla / RK-03</w:t>
            </w:r>
          </w:p>
        </w:tc>
        <w:tc>
          <w:tcPr>
            <w:tcW w:type="dxa" w:w="2498"/>
            <w:vAlign w:val="top"/>
          </w:tcPr>
          <w:p>
            <w:r>
              <w:t>KEEP selectively — companion pond system</w:t>
            </w:r>
          </w:p>
        </w:tc>
      </w:tr>
    </w:tbl>
    <w:p>
      <w:pPr>
        <w:pStyle w:val="Heading2"/>
      </w:pPr>
      <w:r>
        <w:t>Claims deliberately omitted or qualified</w:t>
      </w:r>
    </w:p>
    <w:p>
      <w:r>
        <w:t>• The four cardinal tīrthas in GL 7.2–3 are not equated with four named modern masonry ghāṭs.</w:t>
      </w:r>
    </w:p>
    <w:p>
      <w:r>
        <w:t>• The GL 7.6 setu is not identified as the exact historical footprint of the present causeway.</w:t>
      </w:r>
    </w:p>
    <w:p>
      <w:r>
        <w:t>• The eight directional sakhī groves are not converted into modern cadastral/property wedges.</w:t>
      </w:r>
    </w:p>
    <w:p>
      <w:r>
        <w:t>• Anaṅga Mañjarī is not flattened into an undifferentiated mañjarī taxonomy; Rūpa’s vara-sakhī classification is preserved.</w:t>
      </w:r>
    </w:p>
    <w:p>
      <w:r>
        <w:t>• The text’s sakhā-kuñja assignments in GL 7.113 are stated, but no motive is invented for them.</w:t>
      </w:r>
    </w:p>
    <w:p>
      <w:r>
        <w:t>• The A-level Vāyu/north-west placement of Subalānandadā/Mānasa-pāvana is not silently harmonized with Bhakti-ratnākara’s B-level north-of-Śyāma-kuṇḍa localization; that comparison belongs to later pilgrimage geography.</w:t>
      </w:r>
    </w:p>
    <w:p>
      <w:r>
        <w:t>• The modern/common name Śyāma-kuṇḍa may be used for orientation in later sections, but this section preserves Ariṣṭa-kuṇḍa where Govinda-līlāmṛta does.</w:t>
      </w:r>
    </w:p>
    <w:p>
      <w:pPr>
        <w:pStyle w:val="Heading2"/>
      </w:pPr>
      <w:r>
        <w:t>Open items carried forward</w:t>
      </w:r>
    </w:p>
    <w:p>
      <w:r>
        <w:t>• GL 7.111 sva-kāntāgrahato ’tisaṁskṛtaiḥ remains philologically unresolved in the project; the reader-facing prose deliberately does not translate or build an argument on the phrase.</w:t>
      </w:r>
    </w:p>
    <w:p>
      <w:r>
        <w:t>• The exact full reading/name of Madhumaṅgala’s northern kuñja in GL 7.116 remains a specialist philological item; this section refers only to Madhumaṅgala’s northern grove.</w:t>
      </w:r>
    </w:p>
    <w:p>
      <w:r>
        <w:t>• The reason the priya-narma-sakhās divide and assign their kuñjas to Rādhā, Lalitā and others remains interpretive rather than explicit.</w:t>
      </w:r>
    </w:p>
    <w:p>
      <w:r>
        <w:t>• Exact modern localization of the aṣṭa-sakhī groves, central Anaṅga Mañjarī memorial, Mānasa-pāvana, and the setu remains for the B/C/D and field-guide layers.</w:t>
      </w:r>
    </w:p>
    <w:p>
      <w:pPr>
        <w:pStyle w:val="Heading2"/>
      </w:pPr>
      <w:r>
        <w:t>Cross-references</w:t>
      </w:r>
    </w:p>
    <w:p>
      <w:r>
        <w:t>• RKST-04 — this section answers its closing question: what kind of place do the Gosvāmī texts say the kuṇḍa eternally is?</w:t>
      </w:r>
    </w:p>
    <w:p>
      <w:r>
        <w:t>• RKST-06 — animate this static map through the separate midday routes, appointment, arrival, seasonal movement, water-play, dice, Sūrya closure, and departure.</w:t>
      </w:r>
    </w:p>
    <w:p>
      <w:r>
        <w:t>• RKST-07 — return to Lalitā, Viśākhā, the aṣṭa-sakhīs, Anaṅga Mañjarī, Vṛndā, mañjarīs, and priya-narma-sakhās as people and service authorities rather than map labels.</w:t>
      </w:r>
    </w:p>
    <w:p>
      <w:r>
        <w:t>• RKST-13 — only there should the textual compass be compared with current shrines, ghāṭs, commemorative kuñjas, and the present causeway.</w:t>
      </w:r>
    </w:p>
    <w:tbl>
      <w:tblPr>
        <w:tblW w:type="auto" w:w="0"/>
        <w:jc w:val="center"/>
        <w:tblLook w:firstColumn="1" w:firstRow="1" w:lastColumn="0" w:lastRow="0" w:noHBand="0" w:noVBand="1" w:val="04A0"/>
      </w:tblPr>
      <w:tblGrid>
        <w:gridCol w:w="9994"/>
      </w:tblGrid>
      <w:tr>
        <w:trPr>
          <w:cantSplit/>
        </w:trPr>
        <w:tc>
          <w:tcPr>
            <w:tcW w:type="dxa" w:w="9994"/>
            <w:shd w:fill="F3EBDD"/>
          </w:tcPr>
          <w:p>
            <w:r>
              <w:t>FINALIZATION AUDIT  Completed 22 August 2026. One precision edit narrowed a potentially global claim about Govinda-līlāmṛta to the present project corpus. The nitya-līlā / modern localization boundary, Anaṅga Mañjarī classification, and unresolved sakhā-kuñja rationale were all retained without harmonization.</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RKST-05 • Final v1.0 • 22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RKST-05 — The Eternal Landscape of Rādhā-kuṇḍa — Final v1.0</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