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RKST-09</w:t>
      </w:r>
    </w:p>
    <w:p>
      <w:pPr>
        <w:jc w:val="center"/>
      </w:pPr>
      <w:r>
        <w:rPr>
          <w:b/>
          <w:color w:val="7B2638"/>
          <w:sz w:val="44"/>
        </w:rPr>
        <w:t>Mahāprabhu at Āriṭ-grāma</w:t>
      </w:r>
    </w:p>
    <w:p>
      <w:pPr>
        <w:jc w:val="center"/>
      </w:pPr>
      <w:r>
        <w:rPr>
          <w:i/>
          <w:sz w:val="23"/>
        </w:rPr>
        <w:t>Recognition, revelation, remembrance, and the road onward to Govardhana</w:t>
      </w:r>
    </w:p>
    <w:p/>
    <w:tbl>
      <w:tblPr>
        <w:tblW w:type="auto" w:w="0"/>
        <w:jc w:val="center"/>
        <w:tblLook w:firstColumn="1" w:firstRow="1" w:lastColumn="0" w:lastRow="0" w:noHBand="0" w:noVBand="1" w:val="04A0"/>
      </w:tblPr>
      <w:tblGrid>
        <w:gridCol w:w="9994"/>
      </w:tblGrid>
      <w:tr>
        <w:trPr>
          <w:cantSplit w:val="1"/>
        </w:trPr>
        <w:tc>
          <w:tcPr>
            <w:tcW w:type="dxa" w:w="9994"/>
            <w:shd w:fill="F3EBDD"/>
          </w:tcPr>
          <w:p>
            <w:r>
              <w:t>APPROVED STATUS  Final v1.0. Reader-facing prose approved by the user and then passed through source, quotation, evidence-layer, continuity, literary, open-item, and apparatus audits.</w:t>
            </w:r>
          </w:p>
        </w:tc>
      </w:tr>
    </w:tbl>
    <w:p>
      <w:pPr>
        <w:jc w:val="center"/>
      </w:pPr>
      <w:r>
        <w:rPr>
          <w:color w:val="5A5A5A"/>
          <w:sz w:val="19"/>
        </w:rPr>
        <w:t>Controlling A-level witness: Kṛṣṇadāsa Kavirāja, Caitanya-caritāmṛta Madhya 18.3–15, through RS-03.</w:t>
      </w:r>
    </w:p>
    <w:p>
      <w:r>
        <w:br w:type="page"/>
      </w:r>
    </w:p>
    <w:p>
      <w:pPr>
        <w:pStyle w:val="Kicker"/>
      </w:pPr>
      <w:r>
        <w:t>SOURCE CARD • CAITANYA-LĪLĀ SEQUENCE CHECKED BEFORE DRAFTING</w:t>
      </w:r>
    </w:p>
    <w:p>
      <w:pPr>
        <w:pStyle w:val="Heading1"/>
      </w:pPr>
      <w:r>
        <w:t>Caitanya-caritāmṛta Madhya 18.3–15</w:t>
      </w:r>
    </w:p>
    <w:p>
      <w:r>
        <w:t>RS-03 isolates this passage as a complete narrative unit. The force of the episode comes from its sequence: ecstatic arrival, inquiry, omniscient recognition, public astonishment, structured praise, nitya-līlā remembrance, dance, earth-tilaka, carried earth, and departure toward Govardhana. The reader-facing prose below preserves that order.</w:t>
      </w:r>
    </w:p>
    <w:p>
      <w:r>
        <w:rPr>
          <w:b/>
          <w:color w:val="7B2638"/>
        </w:rPr>
        <w:t>Caitanya-caritāmṛta, Madhya 18.3</w:t>
      </w:r>
    </w:p>
    <w:p>
      <w:pPr>
        <w:pStyle w:val="SourceSanskrit"/>
      </w:pPr>
      <w:r>
        <w:t>ei-mata mahāprabhu nācite nācite / ‘āriṭ’-grāme āsi’ ‘bāhya’ haila ācambite</w:t>
      </w:r>
    </w:p>
    <w:p>
      <w:r>
        <w:t>Thus Mahāprabhu came dancing and dancing; upon arriving at Āriṭ-grāma He suddenly returned to outward awareness.</w:t>
      </w:r>
    </w:p>
    <w:p>
      <w:r>
        <w:rPr>
          <w:b/>
          <w:color w:val="7B2638"/>
        </w:rPr>
        <w:t xml:space="preserve">Research use — </w:t>
      </w:r>
      <w:r>
        <w:t>The scene begins in ecstatic pilgrimage, not detached investigation. Bāhya haila is rendered carefully as return to outward awareness, without implying any loss of spiritual awareness.</w:t>
      </w:r>
    </w:p>
    <w:p>
      <w:r>
        <w:rPr>
          <w:b/>
          <w:color w:val="7B2638"/>
        </w:rPr>
        <w:t>Caitanya-caritāmṛta, Madhya 18.4–5</w:t>
      </w:r>
    </w:p>
    <w:p>
      <w:pPr>
        <w:pStyle w:val="SourceSanskrit"/>
      </w:pPr>
      <w:r>
        <w:t>āriṭe rādhā-kuṇḍa-vārtā puche loka-sthāne / keha nāhi kahe, saṅgera brāhmaṇa nā jāne ||4||</w:t>
        <w:br/>
        <w:t>tīrtha ‘lupta’ jāni’ prabhu sarvajña bhagavān / dui dhānya-kṣetre alpa-jale kailā snāna ||5||</w:t>
      </w:r>
    </w:p>
    <w:p>
      <w:r>
        <w:t>At Āriṭ He asked the local people for news of Rādhā-kuṇḍa. No one could tell Him, and the accompanying brāhmaṇa did not know. Knowing the tīrtha to be obscured or lost, the omniscient Lord bathed in the little water of two paddy fields.</w:t>
      </w:r>
    </w:p>
    <w:p>
      <w:r>
        <w:rPr>
          <w:b/>
          <w:color w:val="7B2638"/>
        </w:rPr>
        <w:t xml:space="preserve">Research use — </w:t>
      </w:r>
      <w:r>
        <w:t>This is the governing recognition anchor: inhabited village, obscured tīrtha, omniscience, little visible water, and bathing—not excavation.</w:t>
      </w:r>
    </w:p>
    <w:p>
      <w:r>
        <w:rPr>
          <w:b/>
          <w:color w:val="7B2638"/>
        </w:rPr>
        <w:t>Caitanya-caritāmṛta, Madhya 18.6–7</w:t>
      </w:r>
    </w:p>
    <w:p>
      <w:pPr>
        <w:pStyle w:val="SourceSanskrit"/>
      </w:pPr>
      <w:r>
        <w:t>dekhi’ saba grāmya-lokera vismaya haila mana / preme prabhu kare rādhā-kuṇḍera stavana ||6||</w:t>
        <w:br/>
        <w:t>saba gopī haite rādhā kṛṣṇera preyasī / taiche rādhā-kuṇḍa priya ‘priyāra sarasī’ ||7||</w:t>
      </w:r>
    </w:p>
    <w:p>
      <w:r>
        <w:t>Seeing this, all the villagers were filled with astonishment. In prema the Lord praised Rādhā-kuṇḍa: among all the gopīs Rādhā is Kṛṣṇa’s dearest; likewise Rādhā-kuṇḍa is dear as the lake of His beloved.</w:t>
      </w:r>
    </w:p>
    <w:p>
      <w:r>
        <w:rPr>
          <w:b/>
          <w:color w:val="7B2638"/>
        </w:rPr>
        <w:t xml:space="preserve">Research use — </w:t>
      </w:r>
      <w:r>
        <w:t>Recognition becomes public through sacred action and praise. The lake’s identity is relational: it is dear because it is Rādhā’s.</w:t>
      </w:r>
    </w:p>
    <w:p>
      <w:r>
        <w:rPr>
          <w:b/>
          <w:color w:val="7B2638"/>
        </w:rPr>
        <w:t>Caitanya-caritāmṛta, Madhya 18.8</w:t>
      </w:r>
    </w:p>
    <w:p>
      <w:pPr>
        <w:pStyle w:val="SourceSanskrit"/>
      </w:pPr>
      <w:r>
        <w:t>yathā rādhā priyā viṣṇos / tasyāḥ kuṇḍaṁ priyaṁ tathā / sarva-gopīṣu saivaikā / viṣṇor atyanta-vallabhā</w:t>
      </w:r>
    </w:p>
    <w:p>
      <w:r>
        <w:t>As Rādhā is dear to Viṣṇu or Kṛṣṇa, so Her kuṇḍa is dear to Him; among all the gopīs She alone is supremely beloved of Him.</w:t>
      </w:r>
    </w:p>
    <w:p>
      <w:r>
        <w:rPr>
          <w:b/>
          <w:color w:val="7B2638"/>
        </w:rPr>
        <w:t xml:space="preserve">Research use — </w:t>
      </w:r>
      <w:r>
        <w:t>Kṛṣṇadāsa immediately grounds the Bengali proposition in a Sanskrit authority. In the project Mathurā-māhātmya witness these lines occur across 421–422 and are traced there to Padma Purāṇa material.</w:t>
      </w:r>
    </w:p>
    <w:p>
      <w:r>
        <w:rPr>
          <w:b/>
          <w:color w:val="7B2638"/>
        </w:rPr>
        <w:t>Caitanya-caritāmṛta, Madhya 18.9–11</w:t>
      </w:r>
    </w:p>
    <w:p>
      <w:pPr>
        <w:pStyle w:val="SourceSanskrit"/>
      </w:pPr>
      <w:r>
        <w:t>yei kuṇḍe nitya kṛṣṇa rādhikāra saṅge / jale jala-keli kare, tīre rāsa-raṅge ||9||</w:t>
        <w:br/>
        <w:t>sei kuṇḍe yei eka-bāra kare snāna / tāṅre rādhā-sama ‘prema’ kṛṣṇa kare dāna ||10||</w:t>
        <w:br/>
        <w:t>kuṇḍera ‘mādhurī’ — yena rādhāra ‘madhurimā’ / kuṇḍera ‘mahimā’ — yena rādhāra ‘mahimā’ ||11||</w:t>
      </w:r>
    </w:p>
    <w:p>
      <w:r>
        <w:t>In this kuṇḍa Kṛṣṇa daily and enduringly performs water-play with Rādhikā and delights in rāsa on the bank. To one who bathes there even once, Kṛṣṇa gives prema like Rādhā’s. The lake’s sweetness is like Rādhā’s sweetness, and its greatness like Her greatness.</w:t>
      </w:r>
    </w:p>
    <w:p>
      <w:r>
        <w:rPr>
          <w:b/>
          <w:color w:val="7B2638"/>
        </w:rPr>
        <w:t xml:space="preserve">Research use — </w:t>
      </w:r>
      <w:r>
        <w:t>This is the central reversal of appearance: alpa-jala is read through nitya-līlā, prema, mādhurī, and mahimā rather than external scale.</w:t>
      </w:r>
    </w:p>
    <w:p>
      <w:r>
        <w:rPr>
          <w:b/>
          <w:color w:val="7B2638"/>
        </w:rPr>
        <w:t>Caitanya-caritāmṛta, Madhya 18.12</w:t>
      </w:r>
    </w:p>
    <w:p>
      <w:pPr>
        <w:pStyle w:val="SourceSanskrit"/>
      </w:pPr>
      <w:r>
        <w:t>śrī-rādheva hares tadīya-sarasī preṣṭhādbhutaiḥ svair guṇair / yasyāṁ śrī-yuta-mādhavendur aniśaṁ prītyā tayā krīḍati / premāsmin bata rādhikeva labhate yasyāṁ sakṛt snāna-kṛt / tasyā vai mahimā tathā madhurimā kenāstu varṇyaḥ kṣitau</w:t>
      </w:r>
    </w:p>
    <w:p>
      <w:r>
        <w:t>Her lake is as dear to Hari as Śrī Rādhā by its own wonderful qualities. There the moonlike Mādhava plays with Her incessantly in affection. One who bathes there even once obtains love for Him like Rādhikā’s. Who on earth can describe its greatness and sweetness?</w:t>
      </w:r>
    </w:p>
    <w:p>
      <w:r>
        <w:rPr>
          <w:b/>
          <w:color w:val="7B2638"/>
        </w:rPr>
        <w:t xml:space="preserve">Research use — </w:t>
      </w:r>
      <w:r>
        <w:t>This is Kṛṣṇadāsa’s own Govinda-līlāmṛta 7.102 as quoted in Caitanya-caritāmṛta. The CC and local GL mūla contain variants; this section follows the CC witness when narrating Mahāprabhu’s praise.</w:t>
      </w:r>
    </w:p>
    <w:p>
      <w:r>
        <w:rPr>
          <w:b/>
          <w:color w:val="7B2638"/>
        </w:rPr>
        <w:t>Caitanya-caritāmṛta, Madhya 18.13–14</w:t>
      </w:r>
    </w:p>
    <w:p>
      <w:pPr>
        <w:pStyle w:val="SourceSanskrit"/>
      </w:pPr>
      <w:r>
        <w:t>ei-mata stuti kare premāviṣṭa hañā / tīre nṛtya kare kuṇḍa-līlā saṅariyā ||13||</w:t>
        <w:br/>
        <w:t>kuṇḍera mṛttikā lañā tilaka karila / bhaṭṭācārya-dvārā mṛttikā saṅge kari’ laila ||14||</w:t>
      </w:r>
    </w:p>
    <w:p>
      <w:r>
        <w:t>Having praised in this way and become overwhelmed with prema, He danced on the bank while remembering the kuṇḍa-līlā. Taking earth from the kuṇḍa, He made tilaka and, through Bhaṭṭācārya, carried some of that earth onward.</w:t>
      </w:r>
    </w:p>
    <w:p>
      <w:r>
        <w:rPr>
          <w:b/>
          <w:color w:val="7B2638"/>
        </w:rPr>
        <w:t xml:space="preserve">Research use — </w:t>
      </w:r>
      <w:r>
        <w:t>Praise becomes smaraṇa and bodily response. Earth marks the body and accompanies the pilgrim onward; the verse does not establish a modern commercial or prescribed collection practice.</w:t>
      </w:r>
    </w:p>
    <w:p>
      <w:r>
        <w:rPr>
          <w:b/>
          <w:color w:val="7B2638"/>
        </w:rPr>
        <w:t>Caitanya-caritāmṛta, Madhya 18.15</w:t>
      </w:r>
    </w:p>
    <w:p>
      <w:pPr>
        <w:pStyle w:val="SourceSanskrit"/>
      </w:pPr>
      <w:r>
        <w:t>tabe cali’ āilā prabhu ‘sumanaḥ-sarovara’ / tāhāṅ ‘govardhana’ dekhi’ ha-ilā vihvala</w:t>
      </w:r>
    </w:p>
    <w:p>
      <w:r>
        <w:t>Then the Lord traveled to Sumanas-sarovara. Seeing Govardhana from there, He became overwhelmed.</w:t>
      </w:r>
    </w:p>
    <w:p>
      <w:r>
        <w:rPr>
          <w:b/>
          <w:color w:val="7B2638"/>
        </w:rPr>
        <w:t xml:space="preserve">Research use — </w:t>
      </w:r>
      <w:r>
        <w:t>Narrative handoff. The Rādhā-kuṇḍa visit opens directly into Govardhana pilgrimage; the modern location of Sumanas-sarovara remains unresolved.</w:t>
      </w:r>
    </w:p>
    <w:p>
      <w:pPr>
        <w:pStyle w:val="Heading2"/>
      </w:pPr>
      <w:r>
        <w:t>Nine-movement narrative control</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Movement</w:t>
            </w:r>
          </w:p>
        </w:tc>
        <w:tc>
          <w:tcPr>
            <w:tcW w:type="dxa" w:w="2498"/>
            <w:shd w:fill="7B2638"/>
          </w:tcPr>
          <w:p>
            <w:r>
              <w:rPr>
                <w:b/>
                <w:color w:val="FFFFFF"/>
              </w:rPr>
              <w:t>Verses</w:t>
            </w:r>
          </w:p>
        </w:tc>
        <w:tc>
          <w:tcPr>
            <w:tcW w:type="dxa" w:w="2498"/>
            <w:shd w:fill="7B2638"/>
          </w:tcPr>
          <w:p>
            <w:r>
              <w:rPr>
                <w:b/>
                <w:color w:val="FFFFFF"/>
              </w:rPr>
              <w:t>Direct movement</w:t>
            </w:r>
          </w:p>
        </w:tc>
        <w:tc>
          <w:tcPr>
            <w:tcW w:type="dxa" w:w="2498"/>
            <w:shd w:fill="7B2638"/>
          </w:tcPr>
          <w:p>
            <w:r>
              <w:rPr>
                <w:b/>
                <w:color w:val="FFFFFF"/>
              </w:rPr>
              <w:t>Drafting rule</w:t>
            </w:r>
          </w:p>
        </w:tc>
      </w:tr>
      <w:tr>
        <w:trPr>
          <w:cantSplit w:val="1"/>
        </w:trPr>
        <w:tc>
          <w:tcPr>
            <w:tcW w:type="dxa" w:w="2498"/>
            <w:vAlign w:val="top"/>
          </w:tcPr>
          <w:p>
            <w:r>
              <w:t>1. Ecstatic arrival</w:t>
            </w:r>
          </w:p>
        </w:tc>
        <w:tc>
          <w:tcPr>
            <w:tcW w:type="dxa" w:w="2498"/>
            <w:vAlign w:val="top"/>
          </w:tcPr>
          <w:p>
            <w:r>
              <w:t>18.3</w:t>
            </w:r>
          </w:p>
        </w:tc>
        <w:tc>
          <w:tcPr>
            <w:tcW w:type="dxa" w:w="2498"/>
            <w:vAlign w:val="top"/>
          </w:tcPr>
          <w:p>
            <w:r>
              <w:t>Dancing until outward awareness focuses at Āriṭ-grāma.</w:t>
            </w:r>
          </w:p>
        </w:tc>
        <w:tc>
          <w:tcPr>
            <w:tcW w:type="dxa" w:w="2498"/>
            <w:vAlign w:val="top"/>
          </w:tcPr>
          <w:p>
            <w:r>
              <w:t>Begin in motion, not with a modern survey.</w:t>
            </w:r>
          </w:p>
        </w:tc>
      </w:tr>
      <w:tr>
        <w:trPr>
          <w:cantSplit w:val="1"/>
        </w:trPr>
        <w:tc>
          <w:tcPr>
            <w:tcW w:type="dxa" w:w="2498"/>
            <w:vAlign w:val="top"/>
          </w:tcPr>
          <w:p>
            <w:r>
              <w:t>2. Inquiry</w:t>
            </w:r>
          </w:p>
        </w:tc>
        <w:tc>
          <w:tcPr>
            <w:tcW w:type="dxa" w:w="2498"/>
            <w:vAlign w:val="top"/>
          </w:tcPr>
          <w:p>
            <w:r>
              <w:t>18.4</w:t>
            </w:r>
          </w:p>
        </w:tc>
        <w:tc>
          <w:tcPr>
            <w:tcW w:type="dxa" w:w="2498"/>
            <w:vAlign w:val="top"/>
          </w:tcPr>
          <w:p>
            <w:r>
              <w:t>Locals and accompanying brāhmaṇa cannot identify Rādhā-kuṇḍa.</w:t>
            </w:r>
          </w:p>
        </w:tc>
        <w:tc>
          <w:tcPr>
            <w:tcW w:type="dxa" w:w="2498"/>
            <w:vAlign w:val="top"/>
          </w:tcPr>
          <w:p>
            <w:r>
              <w:t>Village known; tīrtha identity obscured.</w:t>
            </w:r>
          </w:p>
        </w:tc>
      </w:tr>
      <w:tr>
        <w:trPr>
          <w:cantSplit w:val="1"/>
        </w:trPr>
        <w:tc>
          <w:tcPr>
            <w:tcW w:type="dxa" w:w="2498"/>
            <w:vAlign w:val="top"/>
          </w:tcPr>
          <w:p>
            <w:r>
              <w:t>3. Recognition and bath</w:t>
            </w:r>
          </w:p>
        </w:tc>
        <w:tc>
          <w:tcPr>
            <w:tcW w:type="dxa" w:w="2498"/>
            <w:vAlign w:val="top"/>
          </w:tcPr>
          <w:p>
            <w:r>
              <w:t>18.5</w:t>
            </w:r>
          </w:p>
        </w:tc>
        <w:tc>
          <w:tcPr>
            <w:tcW w:type="dxa" w:w="2498"/>
            <w:vAlign w:val="top"/>
          </w:tcPr>
          <w:p>
            <w:r>
              <w:t>Sarvajña Bhagavān knows the lupta tīrtha; bathes in little water.</w:t>
            </w:r>
          </w:p>
        </w:tc>
        <w:tc>
          <w:tcPr>
            <w:tcW w:type="dxa" w:w="2498"/>
            <w:vAlign w:val="top"/>
          </w:tcPr>
          <w:p>
            <w:r>
              <w:t>Recognition, not excavation.</w:t>
            </w:r>
          </w:p>
        </w:tc>
      </w:tr>
      <w:tr>
        <w:trPr>
          <w:cantSplit w:val="1"/>
        </w:trPr>
        <w:tc>
          <w:tcPr>
            <w:tcW w:type="dxa" w:w="2498"/>
            <w:vAlign w:val="top"/>
          </w:tcPr>
          <w:p>
            <w:r>
              <w:t>4. Public astonishment</w:t>
            </w:r>
          </w:p>
        </w:tc>
        <w:tc>
          <w:tcPr>
            <w:tcW w:type="dxa" w:w="2498"/>
            <w:vAlign w:val="top"/>
          </w:tcPr>
          <w:p>
            <w:r>
              <w:t>18.6</w:t>
            </w:r>
          </w:p>
        </w:tc>
        <w:tc>
          <w:tcPr>
            <w:tcW w:type="dxa" w:w="2498"/>
            <w:vAlign w:val="top"/>
          </w:tcPr>
          <w:p>
            <w:r>
              <w:t>Villagers marvel; Mahāprabhu praises in prema.</w:t>
            </w:r>
          </w:p>
        </w:tc>
        <w:tc>
          <w:tcPr>
            <w:tcW w:type="dxa" w:w="2498"/>
            <w:vAlign w:val="top"/>
          </w:tcPr>
          <w:p>
            <w:r>
              <w:t>Public disclosure through action and devotion.</w:t>
            </w:r>
          </w:p>
        </w:tc>
      </w:tr>
      <w:tr>
        <w:trPr>
          <w:cantSplit w:val="1"/>
        </w:trPr>
        <w:tc>
          <w:tcPr>
            <w:tcW w:type="dxa" w:w="2498"/>
            <w:vAlign w:val="top"/>
          </w:tcPr>
          <w:p>
            <w:r>
              <w:t>5. Dearness</w:t>
            </w:r>
          </w:p>
        </w:tc>
        <w:tc>
          <w:tcPr>
            <w:tcW w:type="dxa" w:w="2498"/>
            <w:vAlign w:val="top"/>
          </w:tcPr>
          <w:p>
            <w:r>
              <w:t>18.7–8</w:t>
            </w:r>
          </w:p>
        </w:tc>
        <w:tc>
          <w:tcPr>
            <w:tcW w:type="dxa" w:w="2498"/>
            <w:vAlign w:val="top"/>
          </w:tcPr>
          <w:p>
            <w:r>
              <w:t>Rādhā’s dearness grounds the lake’s dearness.</w:t>
            </w:r>
          </w:p>
        </w:tc>
        <w:tc>
          <w:tcPr>
            <w:tcW w:type="dxa" w:w="2498"/>
            <w:vAlign w:val="top"/>
          </w:tcPr>
          <w:p>
            <w:r>
              <w:t>Relational theology.</w:t>
            </w:r>
          </w:p>
        </w:tc>
      </w:tr>
      <w:tr>
        <w:trPr>
          <w:cantSplit w:val="1"/>
        </w:trPr>
        <w:tc>
          <w:tcPr>
            <w:tcW w:type="dxa" w:w="2498"/>
            <w:vAlign w:val="top"/>
          </w:tcPr>
          <w:p>
            <w:r>
              <w:t>6. Nitya-līlā and fruit</w:t>
            </w:r>
          </w:p>
        </w:tc>
        <w:tc>
          <w:tcPr>
            <w:tcW w:type="dxa" w:w="2498"/>
            <w:vAlign w:val="top"/>
          </w:tcPr>
          <w:p>
            <w:r>
              <w:t>18.9–12</w:t>
            </w:r>
          </w:p>
        </w:tc>
        <w:tc>
          <w:tcPr>
            <w:tcW w:type="dxa" w:w="2498"/>
            <w:vAlign w:val="top"/>
          </w:tcPr>
          <w:p>
            <w:r>
              <w:t>Water-play, rāsa, prema, sweetness, glory.</w:t>
            </w:r>
          </w:p>
        </w:tc>
        <w:tc>
          <w:tcPr>
            <w:tcW w:type="dxa" w:w="2498"/>
            <w:vAlign w:val="top"/>
          </w:tcPr>
          <w:p>
            <w:r>
              <w:t>Visible littleness interpreted through eternal līlā.</w:t>
            </w:r>
          </w:p>
        </w:tc>
      </w:tr>
      <w:tr>
        <w:trPr>
          <w:cantSplit w:val="1"/>
        </w:trPr>
        <w:tc>
          <w:tcPr>
            <w:tcW w:type="dxa" w:w="2498"/>
            <w:vAlign w:val="top"/>
          </w:tcPr>
          <w:p>
            <w:r>
              <w:t>7. Remembrance and dance</w:t>
            </w:r>
          </w:p>
        </w:tc>
        <w:tc>
          <w:tcPr>
            <w:tcW w:type="dxa" w:w="2498"/>
            <w:vAlign w:val="top"/>
          </w:tcPr>
          <w:p>
            <w:r>
              <w:t>18.13</w:t>
            </w:r>
          </w:p>
        </w:tc>
        <w:tc>
          <w:tcPr>
            <w:tcW w:type="dxa" w:w="2498"/>
            <w:vAlign w:val="top"/>
          </w:tcPr>
          <w:p>
            <w:r>
              <w:t>He remembers kuṇḍa-līlā and dances.</w:t>
            </w:r>
          </w:p>
        </w:tc>
        <w:tc>
          <w:tcPr>
            <w:tcW w:type="dxa" w:w="2498"/>
            <w:vAlign w:val="top"/>
          </w:tcPr>
          <w:p>
            <w:r>
              <w:t>Do not omit smaraṇa.</w:t>
            </w:r>
          </w:p>
        </w:tc>
      </w:tr>
      <w:tr>
        <w:trPr>
          <w:cantSplit w:val="1"/>
        </w:trPr>
        <w:tc>
          <w:tcPr>
            <w:tcW w:type="dxa" w:w="2498"/>
            <w:vAlign w:val="top"/>
          </w:tcPr>
          <w:p>
            <w:r>
              <w:t>8. Earth and carried memory</w:t>
            </w:r>
          </w:p>
        </w:tc>
        <w:tc>
          <w:tcPr>
            <w:tcW w:type="dxa" w:w="2498"/>
            <w:vAlign w:val="top"/>
          </w:tcPr>
          <w:p>
            <w:r>
              <w:t>18.14</w:t>
            </w:r>
          </w:p>
        </w:tc>
        <w:tc>
          <w:tcPr>
            <w:tcW w:type="dxa" w:w="2498"/>
            <w:vAlign w:val="top"/>
          </w:tcPr>
          <w:p>
            <w:r>
              <w:t>Tilaka from earth; earth taken onward.</w:t>
            </w:r>
          </w:p>
        </w:tc>
        <w:tc>
          <w:tcPr>
            <w:tcW w:type="dxa" w:w="2498"/>
            <w:vAlign w:val="top"/>
          </w:tcPr>
          <w:p>
            <w:r>
              <w:t>Embodied honor, not invented modern custom.</w:t>
            </w:r>
          </w:p>
        </w:tc>
      </w:tr>
      <w:tr>
        <w:trPr>
          <w:cantSplit w:val="1"/>
        </w:trPr>
        <w:tc>
          <w:tcPr>
            <w:tcW w:type="dxa" w:w="2498"/>
            <w:vAlign w:val="top"/>
          </w:tcPr>
          <w:p>
            <w:r>
              <w:t>9. Govardhana handoff</w:t>
            </w:r>
          </w:p>
        </w:tc>
        <w:tc>
          <w:tcPr>
            <w:tcW w:type="dxa" w:w="2498"/>
            <w:vAlign w:val="top"/>
          </w:tcPr>
          <w:p>
            <w:r>
              <w:t>18.15</w:t>
            </w:r>
          </w:p>
        </w:tc>
        <w:tc>
          <w:tcPr>
            <w:tcW w:type="dxa" w:w="2498"/>
            <w:vAlign w:val="top"/>
          </w:tcPr>
          <w:p>
            <w:r>
              <w:t>Sumanas-sarovara; sight of Govardhana.</w:t>
            </w:r>
          </w:p>
        </w:tc>
        <w:tc>
          <w:tcPr>
            <w:tcW w:type="dxa" w:w="2498"/>
            <w:vAlign w:val="top"/>
          </w:tcPr>
          <w:p>
            <w:r>
              <w:t>Close here; Govardhana begins next.</w:t>
            </w:r>
          </w:p>
        </w:tc>
      </w:tr>
    </w:tbl>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INTERPRETIVE CENTER  </w:t>
            </w:r>
            <w:r>
              <w:t>The project’s phrase “visible littleness, revealed fullness” summarizes the structure of the scene. It is not a quotation. Mahāprabhu does not deny the paddy fields or little water; He reveals what outward appearance cannot measure.</w:t>
            </w:r>
          </w:p>
        </w:tc>
      </w:tr>
    </w:tbl>
    <w:p>
      <w:r>
        <w:br w:type="page"/>
      </w:r>
    </w:p>
    <w:p>
      <w:pPr>
        <w:pStyle w:val="Kicker"/>
      </w:pPr>
      <w:r>
        <w:t>READER-FACING PROSE</w:t>
      </w:r>
    </w:p>
    <w:p>
      <w:pPr>
        <w:pStyle w:val="Heading1"/>
      </w:pPr>
      <w:r>
        <w:t>9. Mahāprabhu at Āriṭ-grāma: Recognition and Revelation</w:t>
      </w:r>
    </w:p>
    <w:p>
      <w:r>
        <w:t>The previous section ended with a paradox: the sacred waters were present, yet their identity was no longer visible to the people living around them. Kṛṣṇadāsa Kavirāja begins the next scene without resolving that paradox through archaeology, a surviving map, or an old inscription. Śrī Caitanya Mahāprabhu comes dancing through Vraja.</w:t>
      </w:r>
    </w:p>
    <w:p>
      <w:r>
        <w:t>Ei-mata mahāprabhu nācite nācite—“in this way Mahāprabhu, dancing and dancing”—He arrives at Āriṭ-grāma. Only then does He suddenly become bāhya. The word can easily be misunderstood if translated too mechanically. Kṛṣṇadāsa is not suggesting that spiritual awareness had vanished and ordinary awareness now replaced it. The safer sense is that Mahāprabhu returns to outwardly focused awareness: ecstatic movement through Vraja narrows into attention upon the particular place before Him.</w:t>
      </w:r>
    </w:p>
    <w:p>
      <w:r>
        <w:t>He begins by asking. At Āriṭ He inquires from the local people about Rādhā-kuṇḍa. No one can tell Him. The brāhmaṇa traveling with Him does not know either. The scene therefore repeats the restraint that governed our last section. Āriṭ-grāma is not an abandoned ruin waiting to be discovered. It is inhabited. People are present. What has become inaccessible is the recognized identity of the tīrtha.</w:t>
      </w:r>
    </w:p>
    <w:p>
      <w:r>
        <w:t>Then Kṛṣṇadāsa gives the sentence on which the whole episode turns: tīrtha ‘lupta’ jāni’ prabhu sarvajña bhagavān / dui dhānya-kṣetre alpa-jale kailā snāna. “Knowing the tīrtha to be obscured or lost, the omniscient Lord bathed in the little water of two paddy fields.” The two halves of the verse belong together. Mahāprabhu knows because He is sarvajña bhagavān, the omniscient Lord; what He knows is a tīrtha that has become lupta; what everyone outwardly sees is agricultural land with very little water; and His first response is to bathe.</w:t>
      </w:r>
    </w:p>
    <w:p>
      <w:r>
        <w:t>That bath is the first public declaration. He does not begin by ordering laborers to dig. He does not establish masonry steps, a causeway, ghāṭs or a temple. The verse says kailā snāna—He bathed. In doing so He treats the slight waters as the sacred waters before any surrounding observer can explain them. Recognition becomes visible through participation.</w:t>
      </w:r>
    </w:p>
    <w:p>
      <w:r>
        <w:t>The villagers notice. Their minds fill with astonishment. Now the scene changes from recognition to revelation, because Mahāprabhu begins to praise Rādhā-kuṇḍa in prema. He does not argue from size, antiquity or monumentality. He begins with Rādhā.</w:t>
      </w:r>
    </w:p>
    <w:p>
      <w:r>
        <w:t>“Among all the gopīs,” Kṛṣṇadāsa has Him proclaim, “Rādhā is Kṛṣṇa’s dearest; likewise Rādhā-kuṇḍa is dear as the lake of His beloved.” The proposition is immediately followed by a Sanskrit authority: yathā rādhā priyā viṣṇos / tasyāḥ kuṇḍaṁ priyaṁ tathā—“As Rādhā is dear to Kṛṣṇa, so Her kuṇḍa is dear to Him.” This is the same relational principle we encountered earlier in Rūpa Gosvāmī’s Mathurā-māhātmya. At Āriṭ-grāma, with only shallow water in two paddy fields before Him, Mahāprabhu speaks as though the true measure of the place is already settled: know Rādhā’s relation to Kṛṣṇa, and you have begun to know the lake.</w:t>
      </w:r>
    </w:p>
    <w:p>
      <w:r>
        <w:t>Kṛṣṇadāsa then makes the contrast between visible form and revealed identity almost impossible to miss. “In this kuṇḍa,” he says, “Kṛṣṇa nitya—daily and enduringly—performs water-play with Rādhikā, and on its bank delights in rāsa.” The external scene gives little water; the devotional text gives perpetual play. The field before the villagers is agriculturally ordinary; Mahāprabhu remembers an eternal meeting place.</w:t>
      </w:r>
    </w:p>
    <w:p>
      <w:r>
        <w:t>The next verse moves from what the kuṇḍa is to how a devotee participates in it. One who bathes there even once, Kṛṣṇadāsa says, receives from Kṛṣṇa prema like Rādhā’s. This is one of the strongest promises in the passage, and it is easy to isolate it into a mechanical formula. But the verse is not standing alone. It is inside a sequence of recognition, praise, Rādhā’s dearness, nitya-līlā, remembrance and prema. The chapter’s devotional logic is not that sacred water functions as an impersonal mechanism; bathing belongs to relation, shelter and participation in the place Mahāprabhu is revealing.</w:t>
      </w:r>
    </w:p>
    <w:p>
      <w:r>
        <w:t>Then comes a pair of correspondences that return us to the same point from another angle: kuṇḍera mādhurī—yena rādhāra madhurimā; kuṇḍera mahimā—yena rādhāra mahimā. The lake’s sweetness is like Rādhā’s sweetness; the lake’s greatness is like Rādhā’s greatness. A reader standing beside a shallow agricultural depression might measure water depth, shoreline, construction or age. Mahāprabhu’s praise uses another measure.</w:t>
      </w:r>
    </w:p>
    <w:p>
      <w:r>
        <w:t>Kṛṣṇadāsa seals the praise by quoting a verse from his own Govinda-līlāmṛta. The lake is as dear to Hari as Rādhā; Mādhava plays there incessantly with Her; bathing there is joined to Rādhā-like love; and its mahimā and madhurimā—its greatness and sweetness—are said to exceed description. The Caitanya-caritāmṛta and the local Govinda-līlāmṛta mūla preserve small textual variants in this verse, and those differences belong in our critical notes. For the narrative, the important point is simpler: the author who elsewhere gave us the jeweled steps, eight sakhī groves, bridges, service environments and midday movements now places that mature nitya-līlā theology inside Mahāprabhu’s praise of the almost invisible tīrtha.</w:t>
      </w:r>
    </w:p>
    <w:p>
      <w:r>
        <w:t>Praise does not remain speech. Kṛṣṇadāsa says that Mahāprabhu becomes overwhelmed with prema and dances on the bank while remembering the kuṇḍa-līlā. The word smaraṇa matters. He is not simply celebrating the discovery of an important place. The place calls its līlā into memory, and remembrance moves the body. The dance is an act of interpretation.</w:t>
      </w:r>
    </w:p>
    <w:p>
      <w:r>
        <w:t>Then Mahāprabhu bends down to the earth. He takes mṛttikā from the kuṇḍa and marks His body with tilaka. Through Balabhadra Bhaṭṭācārya He carries some of that earth with Him. The progression is striking: first water upon the body through bathing; then praise upon the tongue; then līlā within remembrance; then dance; then the earth of the place upon the body as tilaka; then that earth accompanies the pilgrim onward. Rādhā-kuṇḍa is not revealed as an object to be inspected and left behind.</w:t>
      </w:r>
    </w:p>
    <w:p>
      <w:r>
        <w:t>This act, too, needs restraint. The verse does not tell us how much earth was taken, prescribe a modern collection method, establish a commercial custom, or identify a present shop or distribution practice. What it establishes is more intimate: Mahāprabhu honored the earth of the kuṇḍa on His own body and did not leave all physical contact with the place behind when He departed.</w:t>
      </w:r>
    </w:p>
    <w:p>
      <w:r>
        <w:t>And He does depart. Rādhā-kuṇḍa is not the end of His Vraja pilgrimage. Kṛṣṇadāsa says that Mahāprabhu travels next to Sumanas-sarovara. From there He sees Govardhana and becomes overwhelmed. The precise modern localization of Sumanas-sarovara remains unresolved in our project, so we should not pretend to map this line more exactly than the text permits. But its narrative function is unmistakable: Rādhā-kuṇḍa opens onto Girirāja.</w:t>
      </w:r>
    </w:p>
    <w:p>
      <w:r>
        <w:t>The full movement at Āriṭ-grāma can now be seen. Mahāprabhu arrives dancing. He asks people who cannot identify the tīrtha. As the omniscient Lord, He recognizes it despite its obscurity. He bathes before explaining. Villagers marvel. He praises Rādhā and Her lake, remembers eternal water-play and rāsa, speaks of prema, sweetness and glory, dances in līlā-smaraṇa, marks Himself with the lake’s earth, carries that earth onward, and then turns toward Govardhana.</w:t>
      </w:r>
    </w:p>
    <w:p>
      <w:r>
        <w:t>Nothing in this sequence says that Mahāprabhu constructed the Rādhā-kuṇḍa complex known today. Its power lies elsewhere. A sacred place whose public identity had become nearly invisible is made visible again by the way Mahāprabhu sees, acts and speaks. He reveals fullness without pretending that the outward littleness is not there.</w:t>
      </w:r>
    </w:p>
    <w:p>
      <w:r>
        <w:t>The story, however, cannot stop with recognition. The two waters that Mahāprabhu found in paddy fields would later become the center of a resident Gauḍīya devotional community. For that transition we must meet the person whose own prayers make Rādhā-kuṇḍa not merely a place to visit, but the place where he wished to remain: Raghunātha dāsa Gosvāmī.</w:t>
      </w:r>
    </w:p>
    <w:p/>
    <w:p>
      <w:pPr>
        <w:pStyle w:val="Kicker"/>
      </w:pPr>
      <w:r>
        <w:t>INTERNAL CONTROL APPARATUS • REMOVE OR CONVERT TO NOTES IN FINAL COMPILATION</w:t>
      </w:r>
    </w:p>
    <w:p>
      <w:pPr>
        <w:pStyle w:val="Heading1"/>
      </w:pPr>
      <w:r>
        <w:t>Sources actually used</w:t>
      </w:r>
    </w:p>
    <w:p>
      <w:r>
        <w:t>• Kṛṣṇadāsa Kavirāja, Caitanya-caritāmṛta Madhya 18.3–15. Bengali, Roman transliteration, verse sequence, and embedded-source identifications are preserved through the checked RS-03 quotation packet.</w:t>
      </w:r>
    </w:p>
    <w:p>
      <w:r>
        <w:t>• RS-03 — Śrī Caitanya Mahāprabhu at Rādhā-kuṇḍa, v1.0. This is the controlling research document for bāhya, lupta, sarvajña, alpa-jala, the structure of verses 7–12, smaraṇa, mṛttikā, and the Govardhana handoff.</w:t>
      </w:r>
    </w:p>
    <w:p>
      <w:r>
        <w:t>• Rūpa Gosvāmī, Mathurā-māhātmya 421–422, for the adjacent Padma Purāṇa dearness lines embedded by Kṛṣṇadāsa in CC Madhya 18.8.</w:t>
      </w:r>
    </w:p>
    <w:p>
      <w:r>
        <w:t>• Kṛṣṇadāsa Kavirāja, Govinda-līlāmṛta 7.102, as the variant Sanskrit witness quoted in CC Madhya 18.12. CC wording controls the reader-facing quotation in this section.</w:t>
      </w:r>
    </w:p>
    <w:p>
      <w:r>
        <w:t>• RK-04 v0.3 and master dossier v0.4 for the historical boundary between Mahāprabhu’s recognition and Raghunātha’s later restoration tradition.</w:t>
      </w:r>
    </w:p>
    <w:p>
      <w:r>
        <w:t>• RKST-08 Final v1.0 for the immediate narrative handoff from obscuration to recognition, and RKST-00 for the requirement that Section 9 preserve the complete Caitanya-līlā sequence.</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status</w:t>
            </w:r>
          </w:p>
        </w:tc>
        <w:tc>
          <w:tcPr>
            <w:tcW w:type="dxa" w:w="2498"/>
            <w:shd w:fill="7B2638"/>
          </w:tcPr>
          <w:p>
            <w:r>
              <w:rPr>
                <w:b/>
                <w:color w:val="FFFFFF"/>
              </w:rPr>
              <w:t>Final-use status</w:t>
            </w:r>
          </w:p>
        </w:tc>
      </w:tr>
      <w:tr>
        <w:trPr>
          <w:cantSplit w:val="1"/>
        </w:trPr>
        <w:tc>
          <w:tcPr>
            <w:tcW w:type="dxa" w:w="2498"/>
            <w:vAlign w:val="top"/>
          </w:tcPr>
          <w:p>
            <w:r>
              <w:t>CC Madhya 18.3</w:t>
            </w:r>
          </w:p>
        </w:tc>
        <w:tc>
          <w:tcPr>
            <w:tcW w:type="dxa" w:w="2498"/>
            <w:vAlign w:val="top"/>
          </w:tcPr>
          <w:p>
            <w:r>
              <w:t>nācite nācite … āriṭ-grāme … bāhya</w:t>
            </w:r>
          </w:p>
        </w:tc>
        <w:tc>
          <w:tcPr>
            <w:tcW w:type="dxa" w:w="2498"/>
            <w:vAlign w:val="top"/>
          </w:tcPr>
          <w:p>
            <w:r>
              <w:t>RS-03 / checked Vedabase witness</w:t>
            </w:r>
          </w:p>
        </w:tc>
        <w:tc>
          <w:tcPr>
            <w:tcW w:type="dxa" w:w="2498"/>
            <w:vAlign w:val="top"/>
          </w:tcPr>
          <w:p>
            <w:r>
              <w:t>PARAPHRASE + key terms</w:t>
            </w:r>
          </w:p>
        </w:tc>
      </w:tr>
      <w:tr>
        <w:trPr>
          <w:cantSplit w:val="1"/>
        </w:trPr>
        <w:tc>
          <w:tcPr>
            <w:tcW w:type="dxa" w:w="2498"/>
            <w:vAlign w:val="top"/>
          </w:tcPr>
          <w:p>
            <w:r>
              <w:t>CC Madhya 18.4–5</w:t>
            </w:r>
          </w:p>
        </w:tc>
        <w:tc>
          <w:tcPr>
            <w:tcW w:type="dxa" w:w="2498"/>
            <w:vAlign w:val="top"/>
          </w:tcPr>
          <w:p>
            <w:r>
              <w:t>rādhā-kuṇḍa-vārtā … tīrtha ‘lupta’ … sarvajña … alpa-jale</w:t>
            </w:r>
          </w:p>
        </w:tc>
        <w:tc>
          <w:tcPr>
            <w:tcW w:type="dxa" w:w="2498"/>
            <w:vAlign w:val="top"/>
          </w:tcPr>
          <w:p>
            <w:r>
              <w:t>RS-03 / checked Vedabase witness</w:t>
            </w:r>
          </w:p>
        </w:tc>
        <w:tc>
          <w:tcPr>
            <w:tcW w:type="dxa" w:w="2498"/>
            <w:vAlign w:val="top"/>
          </w:tcPr>
          <w:p>
            <w:r>
              <w:t>KEEP — central recognition anchor</w:t>
            </w:r>
          </w:p>
        </w:tc>
      </w:tr>
      <w:tr>
        <w:trPr>
          <w:cantSplit w:val="1"/>
        </w:trPr>
        <w:tc>
          <w:tcPr>
            <w:tcW w:type="dxa" w:w="2498"/>
            <w:vAlign w:val="top"/>
          </w:tcPr>
          <w:p>
            <w:r>
              <w:t>CC Madhya 18.6–8</w:t>
            </w:r>
          </w:p>
        </w:tc>
        <w:tc>
          <w:tcPr>
            <w:tcW w:type="dxa" w:w="2498"/>
            <w:vAlign w:val="top"/>
          </w:tcPr>
          <w:p>
            <w:r>
              <w:t>preme … stavana; rādhā kṛṣṇera preyasī; yathā rādhā priyā viṣṇos</w:t>
            </w:r>
          </w:p>
        </w:tc>
        <w:tc>
          <w:tcPr>
            <w:tcW w:type="dxa" w:w="2498"/>
            <w:vAlign w:val="top"/>
          </w:tcPr>
          <w:p>
            <w:r>
              <w:t>RS-03; MM 421–422 checked</w:t>
            </w:r>
          </w:p>
        </w:tc>
        <w:tc>
          <w:tcPr>
            <w:tcW w:type="dxa" w:w="2498"/>
            <w:vAlign w:val="top"/>
          </w:tcPr>
          <w:p>
            <w:r>
              <w:t>KEEP selectively — public praise/dearness</w:t>
            </w:r>
          </w:p>
        </w:tc>
      </w:tr>
      <w:tr>
        <w:trPr>
          <w:cantSplit w:val="1"/>
        </w:trPr>
        <w:tc>
          <w:tcPr>
            <w:tcW w:type="dxa" w:w="2498"/>
            <w:vAlign w:val="top"/>
          </w:tcPr>
          <w:p>
            <w:r>
              <w:t>CC Madhya 18.9–11</w:t>
            </w:r>
          </w:p>
        </w:tc>
        <w:tc>
          <w:tcPr>
            <w:tcW w:type="dxa" w:w="2498"/>
            <w:vAlign w:val="top"/>
          </w:tcPr>
          <w:p>
            <w:r>
              <w:t>nitya … jala-keli … rāsa-raṅge; rādhā-sama prema; mādhurī/mahimā</w:t>
            </w:r>
          </w:p>
        </w:tc>
        <w:tc>
          <w:tcPr>
            <w:tcW w:type="dxa" w:w="2498"/>
            <w:vAlign w:val="top"/>
          </w:tcPr>
          <w:p>
            <w:r>
              <w:t>RS-03 / checked Vedabase witness</w:t>
            </w:r>
          </w:p>
        </w:tc>
        <w:tc>
          <w:tcPr>
            <w:tcW w:type="dxa" w:w="2498"/>
            <w:vAlign w:val="top"/>
          </w:tcPr>
          <w:p>
            <w:r>
              <w:t>KEEP selectively — revealed fullness</w:t>
            </w:r>
          </w:p>
        </w:tc>
      </w:tr>
      <w:tr>
        <w:trPr>
          <w:cantSplit w:val="1"/>
        </w:trPr>
        <w:tc>
          <w:tcPr>
            <w:tcW w:type="dxa" w:w="2498"/>
            <w:vAlign w:val="top"/>
          </w:tcPr>
          <w:p>
            <w:r>
              <w:t>CC Madhya 18.12</w:t>
            </w:r>
          </w:p>
        </w:tc>
        <w:tc>
          <w:tcPr>
            <w:tcW w:type="dxa" w:w="2498"/>
            <w:vAlign w:val="top"/>
          </w:tcPr>
          <w:p>
            <w:r>
              <w:t>śrī-rādheva hares tadīya-sarasī …</w:t>
            </w:r>
          </w:p>
        </w:tc>
        <w:tc>
          <w:tcPr>
            <w:tcW w:type="dxa" w:w="2498"/>
            <w:vAlign w:val="top"/>
          </w:tcPr>
          <w:p>
            <w:r>
              <w:t>CC witness; GL 7.102 variant separately checked</w:t>
            </w:r>
          </w:p>
        </w:tc>
        <w:tc>
          <w:tcPr>
            <w:tcW w:type="dxa" w:w="2498"/>
            <w:vAlign w:val="top"/>
          </w:tcPr>
          <w:p>
            <w:r>
              <w:t>PARAPHRASE + note on variants</w:t>
            </w:r>
          </w:p>
        </w:tc>
      </w:tr>
      <w:tr>
        <w:trPr>
          <w:cantSplit w:val="1"/>
        </w:trPr>
        <w:tc>
          <w:tcPr>
            <w:tcW w:type="dxa" w:w="2498"/>
            <w:vAlign w:val="top"/>
          </w:tcPr>
          <w:p>
            <w:r>
              <w:t>CC Madhya 18.13</w:t>
            </w:r>
          </w:p>
        </w:tc>
        <w:tc>
          <w:tcPr>
            <w:tcW w:type="dxa" w:w="2498"/>
            <w:vAlign w:val="top"/>
          </w:tcPr>
          <w:p>
            <w:r>
              <w:t>kuṇḍa-līlā saṅariyā</w:t>
            </w:r>
          </w:p>
        </w:tc>
        <w:tc>
          <w:tcPr>
            <w:tcW w:type="dxa" w:w="2498"/>
            <w:vAlign w:val="top"/>
          </w:tcPr>
          <w:p>
            <w:r>
              <w:t>RS-03 / checked Vedabase witness</w:t>
            </w:r>
          </w:p>
        </w:tc>
        <w:tc>
          <w:tcPr>
            <w:tcW w:type="dxa" w:w="2498"/>
            <w:vAlign w:val="top"/>
          </w:tcPr>
          <w:p>
            <w:r>
              <w:t>KEEP — remembrance controls dance</w:t>
            </w:r>
          </w:p>
        </w:tc>
      </w:tr>
      <w:tr>
        <w:trPr>
          <w:cantSplit w:val="1"/>
        </w:trPr>
        <w:tc>
          <w:tcPr>
            <w:tcW w:type="dxa" w:w="2498"/>
            <w:vAlign w:val="top"/>
          </w:tcPr>
          <w:p>
            <w:r>
              <w:t>CC Madhya 18.14</w:t>
            </w:r>
          </w:p>
        </w:tc>
        <w:tc>
          <w:tcPr>
            <w:tcW w:type="dxa" w:w="2498"/>
            <w:vAlign w:val="top"/>
          </w:tcPr>
          <w:p>
            <w:r>
              <w:t>kuṇḍera mṛttikā lañā tilaka karila</w:t>
            </w:r>
          </w:p>
        </w:tc>
        <w:tc>
          <w:tcPr>
            <w:tcW w:type="dxa" w:w="2498"/>
            <w:vAlign w:val="top"/>
          </w:tcPr>
          <w:p>
            <w:r>
              <w:t>RS-03 / checked Vedabase witness</w:t>
            </w:r>
          </w:p>
        </w:tc>
        <w:tc>
          <w:tcPr>
            <w:tcW w:type="dxa" w:w="2498"/>
            <w:vAlign w:val="top"/>
          </w:tcPr>
          <w:p>
            <w:r>
              <w:t>KEEP — embodied pilgrimage anchor</w:t>
            </w:r>
          </w:p>
        </w:tc>
      </w:tr>
      <w:tr>
        <w:trPr>
          <w:cantSplit w:val="1"/>
        </w:trPr>
        <w:tc>
          <w:tcPr>
            <w:tcW w:type="dxa" w:w="2498"/>
            <w:vAlign w:val="top"/>
          </w:tcPr>
          <w:p>
            <w:r>
              <w:t>CC Madhya 18.15</w:t>
            </w:r>
          </w:p>
        </w:tc>
        <w:tc>
          <w:tcPr>
            <w:tcW w:type="dxa" w:w="2498"/>
            <w:vAlign w:val="top"/>
          </w:tcPr>
          <w:p>
            <w:r>
              <w:t>sumanaḥ-sarovara … govardhana … vihvala</w:t>
            </w:r>
          </w:p>
        </w:tc>
        <w:tc>
          <w:tcPr>
            <w:tcW w:type="dxa" w:w="2498"/>
            <w:vAlign w:val="top"/>
          </w:tcPr>
          <w:p>
            <w:r>
              <w:t>RS-03 / checked Vedabase witness</w:t>
            </w:r>
          </w:p>
        </w:tc>
        <w:tc>
          <w:tcPr>
            <w:tcW w:type="dxa" w:w="2498"/>
            <w:vAlign w:val="top"/>
          </w:tcPr>
          <w:p>
            <w:r>
              <w:t>KEEP/paraphrase — Govardhana handoff</w:t>
            </w:r>
          </w:p>
        </w:tc>
      </w:tr>
    </w:tbl>
    <w:p>
      <w:pPr>
        <w:pStyle w:val="Heading2"/>
      </w:pPr>
      <w:r>
        <w:t>Claims deliberately omitted or qualified</w:t>
      </w:r>
    </w:p>
    <w:p>
      <w:r>
        <w:t>• Mahāprabhu is not said to have created, excavated, desilted, embanked, or architecturally developed the later twin-kuṇḍa complex.</w:t>
      </w:r>
    </w:p>
    <w:p>
      <w:r>
        <w:t>• The village itself is not described as lost or abandoned; Āriṭ-grāma is inhabited and questioned.</w:t>
      </w:r>
    </w:p>
    <w:p>
      <w:r>
        <w:t>• The two paddy fields are not equated with the exact later masonry tank footprints or modern causeway.</w:t>
      </w:r>
    </w:p>
    <w:p>
      <w:r>
        <w:t>• The verse’s ‘two paddy fields’ are contextualized as the twin sacred waters, but the direct Bengali line does not repeat both later lake names.</w:t>
      </w:r>
    </w:p>
    <w:p>
      <w:r>
        <w:t>• The bathing/prema verse is not presented as a mechanical guarantee detached from the praise, shelter, remembrance, and devotional orientation of the passage.</w:t>
      </w:r>
    </w:p>
    <w:p>
      <w:r>
        <w:t>• The earth-taking verse is not expanded into a modern commercial, souvenir, or quantitatively prescribed practice.</w:t>
      </w:r>
    </w:p>
    <w:p>
      <w:r>
        <w:t>• Sumanas-sarovara is named as the textual stop but not given an unverified modern map location.</w:t>
      </w:r>
    </w:p>
    <w:p>
      <w:r>
        <w:t>• Mahāprabhu’s historical pilgrimage route is not conflated with the eternal aṣṭa-kālīya Rādhā-Kṛṣṇa routes.</w:t>
      </w:r>
    </w:p>
    <w:p>
      <w:pPr>
        <w:pStyle w:val="Heading2"/>
      </w:pPr>
      <w:r>
        <w:t>Open items carried forward</w:t>
      </w:r>
    </w:p>
    <w:p>
      <w:r>
        <w:t>• No independently checked parallel early biography of this precise Rādhā-kuṇḍa visit has yet been recovered in the project; Caitanya-caritāmṛta remains the sole controlled narrative witness without a claim of exhaustive absence.</w:t>
      </w:r>
    </w:p>
    <w:p>
      <w:r>
        <w:t>• The broader semantic range of bāhya haila may admit deeper bhāva interpretation, but ‘returned to outward awareness’ remains the safest literary wording.</w:t>
      </w:r>
    </w:p>
    <w:p>
      <w:r>
        <w:t>• The preferred critical reading among the CC Madhya 18.12 / GL 7.102 variants remains a text-critical question; each witness should be quoted according to itself.</w:t>
      </w:r>
    </w:p>
    <w:p>
      <w:r>
        <w:t>• Modern practical guidance on bathing and taking earth belongs to the field-guide/pastoral layer, not to this historical-literary section.</w:t>
      </w:r>
    </w:p>
    <w:p>
      <w:r>
        <w:t>• Precise modern localization of Sumanas-sarovara remains open.</w:t>
      </w:r>
    </w:p>
    <w:p>
      <w:pPr>
        <w:pStyle w:val="Heading2"/>
      </w:pPr>
      <w:r>
        <w:t>Cross-references</w:t>
      </w:r>
    </w:p>
    <w:p>
      <w:r>
        <w:t>• RKST-08 — provides the hidden/obscured historical hinge and should precede this section without repeating the full praise unit.</w:t>
      </w:r>
    </w:p>
    <w:p>
      <w:r>
        <w:t>• RKST-10 — should begin with Raghunātha dāsa’s desire for permanent residence and then distinguish his own writings from Bhakti-ratnākara’s later restoration narrative.</w:t>
      </w:r>
    </w:p>
    <w:p>
      <w:r>
        <w:t>• Future Govardhana Story — CC Madhya 18.15 is the clean handoff; the Govardhana narrative itself should begin with the following verses rather than being developed here.</w:t>
      </w:r>
    </w:p>
    <w:p>
      <w:r>
        <w:t>• RKST-13 — modern pilgrim practices of bathing, tilaka, and earth should be addressed only after safety, tradition, and present-site conditions are separately reviewed.</w:t>
      </w:r>
    </w:p>
    <w:tbl>
      <w:tblPr>
        <w:tblW w:type="auto" w:w="0"/>
        <w:jc w:val="center"/>
        <w:tblLook w:firstColumn="1" w:firstRow="1" w:lastColumn="0" w:lastRow="0" w:noHBand="0" w:noVBand="1" w:val="04A0"/>
      </w:tblPr>
      <w:tblGrid>
        <w:gridCol w:w="9994"/>
      </w:tblGrid>
      <w:tr>
        <w:trPr>
          <w:cantSplit w:val="1"/>
        </w:trPr>
        <w:tc>
          <w:tcPr>
            <w:tcW w:type="dxa" w:w="9994"/>
            <w:shd w:fill="F3EBDD"/>
          </w:tcPr>
          <w:p>
            <w:r>
              <w:t>FINALIZATION AUDIT  Completed 23 August 2026. The nine-movement Caitanya-caritāmṛta sequence was retained intact; recognition remains distinct from excavation; bāhya, lupta, alpa-jala, smaraṇa, and mṛttikā remain interpretively controlled; and the closing transition now leads directly into Raghunātha dāsa’s resident bhajana.</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RKST-09 • Final v1.0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RKST-09 — Mahāprabhu at Āriṭ-grāma: Recognition and Revelation — Final v1.0</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