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5A5A5A"/>
          <w:sz w:val="18"/>
        </w:rPr>
        <w:t>GOVARDHANA PILGRIMAGE</w:t>
      </w:r>
    </w:p>
    <w:p>
      <w:pPr>
        <w:jc w:val="center"/>
      </w:pPr>
      <w:r>
        <w:rPr>
          <w:rFonts w:ascii="Aptos" w:hAnsi="Aptos"/>
          <w:b/>
          <w:sz w:val="24"/>
        </w:rPr>
        <w:t>Rādhā-kuṇḍa Story</w:t>
      </w:r>
    </w:p>
    <w:p>
      <w:pPr>
        <w:jc w:val="center"/>
      </w:pPr>
      <w:r>
        <w:rPr>
          <w:b/>
          <w:sz w:val="20"/>
        </w:rPr>
        <w:t>RKST-12</w:t>
      </w:r>
    </w:p>
    <w:p>
      <w:pPr>
        <w:pStyle w:val="Title"/>
        <w:jc w:val="center"/>
      </w:pPr>
      <w:r>
        <w:t>From Āriṭ to Rādhā-kuṇḍa</w:t>
      </w:r>
    </w:p>
    <w:p>
      <w:pPr>
        <w:pStyle w:val="Subtitle"/>
        <w:jc w:val="center"/>
      </w:pPr>
      <w:r>
        <w:t>The documented physical history of a village, two sacred waters, and the settlement that grew around them</w:t>
      </w:r>
    </w:p>
    <w:tbl>
      <w:tblPr>
        <w:tblW w:type="auto" w:w="0"/>
        <w:jc w:val="center"/>
        <w:tblLayout w:type="autofit"/>
        <w:tblLook w:firstColumn="1" w:firstRow="1" w:lastColumn="0" w:lastRow="0" w:noHBand="0" w:noVBand="1" w:val="04A0"/>
      </w:tblPr>
      <w:tblGrid>
        <w:gridCol w:w="9994"/>
      </w:tblGrid>
      <w:tr>
        <w:tc>
          <w:tcPr>
            <w:tcW w:type="dxa" w:w="9994"/>
            <w:shd w:fill="F3F3F3"/>
            <w:tcMar>
              <w:top w:w="110" w:type="dxa"/>
              <w:start w:w="160" w:type="dxa"/>
              <w:bottom w:w="110" w:type="dxa"/>
              <w:end w:w="160" w:type="dxa"/>
            </w:tcMar>
            <w:vAlign w:val="center"/>
          </w:tcPr>
          <w:p>
            <w:r>
              <w:t>FINAL STATUS  Final v1.0 after source, quotation, evidence-layer, continuity, literary, and open-item audits. The section now has a stable documentary spine from the late sixteenth century through nineteenth-century masonry rebuilding. Exact first-construction dates for individual present ghāṭs, the causeway/saṅgama structures, and a complete historical map overlay remain deliberately open.</w:t>
            </w:r>
          </w:p>
        </w:tc>
      </w:tr>
    </w:tbl>
    <w:p>
      <w:pPr>
        <w:jc w:val="center"/>
      </w:pPr>
      <w:r>
        <w:rPr>
          <w:b/>
          <w:color w:val="505050"/>
          <w:sz w:val="18"/>
        </w:rPr>
        <w:t>SOURCE CARD • DOCUMENTARY CONTROLS</w:t>
      </w:r>
    </w:p>
    <w:p>
      <w:pPr>
        <w:spacing w:after="80"/>
        <w:ind w:left="259" w:right="259"/>
      </w:pPr>
      <w:r>
        <w:t>Primary historical spine: Mukherjee–Habib on the Aritha land deeds; Mukherjee–Wright on Jīva’s testament and the 1637 declaration; Habib–Mukherjee on the seventeenth- and eighteenth-century Rādhā-kuṇḍa records; Entwistle for later masonry and settlement description.</w:t>
      </w:r>
    </w:p>
    <w:p>
      <w:pPr>
        <w:spacing w:after="80"/>
        <w:ind w:left="259" w:right="259"/>
      </w:pPr>
      <w:r>
        <w:t>Evidence rule: property records show what people claimed, transferred, protected, built, bounded, cultivated, or contested. They do not automatically verify every devotional-history detail.</w:t>
      </w:r>
    </w:p>
    <w:p>
      <w:pPr>
        <w:spacing w:after="80"/>
        <w:ind w:left="259" w:right="259"/>
      </w:pPr>
      <w:r>
        <w:t>Physical-history rule: the jeweled steps, setu, kuñjas and directional tīrthas of Gosvāmī nitya-līlā texts remain a different source layer from early-modern brick, mud, stone, roads and water channels.</w:t>
      </w:r>
    </w:p>
    <w:p>
      <w:pPr>
        <w:pStyle w:val="Heading1"/>
        <w:keepNext w:val="1"/>
        <w:keepLines w:val="1"/>
      </w:pPr>
      <w:r>
        <w:t>12. From Āriṭ to Rādhā-kuṇḍa: The Documented Physical History</w:t>
      </w:r>
    </w:p>
    <w:p>
      <w:pPr>
        <w:spacing w:after="140"/>
      </w:pPr>
      <w:r>
        <w:t>The previous section ended with a community that could transmit memory. The documents now ask a different question: what did that community actually occupy, protect and build? Their answer comes imperfectly. Deeds survive because land was sold or disputed; orders survive because someone cut a tree, blocked a channel, tried to cultivate protected ground or challenged another person’s possession. They are not a continuous architectural diary. Yet when they are arranged chronologically, a physical transformation becomes visible: Āriṭ, an inhabited agricultural village beside sacred waters, gradually becomes Rādhā-kuṇḍa, a settlement whose religious name, property, water system, gardens, residences, temples, roads and ghāṭs increasingly organize village life.</w:t>
      </w:r>
    </w:p>
    <w:p>
      <w:pPr>
        <w:spacing w:after="140"/>
      </w:pPr>
      <w:r>
        <w:t>The first safeguard is to resist a story that is too neat. A group of Aritha land documents bears dates extending far back into the sixteenth century, but Mukherjee and Habib show that several cannot be treated as contemporary records of the years written on them. The same sellers recur over implausibly long periods; parallel documents can assign the same plot to different purchasers; one supposed early deed even uses a monetary term that exposes its date as anachronistic. The documentary history therefore does not allow us to narrate a tidy sequence in which plot one was bought in one year, plot two in another, and so on. It gives us something more secure a little later.</w:t>
      </w:r>
    </w:p>
    <w:p>
      <w:pPr>
        <w:spacing w:after="140"/>
      </w:pPr>
      <w:r>
        <w:t>On 2 June 1588, in a Persian declaration bearing the date 7 Rajab 996 AH, Raghunātha dāsa is recorded in relation to six plots at Āriṭ. The document gives a stated aggregate earlier purchase price of 238 rupees and then uses the decisive legal term hiba: gift. The six plots are transferred to Jīva Gosvāmī. This corrects one of the easiest legends to create from the later summaries. The record does not say that Raghunātha paid 238 rupees for Rādhā-kuṇḍa and Śyāma-kuṇḍa. It concerns land plots in the neighborhood of the tank, and the 1588 transaction itself is a gift to Jīva, not a sale.</w:t>
      </w:r>
    </w:p>
    <w:p>
      <w:pPr>
        <w:spacing w:after="140"/>
      </w:pPr>
      <w:r>
        <w:t>That difference matters because it changes the kind of history we are telling. Bhakti-ratnākara remembers Raghunātha directing paṅkoddhāra and careful excavation-restoration of the sacred waters; the land record shows that property around the water was also being drawn into a durable custodial structure. One source tells why the work belongs to Raghunātha’s devotional biography; the other shows how land could outlive the ascetic who first wished to remain there. They illuminate the same sacred settlement from different sides without needing to duplicate one another.</w:t>
      </w:r>
    </w:p>
    <w:p>
      <w:pPr>
        <w:spacing w:after="140"/>
      </w:pPr>
      <w:r>
        <w:t>By 1598 the sacred name itself had entered imperial administration. Akbar’s comprehensive temple-grant record includes the plain entry “Devala of Radhakund, in village Arith, pargana Sahar,” allotted ten bighas. The modest size assigned to it has led Habib and Mukherjee to call it a small temple, and we should not imagine a later monumental complex from that line. Still, the checkpoint is important. Within a village still officially called Āriṭ, a religious establishment was already being identified by the name Rādhākuṇḍa.</w:t>
      </w:r>
    </w:p>
    <w:p>
      <w:pPr>
        <w:spacing w:after="140"/>
      </w:pPr>
      <w:r>
        <w:t>Jīva’s own 1606 testament and 1608 codicil belong primarily to Vṛndāvana, not to the banks of Rādhā-kuṇḍa. They regulate succession to temple service, deities, books and related effects. Their relevance here is institutional rather than architectural. They show a world in which sacred property and literary custody could be passed forward deliberately. That succession framework becomes concrete at Rādhā-kuṇḍa in the next generation.</w:t>
      </w:r>
    </w:p>
    <w:p>
      <w:pPr>
        <w:spacing w:after="140"/>
      </w:pPr>
      <w:r>
        <w:t>In 1637 Kṛṣṇadāsa, son of Bharatācārya, made a declaration that Mukherjee and Wright were able to study directly. This Kṛṣṇadāsa must be kept distinct from Kṛṣṇadāsa Kavirāja. Looking backward, the document says that Rūpa, Sanātana and Raghunātha had conveyed libraries, premises, documents and property to Jīva; Jīva conveyed them to Vilāsa; and Vilāsa conveyed them to the declarant. Kṛṣṇadāsa then transfers Rādhā-kuṇḍa premises to Purohita Chaudhuri Śrī Kiśora Soti by kṛṣṇārpaṇa. The premises are not abstract. They include Raghunātha dāsa’s dwelling and, adjacent to it, a dwelling and garden associated with Jīva. The document separately notes that Kṛṣṇadāsa Kavirāja had earlier settled his own dwelling on Haridāsa.</w:t>
      </w:r>
    </w:p>
    <w:p>
      <w:pPr>
        <w:spacing w:after="140"/>
      </w:pPr>
      <w:r>
        <w:t>For the first time in this story, the documentary landscape begins to feel inhabited. Raghunātha’s place can be spoken of as a dwelling. A Jīva-associated dwelling and garden stand adjacent. Habib and Mukherjee’s analysis of the boundary material finds other religious properties around the pond, and Entwistle reports a 1637 record transcribed by Bansal that likewise names Raghunātha, Kṛṣṇadāsa Kavirāja and several religious establishments. We should not assume without further work that every 1637 reference represents the same document, nor should we identify any of these buildings automatically with an unchanged structure shown today. The secure point is simpler: by the late 1630s the twin-water environment was no longer just agricultural fields with an ascetic hut. A recognizable sacred settlement had formed.</w:t>
      </w:r>
    </w:p>
    <w:p>
      <w:pPr>
        <w:spacing w:after="140"/>
      </w:pPr>
      <w:r>
        <w:t>The 1640s reveal something even more fundamental than buildings: water management. In 1642 village headmen Bari Khan, Chand and Girdhar undertook not to bring under cultivation the land associated with the nālā connected to Rādhā-kuṇḍa and not to cut trees there. The Persian/Hindustani term nālā is easy to pass over, but physically it may be one of the most important words in the entire documentary archive. A pond in the Braj plain does not exist outside the seasonal movement of water, drainage, silt and cultivation. The record shows that the kuṇḍa’s hydrology had become a protected legal concern.</w:t>
      </w:r>
    </w:p>
    <w:p>
      <w:pPr>
        <w:spacing w:after="140"/>
      </w:pPr>
      <w:r>
        <w:t>The issue did not disappear. In 1645–46 an official was told that village headmen were cutting trees and interfering with the water channel or path to the kuṇḍa. The headmen in turn pledged not to cultivate the channel carrying water to Rādhā-kuṇḍa and not to cut trees above the tank. Another formulation protects access to the ghāṭ. Read together, the records show a managed sacred margin: water had to reach the pond; cultivation had to stop at certain ground; trees mattered; pilgrims or residents required access. The sacred landscape was being maintained not only through worship but through rules about land use.</w:t>
      </w:r>
    </w:p>
    <w:p>
      <w:pPr>
        <w:spacing w:after="140"/>
      </w:pPr>
      <w:r>
        <w:t>This documentary protection of trees is especially suggestive after Bhakti-ratnākara’s Pāṇḍava-tree story, but the sources should not be merged. Narahari’s trees belong to B-level pilgrimage memory and explain why Raghunātha supposedly refused to square the companion kuṇḍa. The 1640s orders are D-level records of real tree-cutting disputes. They show that trees around the water were materially protected; they do not identify the protected trees as the same five individuals of the devotional narrative.</w:t>
      </w:r>
    </w:p>
    <w:p>
      <w:pPr>
        <w:spacing w:after="140"/>
      </w:pPr>
      <w:r>
        <w:t>During the later seventeenth century, the settlement continues to acquire religious and residential density. A 1658 boundary description mentions a neighboring kuñj of “Narayan Bath,” which Habib and Mukherjee cautiously ask whether it might belong to Nārāyaṇa Bhaṭṭa, author of Vraja-bhakti-vilāsa. The possibility is attractive but not secure enough to turn into a fixed residence claim. More certain is a 1667 land purchase by Gosāins Māṇikaṇṭha and Kamal Nain, identified as priests of a devala Rādhākrishan. Habib and Mukherjee take the document to show that another temple had by then appeared.</w:t>
      </w:r>
    </w:p>
    <w:p>
      <w:pPr>
        <w:spacing w:after="140"/>
      </w:pPr>
      <w:r>
        <w:t>Residence and water remain linked. In 1669 the village headmen made another undertaking because Vraj Kunwar’s kuñj stood near the nālā leading water into Rādhā-kuṇḍa: they would not till the adjoining land and would not cut the trees or branches above the kuṇḍa. In 1676 Vraj Kunwar and Paramānanda, both described as residents of Rādhā-kuṇḍa, obtained official protection against interference with their land and garden. The same decade supplies a different kind of evidence: a 1676 parwāna calls the village simply Rādhākuṇḍa, without adding Āriṭ.</w:t>
      </w:r>
    </w:p>
    <w:p>
      <w:pPr>
        <w:spacing w:after="140"/>
      </w:pPr>
      <w:r>
        <w:t>The old name did not vanish in a single administrative act. Some village headmen still called themselves men of Āriṭ in 1669 and even in declarations of 1713 and 1716. Yet an original document from 1579 could already write “Āriṭ, also known as Rādhākuṇḍa,” while the 1676 official order uses only the sacred name. Habib and Mukherjee therefore describe a gradual replacement extending into the 1720s. This may be the most eloquent documentary measure of the settlement’s transformation: the kuṇḍa did not merely sit beside the village. Its name slowly became the village’s name.</w:t>
      </w:r>
    </w:p>
    <w:p>
      <w:pPr>
        <w:spacing w:after="140"/>
      </w:pPr>
      <w:r>
        <w:t>Early eighteenth-century records let us see more of what stood on the ground. In 1710 a kuñj sold to Rādhā Mohan is described as having surrounding walls of brick and mud and being partly roofed with wood. That is not the jeweled kuñja of meditation and not yet a stone ghāṭ; it is actual building fabric. In 1717 Jagannātha purchased a large garden whose boundaries ran beside another owner’s land, the wall of a Brāhmaṇa’s kuñj, the land of a shoemaker and a public road. The sacred settlement now contains walled retreats, gardens, artisans, private plots and roads. It has become a townscape in miniature.</w:t>
      </w:r>
    </w:p>
    <w:p>
      <w:pPr>
        <w:spacing w:after="140"/>
      </w:pPr>
      <w:r>
        <w:t>Pilgrimage itself had entered the politics of access. Declarations of 1713 and 1716 concern who could approach Rādhā-kuṇḍa and participate in Vaiṣṇava assemblies there. Their immediate background is factional and should not be romanticized. Yet the conflict proves something physical: access to the waters and to gatherings at the site had become valuable enough to regulate. The village headmen were no longer dealing with an isolated ascetic place; they were negotiating a pilgrimage center.</w:t>
      </w:r>
    </w:p>
    <w:p>
      <w:pPr>
        <w:spacing w:after="140"/>
      </w:pPr>
      <w:r>
        <w:t>The property language of the 1720s introduces a tension that must remain visible. Gopī Raman, claiming succession from Jīva’s line, told officials that an ancestor had purchased land within Āriṭ, known as Rādhā-kuṇḍa, and had established a pond and gardens there. Later local English reproductions of 1721–22 orders speak more broadly of Jīva having “built lakes and gardens.” Those formulations are retrospective property or institutional claims, not a contemporary eyewitness account of the original restoration. They cannot simply be laid on top of Bhakti-ratnākara, where Raghunātha directs the great desilting and excavation-restoration. The safest historical use is narrower: by the early eighteenth century Jīva-associated succession claims treated the pond-and-garden complex as ancestral property worth defending against walls, encroachment and tree cutting.</w:t>
      </w:r>
    </w:p>
    <w:p>
      <w:pPr>
        <w:spacing w:after="140"/>
      </w:pPr>
      <w:r>
        <w:t>A complaint made after 1725 adds a surprisingly earthy detail. Land south-west of Rādhā-kuṇḍa was described as containing mounds of soil dug out when the kuṇḍa was excavated. We cannot use the statement to date a particular excavation campaign. But it shows that spoil heaps from digging had entered the remembered topography of the settlement. It also shows the increasing pressure on land close to the sacred tanks: newcomers and competing proprietors were struggling over ground that earlier generations had treated as wasteland, garden or excavation margin.</w:t>
      </w:r>
    </w:p>
    <w:p>
      <w:pPr>
        <w:spacing w:after="140"/>
      </w:pPr>
      <w:r>
        <w:t>The stone perimeter familiar to later pilgrims belongs to a still later phase. Entwistle identifies Kṛṣṇa Chandra Sinha, known as Lala Babu, as a major early-nineteenth-century patron who provided Rādhā-kuṇḍa with masonry ghāṭs; in his Rādhā-kuṇḍa survey he also attributes reconstruction of the surrounding steps and causeway to Lala Babu. This is a major chronological anchor, but it should be used as a rebuilding date, not as a creation date for the sacred meeting of the waters. Earlier texts already know joined kuṇḍas; earlier documents already know ghāṭ access. What the nineteenth-century patronage gives is monumental masonry on a landscape that had been sacred, inhabited, managed and contested for centuries.</w:t>
      </w:r>
    </w:p>
    <w:p>
      <w:pPr>
        <w:spacing w:after="140"/>
      </w:pPr>
      <w:r>
        <w:t>This distinction returns us to the source layers that have governed the entire Rādhā-kuṇḍa study. Govinda-līlāmṛta describes a jeweled setu over the nitya-līlā meeting region of the two waters. The historical archive describes nālās, gardens, mud-and-brick walls, public roads, property boundaries and later masonry. The first tells the contemplative form of the eternal landscape; the second tells us how a human pilgrimage settlement changed across time. Similar words such as bridge, bank, grove or ghāṭ do not by themselves prove that one material structure is the historical survival of a structure described in the eternal-līlā text.</w:t>
      </w:r>
    </w:p>
    <w:p>
      <w:pPr>
        <w:spacing w:after="140"/>
      </w:pPr>
      <w:r>
        <w:t>By the end of the chronology, Āriṭ has not disappeared so much as been absorbed into a new sacred identity. The agricultural village remains present in land sales, headmen, cultivators and disputes. But around it grow dwellings, kuñjas, temples, gardens, protected watercourses, public access, roads, assemblies and eventually monumental ghāṭs. The name Rādhā-kuṇḍa overtakes the name Āriṭ because the waters have become the organizing fact of the settlement.</w:t>
      </w:r>
    </w:p>
    <w:p>
      <w:pPr>
        <w:spacing w:after="140"/>
      </w:pPr>
      <w:r>
        <w:t>That is as far as the documents presently allow us to go without pretending to possess a complete architectural map. We still do not have a secure first-construction date for every present ghāṭ, the precise historical sequence of the saṅgama/causeway, or a complete map series showing how the shorelines and streets changed. Those are not defects to conceal. They are the line between what the archive actually gives and what later sacred memory supplies. The next section can therefore turn to the Rādhā-kuṇḍa a pilgrim encounters today—but only by keeping visible which features are primary textual places, which belong to early pilgrimage memory, which are later local identifications, and which have a documentable physical history.</w:t>
      </w:r>
    </w:p>
    <w:p>
      <w:pPr>
        <w:pStyle w:val="Heading1"/>
        <w:keepNext w:val="1"/>
        <w:keepLines w:val="1"/>
      </w:pPr>
      <w:r>
        <w:t>INTERNAL CONTROL APPARATUS • REMOVE OR CONVERT TO NOTES IN FINAL COMPILATION</w:t>
      </w:r>
    </w:p>
    <w:p>
      <w:pPr>
        <w:pStyle w:val="Heading2"/>
        <w:keepNext w:val="1"/>
        <w:keepLines w:val="1"/>
      </w:pPr>
      <w:r>
        <w:t>Sources actually used</w:t>
      </w:r>
    </w:p>
    <w:p>
      <w:r>
        <w:t>• Tarapada Mukherjee and Irfan Habib, “Land Rights in the Reign of Akbar: the Evidence of the Sale-deeds of Vrindaban and Arith,” especially pp. 237–239 and document calendar pp. 248–249: component-deed criticism and the 2 June 1588 hiba.</w:t>
      </w:r>
    </w:p>
    <w:p>
      <w:r>
        <w:t>• Tarapada Mukherjee and J. C. Wright, “An Early Testamentary Document in Sanskrit,” BSOAS 42.2 (1979), especially pp. 297–304 and 314–318: Jīva’s testament/codicil; 1637 Kṛṣṇadāsa son of Bharatācārya declaration; Rādhā-kuṇḍa premises; separate Kṛṣṇadāsa Kavirāja dwelling.</w:t>
      </w:r>
    </w:p>
    <w:p>
      <w:r>
        <w:t>• Irfan Habib and Tarapada Mukherjee, Braj Bhum in Mughal Times, especially “From Arith to Radhakund,” pp. 161–177, and documentary-history entries: 1598 devala; 1641–46 land/water/tree/access records; seventeenth-century residences/temples; 1710–28 settlement morphology and disputes; name transition.</w:t>
      </w:r>
    </w:p>
    <w:p>
      <w:r>
        <w:t>• A. W. Entwistle, Braj: Centre of Krishna Pilgrimage, especially pp. 215–216 and 338–340: nineteenth-century Lala Babu masonry work and later site inventory. Entwistle’s Bansal-based 1637 report is treated as secondary and not silently equated with the directly studied Mukherjee–Wright declaration.</w:t>
      </w:r>
    </w:p>
    <w:p>
      <w:r>
        <w:t>• Ananta Dāsa Bābājī, The Glory and Heritage of Śrī Śrī Rādhākuṇḍa, used only to illustrate later transmission of 1721–22 property language; it does not control the archival chronology and its 1642/1842 inconsistency is not followed.</w:t>
      </w:r>
    </w:p>
    <w:p>
      <w:r>
        <w:t>• RK-05 Historical &amp; Physical Rādhā-kuṇḍa Research Ledger v0.1 and RKST-00 Writing Blueprint v1.0 as project-level organization/source controls.</w:t>
      </w:r>
    </w:p>
    <w:p>
      <w:pPr>
        <w:pStyle w:val="Heading2"/>
        <w:keepNext w:val="1"/>
        <w:keepLines w:val="1"/>
      </w:pPr>
      <w:r>
        <w:t>Quotation / terminology ledger</w:t>
      </w:r>
    </w:p>
    <w:p>
      <w:r>
        <w:rPr>
          <w:b/>
        </w:rPr>
        <w:t xml:space="preserve">1588 declaration — </w:t>
      </w:r>
      <w:r>
        <w:t>hiba. Layer D. KEEP — gift; not a sale of the lakes.</w:t>
      </w:r>
    </w:p>
    <w:p>
      <w:r>
        <w:rPr>
          <w:b/>
        </w:rPr>
        <w:t xml:space="preserve">1598 farmān — </w:t>
      </w:r>
      <w:r>
        <w:t>“Devala of Radhakund, in village Arith…”. Layer D. KEEP — sacred-name institutional checkpoint.</w:t>
      </w:r>
    </w:p>
    <w:p>
      <w:r>
        <w:rPr>
          <w:b/>
        </w:rPr>
        <w:t xml:space="preserve">1642–46 records — </w:t>
      </w:r>
      <w:r>
        <w:t>nālā. Layer D. KEEP — water channel / drain; managed hydrology.</w:t>
      </w:r>
    </w:p>
    <w:p>
      <w:r>
        <w:rPr>
          <w:b/>
        </w:rPr>
        <w:t xml:space="preserve">1637 declaration — </w:t>
      </w:r>
      <w:r>
        <w:t>kṛṣṇārpaṇa. Layer D. KEEP selectively — transfer language.</w:t>
      </w:r>
    </w:p>
    <w:p>
      <w:r>
        <w:rPr>
          <w:b/>
        </w:rPr>
        <w:t xml:space="preserve">BR 5.545–547 — </w:t>
      </w:r>
      <w:r>
        <w:t>paṅkoddhāra / khodāila. Layer B. REFERENCE ONLY — do not turn D section into devotional proof.</w:t>
      </w:r>
    </w:p>
    <w:p>
      <w:r>
        <w:rPr>
          <w:b/>
        </w:rPr>
        <w:t xml:space="preserve">GL 7.6 — </w:t>
      </w:r>
      <w:r>
        <w:t>setu / saṅgama. Layer A. BOUNDARY ONLY — not masonry evidence.</w:t>
      </w:r>
    </w:p>
    <w:p>
      <w:pPr>
        <w:pStyle w:val="Heading2"/>
        <w:keepNext w:val="1"/>
        <w:keepLines w:val="1"/>
      </w:pPr>
      <w:r>
        <w:t>Claims deliberately omitted or qualified</w:t>
      </w:r>
    </w:p>
    <w:p>
      <w:r>
        <w:t>• No component purchase deed earlier than the secure late-sixteenth-century documentary horizon is treated as a trustworthy year-by-year building chronology.</w:t>
      </w:r>
    </w:p>
    <w:p>
      <w:r>
        <w:t>• Rs. 238 is not described as the price of the two sacred lakes; 1588 is a hiba of six plots to Jīva.</w:t>
      </w:r>
    </w:p>
    <w:p>
      <w:r>
        <w:t>• Jīva’s 1606/1608 testament is not used to prove Rādhā-kuṇḍa residence or construction.</w:t>
      </w:r>
    </w:p>
    <w:p>
      <w:r>
        <w:t>• The 1637 declarant Kṛṣṇadāsa son of Bharatācārya is not conflated with Kṛṣṇadāsa Kavirāja.</w:t>
      </w:r>
    </w:p>
    <w:p>
      <w:r>
        <w:t>• Entwistle’s Bansal-transcribed 1637 report is not automatically equated with the Mukherjee–Wright 1637 declaration.</w:t>
      </w:r>
    </w:p>
    <w:p>
      <w:r>
        <w:t>• The 1642 nālā/tree record controls over the erroneous later “1842” heading.</w:t>
      </w:r>
    </w:p>
    <w:p>
      <w:r>
        <w:t>• Later claims that Jīva “built lakes and gardens” are presented as retrospective property/institutional claims, not as a verified replacement for Raghunātha’s B-level restoration tradition.</w:t>
      </w:r>
    </w:p>
    <w:p>
      <w:r>
        <w:t>• Lala Babu is treated as a major masonry rebuilder, not as the creator of the sacred kuṇḍas or necessarily the first builder of every ghāṭ/causeway element.</w:t>
      </w:r>
    </w:p>
    <w:p>
      <w:r>
        <w:t>• Govinda-līlāmṛta’s jeweled setu, tīrthas, kuñjas and steps are not used to date material architecture.</w:t>
      </w:r>
    </w:p>
    <w:p>
      <w:pPr>
        <w:pStyle w:val="Heading2"/>
        <w:keepNext w:val="1"/>
        <w:keepLines w:val="1"/>
      </w:pPr>
      <w:r>
        <w:t>Open items carried forward</w:t>
      </w:r>
    </w:p>
    <w:p>
      <w:r>
        <w:t>• Recover/map the six 1588 plots against later property boundaries and the changing shorelines.</w:t>
      </w:r>
    </w:p>
    <w:p>
      <w:r>
        <w:t>• Clarify the relation between the Mukherjee–Wright 1637 declaration and Entwistle/Bansal’s reported 1637 settlement document.</w:t>
      </w:r>
    </w:p>
    <w:p>
      <w:r>
        <w:t>• Establish the first secure construction and rebuilding dates for individual named ghāṭs, the causeway/saṅgama structures, wells, drains and embankments.</w:t>
      </w:r>
    </w:p>
    <w:p>
      <w:r>
        <w:t>• Recover Survey of India 54 E/6 and other historical maps for a spatial-growth overlay.</w:t>
      </w:r>
    </w:p>
    <w:p>
      <w:r>
        <w:t>• Date principal present temples, samādhis, bhajana-kuṭīras, baithaks and sacred-tree memorials separately before RKST-13 finalization.</w:t>
      </w:r>
    </w:p>
    <w:p>
      <w:pPr>
        <w:pStyle w:val="Heading2"/>
        <w:keepNext w:val="1"/>
        <w:keepLines w:val="1"/>
      </w:pPr>
      <w:r>
        <w:t>Cross-references</w:t>
      </w:r>
    </w:p>
    <w:p>
      <w:r>
        <w:t>• RKST-10 — B-level restoration/kuṭīra history provides devotional context but does not control the D-level construction record.</w:t>
      </w:r>
    </w:p>
    <w:p>
      <w:r>
        <w:t>• RKST-11 — institutional transmission becomes material here as property succession, dwellings, gardens and protected access.</w:t>
      </w:r>
    </w:p>
    <w:p>
      <w:r>
        <w:t>• RKST-13 — present-day sites must be presented with A/B/C/D labels and field/location checks; this section does not pre-authorize modern identifications.</w:t>
      </w:r>
    </w:p>
    <w:p>
      <w:r>
        <w:t>• Future maps — keep nitya-līlā textual map, historical/documentary map and modern pilgrimage map separate.</w:t>
      </w:r>
    </w:p>
    <w:p>
      <w:pPr>
        <w:pStyle w:val="Heading2"/>
        <w:keepNext w:val="1"/>
        <w:keepLines w:val="1"/>
      </w:pPr>
      <w:r>
        <w:t>Finalization audit</w:t>
      </w:r>
    </w:p>
    <w:p>
      <w:r>
        <w:t>Completed 24 August 2026. Source audit: PASS — the 1588 hiba, 1598 devala, 1637 succession/premises, 1641–46 land-water-tree protections, later settlement morphology, gradual name change, and Lala Babu rebuilding anchors are preserved without overstating the record. Quotation/terminology audit: PASS — hiba, nālā, kṛṣṇārpaṇa, paṅkoddhāra/khodāila, setu and saṅgama remain in their proper layers. Evidence-layer audit: PASS — B-level restoration memory, D-level documentary development, and A-level nitya-līlā architecture are not collapsed. Continuity audit: PASS — the section grows naturally out of RKST-10/11 and hands to the present-day layered landscape. Open-item audit: PASS — exact ghāṭ/causeway construction chronology, the relation of the two 1637 records, Survey of India 54 E/6, and individual modern-site dating remain open. Result: FINAL v1.0.</w:t>
      </w:r>
    </w:p>
    <w:sectPr w:rsidR="00FC693F" w:rsidRPr="0006063C" w:rsidSect="00034616">
      <w:headerReference w:type="default" r:id="rId9"/>
      <w:footerReference w:type="default" r:id="rId10"/>
      <w:pgSz w:w="12240" w:h="15840"/>
      <w:pgMar w:top="979" w:right="1123"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RKST-12 • Final v1.0 •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rPr>
        <w:rFonts w:ascii="Aptos" w:hAnsi="Aptos"/>
        <w:b/>
        <w:color w:val="555555"/>
        <w:sz w:val="16"/>
      </w:rP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RKST-12 — From Āriṭ to Rādhā-kuṇḍa: The Documented Physical History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