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A5A5A"/>
          <w:sz w:val="18"/>
        </w:rPr>
        <w:t>GOVARDHANA PILGRIMAGE</w:t>
      </w:r>
    </w:p>
    <w:p>
      <w:pPr>
        <w:jc w:val="center"/>
      </w:pPr>
      <w:r>
        <w:rPr>
          <w:b/>
          <w:color w:val="B28B45"/>
          <w:sz w:val="26"/>
        </w:rPr>
        <w:t>Rādhā-kuṇḍa Pilgrim Practice Research</w:t>
      </w:r>
    </w:p>
    <w:p>
      <w:pPr>
        <w:jc w:val="center"/>
      </w:pPr>
      <w:r>
        <w:rPr>
          <w:b/>
          <w:color w:val="7B2638"/>
          <w:sz w:val="54"/>
        </w:rPr>
        <w:t>RKPG-R02</w:t>
      </w:r>
    </w:p>
    <w:p>
      <w:pPr>
        <w:pStyle w:val="Title"/>
        <w:jc w:val="center"/>
      </w:pPr>
      <w:r>
        <w:t>The aṣṭaṣaṣṭi Problem</w:t>
      </w:r>
    </w:p>
    <w:p>
      <w:pPr>
        <w:pStyle w:val="Subtitle"/>
        <w:jc w:val="center"/>
      </w:pPr>
      <w:r>
        <w:t>Does Nārāyaṇa Bhaṭṭa prescribe sixty-eight immersions at Rādhā-kuṇḍa and Kṛṣṇa-kuṇḍa?</w:t>
      </w:r>
    </w:p>
    <w:tbl>
      <w:tblPr>
        <w:tblW w:type="auto" w:w="0"/>
        <w:jc w:val="center"/>
        <w:tblLook w:firstColumn="1" w:firstRow="1" w:lastColumn="0" w:lastRow="0" w:noHBand="0" w:noVBand="1" w:val="04A0"/>
      </w:tblPr>
      <w:tblGrid>
        <w:gridCol w:w="10052"/>
      </w:tblGrid>
      <w:tr>
        <w:trPr>
          <w:cantSplit w:val="1"/>
        </w:trPr>
        <w:tc>
          <w:tcPr>
            <w:tcW w:type="dxa" w:w="10052"/>
            <w:shd w:fill="F7F4EE"/>
            <w:tcMar>
              <w:top w:w="110" w:type="dxa"/>
              <w:start w:w="160" w:type="dxa"/>
              <w:bottom w:w="110" w:type="dxa"/>
              <w:end w:w="160" w:type="dxa"/>
            </w:tcMar>
          </w:tcPr>
          <w:p>
            <w:r>
              <w:rPr>
                <w:b/>
                <w:color w:val="7B2638"/>
              </w:rPr>
              <w:t xml:space="preserve">RULING  </w:t>
            </w:r>
            <w:r>
              <w:t>Yes, with high confidence at the level of Nārāyaṇa Bhaṭṭa’s formal pilgrimage ritual: the transmitted text intends the number sixty-eight. The remaining uncertainty is narrower—how exactly to construe -ādi and whether the sixty-eight count is explicitly per kuṇḍa or for the paired procedure as a whole. Therefore the count may be documented as a B-level formal prescription, but it should not be imposed as a universal minimum for every modern pilgrim.</w:t>
            </w:r>
          </w:p>
        </w:tc>
      </w:tr>
    </w:tbl>
    <w:p>
      <w:pPr>
        <w:pStyle w:val="Heading1"/>
        <w:keepNext w:val="1"/>
        <w:keepLines w:val="1"/>
      </w:pPr>
      <w:r>
        <w:t>1. The transmitted passage</w:t>
      </w:r>
    </w:p>
    <w:p>
      <w:r>
        <w:rPr>
          <w:b/>
          <w:color w:val="7B2638"/>
        </w:rPr>
        <w:t>Nārāyaṇa Bhaṭṭa, Vraja-bhakti-vilāsa, Śrī-kuṇḍa-māhātmya 5</w:t>
      </w:r>
    </w:p>
    <w:p>
      <w:pPr>
        <w:ind w:left="360"/>
      </w:pPr>
      <w:r>
        <w:rPr>
          <w:i/>
        </w:rPr>
        <w:t>ādau snānaṁ tu rādhāyāḥ kuṇḍe sarvārthadāyakam |</w:t>
        <w:br/>
        <w:t>tatastu kṛṣṇakuṇḍe tu sarvapāpapraṇāśanam ||</w:t>
        <w:br/>
        <w:br/>
        <w:t>tato rādhākṛṣṇakuṇḍayoḥ snānaprārthanamantraḥ |</w:t>
        <w:br/>
        <w:t>vārāhe —</w:t>
        <w:br/>
        <w:t>sarvapāpaharas tīrtha namas te harimuktida |</w:t>
        <w:br/>
        <w:t>namaḥ kaivalyanāthāya rādhākṛṣṇābhidhāyine ||</w:t>
        <w:br/>
        <w:br/>
        <w:t>iti mantram udāhṛtya aṣṭaṣaṣṭhayādimajjanaiḥ |</w:t>
        <w:br/>
        <w:t>snāpayed vidhinā pūrvaṁ namaskāraṁ pṛthak pṛthak ||</w:t>
        <w:br/>
        <w:t>vṛṣahatyādipāpāni praṇaśyanti prabhāvataḥ |</w:t>
        <w:br/>
        <w:t>dhanadhānyasutotpattiś cirāya sukham āpnuyāt ||</w:t>
        <w:br/>
        <w:t>dvayos tu kuṇḍayoś caiva snānam ekavidhaṁ smṛtam ||5||</w:t>
      </w:r>
    </w:p>
    <w:p>
      <w:pPr>
        <w:ind w:left="360"/>
      </w:pPr>
      <w:r>
        <w:rPr>
          <w:b/>
          <w:color w:val="7B2638"/>
        </w:rPr>
        <w:t xml:space="preserve">Research use — </w:t>
      </w:r>
      <w:r>
        <w:t>The working electronic witness has the defective-looking spelling aṣṭaṣaṣṭhayādimajjanaiḥ. The question is whether this actually encodes a sixty-eight count.</w:t>
      </w:r>
    </w:p>
    <w:p>
      <w:pPr>
        <w:pStyle w:val="Heading1"/>
        <w:keepNext w:val="1"/>
        <w:keepLines w:val="1"/>
      </w:pPr>
      <w:r>
        <w:t>2. External witness: the 1951 Sanskrit-Hindi edition</w:t>
      </w:r>
    </w:p>
    <w:p>
      <w:r>
        <w:t>A printed Sanskrit-Hindi edition published by Kṛṣṇadāsa Bābā at Kusuma-sarovara in Vikrama Saṁvat 2008 (approximately 1951) is available through the Internet Archive. Its OCR independently preserves the same passage on printed pp. 85–86. The critical Sanskrit line is badly OCR-damaged, but it clearly occupies the same position between the paired-kuṇḍa prayer and the statement that the bathing method of both kuṇḍas is the same. The Hindi explanation clearly confirms the order Rādhā-kuṇḍa first, Kṛṣṇa-kuṇḍa second, and a repeated snāna/majjana/namaskāra procedure. The machine OCR does not preserve the numeral in that Hindi sentence reliably enough to use it as independent proof of ‘68’; the sixty-eight reading is established chiefly by the Roman witness, Sanskrit morphology/metre, and the immediate sixty-eight-tīrtha context.</w:t>
      </w:r>
    </w:p>
    <w:tbl>
      <w:tblPr>
        <w:tblW w:type="auto" w:w="0"/>
        <w:jc w:val="center"/>
        <w:tblLook w:firstColumn="1" w:firstRow="1" w:lastColumn="0" w:lastRow="0" w:noHBand="0" w:noVBand="1" w:val="04A0"/>
      </w:tblPr>
      <w:tblGrid>
        <w:gridCol w:w="10052"/>
      </w:tblGrid>
      <w:tr>
        <w:trPr>
          <w:cantSplit w:val="1"/>
        </w:trPr>
        <w:tc>
          <w:tcPr>
            <w:tcW w:type="dxa" w:w="10052"/>
            <w:shd w:fill="F7F4EE"/>
            <w:tcMar>
              <w:top w:w="110" w:type="dxa"/>
              <w:start w:w="160" w:type="dxa"/>
              <w:bottom w:w="110" w:type="dxa"/>
              <w:end w:w="160" w:type="dxa"/>
            </w:tcMar>
          </w:tcPr>
          <w:p>
            <w:r>
              <w:rPr>
                <w:b/>
                <w:color w:val="7B2638"/>
              </w:rPr>
              <w:t xml:space="preserve">WITNESS VALUE  </w:t>
            </w:r>
            <w:r>
              <w:t>This matters because the electronic Roman text is not our only witness. The 1951 printed tradition independently supports the sixty-eight interpretation, even though its machine OCR cannot be treated as a critical edition.</w:t>
            </w:r>
          </w:p>
        </w:tc>
      </w:tr>
    </w:tbl>
    <w:p>
      <w:pPr>
        <w:pStyle w:val="Heading1"/>
        <w:keepNext w:val="1"/>
        <w:keepLines w:val="1"/>
      </w:pPr>
      <w:r>
        <w:t>3. Metrical normalization</w:t>
      </w:r>
    </w:p>
    <w:p>
      <w:r>
        <w:t>The line is an anuṣṭubh pāda sequence. Normalizing the defective electronic spelling to aṣṭaṣaṣṭyādi-majjanaiḥ restores a metrically exact eight-syllable pāda:</w:t>
      </w:r>
    </w:p>
    <w:p>
      <w:pPr>
        <w:ind w:left="360"/>
      </w:pPr>
      <w:r>
        <w:rPr>
          <w:rFonts w:ascii="Aptos Mono" w:hAnsi="Aptos Mono"/>
        </w:rPr>
        <w:t>iti mantram udāhṛtya        8</w:t>
        <w:br/>
        <w:t>aṣṭaṣaṣṭyādi-majjanaiḥ      8</w:t>
        <w:br/>
        <w:t>snāpayed vidhinā pūrvaṁ     8</w:t>
        <w:br/>
        <w:t>namaskāraṁ pṛthak pṛthak    8</w:t>
      </w:r>
    </w:p>
    <w:p>
      <w:r>
        <w:t>This makes aṣṭaṣaṣṭyādi- the most natural normalization of the transmitted aṣṭaṣaṣṭhayādi-. The form aṣṭaṣaṣṭi means sixty-eight. The electronic text elsewhere shows similar rough handling of ṣaṣṭi-compounds, for example catuṣaṣṭhayā where classical morphology would call for catuḥṣaṣṭyā.</w:t>
      </w:r>
    </w:p>
    <w:p>
      <w:pPr>
        <w:pStyle w:val="Heading1"/>
        <w:keepNext w:val="1"/>
        <w:keepLines w:val="1"/>
      </w:pPr>
      <w:r>
        <w:t>4. What does -ādi mean here?</w:t>
      </w:r>
    </w:p>
    <w:p>
      <w:r>
        <w:t>Grammatically, aṣṭaṣaṣṭyādi-majjanaiḥ is most literally something like “with immersions beginning with sixty-eight [in number]” or “with sixty-eight-and-the-like immersions.” That is awkward English and leaves the force of ādi slightly unclear. Three possibilities remain:</w:t>
      </w:r>
    </w:p>
    <w:p>
      <w:pPr>
        <w:ind w:left="259" w:hanging="173"/>
      </w:pPr>
      <w:r>
        <w:rPr>
          <w:b/>
        </w:rPr>
        <w:t xml:space="preserve">• </w:t>
      </w:r>
      <w:r>
        <w:t>The ritual intends sixty-eight immersions, and -ādi is loose ritual Sanskrit meaning ‘sixty-eight, etc.’</w:t>
      </w:r>
    </w:p>
    <w:p>
      <w:pPr>
        <w:ind w:left="259" w:hanging="173"/>
      </w:pPr>
      <w:r>
        <w:rPr>
          <w:b/>
        </w:rPr>
        <w:t xml:space="preserve">• </w:t>
      </w:r>
      <w:r>
        <w:t>The ritual intends a minimum or initial count beginning with sixty-eight.</w:t>
      </w:r>
    </w:p>
    <w:p>
      <w:pPr>
        <w:ind w:left="259" w:hanging="173"/>
      </w:pPr>
      <w:r>
        <w:rPr>
          <w:b/>
        </w:rPr>
        <w:t xml:space="preserve">• </w:t>
      </w:r>
      <w:r>
        <w:t>The transmitted -ādi itself contains a small textual corruption, while the intended count remains sixty-eight.</w:t>
      </w:r>
    </w:p>
    <w:p>
      <w:r>
        <w:t>The 1951 printed witness does not resolve the precise force of -ādi, but it confirms that the line belongs to a numbered repeated immersion procedure. The sixty-eight count itself is best supported by the Sanskrit reading, metre, and immediate textual context. Therefore the count can be treated as substantially resolved even though the exact philological force of -ādi is not.</w:t>
      </w:r>
    </w:p>
    <w:p>
      <w:pPr>
        <w:pStyle w:val="Heading1"/>
        <w:keepNext w:val="1"/>
        <w:keepLines w:val="1"/>
      </w:pPr>
      <w:r>
        <w:t>5. Why sixty-eight?</w:t>
      </w:r>
    </w:p>
    <w:p>
      <w:r>
        <w:t>The number is not arbitrary in this immediate textual environment. Only a few lines earlier the work says that sixty-eight tīrthas were summoned in connection with the bathing/purification narrative. The ritual count thus appears to mirror the sacred geography placed within the kuṇḍa complex.</w:t>
      </w:r>
    </w:p>
    <w:p>
      <w:r>
        <w:rPr>
          <w:b/>
          <w:color w:val="7B2638"/>
        </w:rPr>
        <w:t>Vraja-bhakti-vilāsa, immediately preceding context</w:t>
      </w:r>
    </w:p>
    <w:p>
      <w:pPr>
        <w:ind w:left="360"/>
      </w:pPr>
      <w:r>
        <w:rPr>
          <w:i/>
        </w:rPr>
        <w:t>aṣṭaṣaṣṭisamākhyātāṁ tīrthān āhūya saṁsnapan ...</w:t>
      </w:r>
    </w:p>
    <w:p>
      <w:pPr>
        <w:ind w:left="360"/>
      </w:pPr>
      <w:r>
        <w:t>Having summoned the tīrthas known as sixty-eight, [they] bathed ...</w:t>
      </w:r>
    </w:p>
    <w:p>
      <w:pPr>
        <w:ind w:left="360"/>
      </w:pPr>
      <w:r>
        <w:rPr>
          <w:b/>
          <w:color w:val="7B2638"/>
        </w:rPr>
        <w:t xml:space="preserve">Research use — </w:t>
      </w:r>
      <w:r>
        <w:t>This supplies a strong internal rationale for the later sixty-eight immersion count.</w:t>
      </w:r>
    </w:p>
    <w:p>
      <w:pPr>
        <w:pStyle w:val="Heading1"/>
        <w:keepNext w:val="1"/>
        <w:keepLines w:val="1"/>
      </w:pPr>
      <w:r>
        <w:t>6. Does it mean sixty-eight in each kuṇḍa?</w:t>
      </w:r>
    </w:p>
    <w:p>
      <w:r>
        <w:t>The passage first orders Rādhā-kuṇḍa, then Kṛṣṇa-kuṇḍa, and after the immersion instruction concludes: dvayos tu kuṇḍayoś caiva snānam ekavidhaṁ smṛtam — “The bathing procedure for the two kuṇḍas is remembered as being of one kind.” The natural inference is that the same formal procedure, including the sixty-eight count, applies to each kuṇḍa separately. That would yield sixty-eight immersions in Rādhā-kuṇḍa and sixty-eight in Kṛṣṇa-kuṇḍa. However, because the critical line itself is not preserved in a fully edited text and no old commentary has yet been recovered, the guide should label this ‘probable’ rather than ‘certain.’</w:t>
      </w:r>
    </w:p>
    <w:p>
      <w:pPr>
        <w:pStyle w:val="Heading1"/>
        <w:keepNext w:val="1"/>
        <w:keepLines w:val="1"/>
      </w:pPr>
      <w:r>
        <w:t>7. Practical ruling for RKPG-01</w:t>
      </w:r>
    </w:p>
    <w:p>
      <w:pPr>
        <w:ind w:left="259" w:hanging="173"/>
      </w:pPr>
      <w:r>
        <w:rPr>
          <w:b/>
        </w:rPr>
        <w:t xml:space="preserve">• </w:t>
      </w:r>
      <w:r>
        <w:t>Document the sixty-eight count as B-level early Vraja formal ritual, not as an invented modern custom.</w:t>
      </w:r>
    </w:p>
    <w:p>
      <w:pPr>
        <w:ind w:left="259" w:hanging="173"/>
      </w:pPr>
      <w:r>
        <w:rPr>
          <w:b/>
        </w:rPr>
        <w:t xml:space="preserve">• </w:t>
      </w:r>
      <w:r>
        <w:t>Do not tell an ordinary pilgrim that devotionally valid bathing requires sixty-eight immersions.</w:t>
      </w:r>
    </w:p>
    <w:p>
      <w:pPr>
        <w:ind w:left="259" w:hanging="173"/>
      </w:pPr>
      <w:r>
        <w:rPr>
          <w:b/>
        </w:rPr>
        <w:t xml:space="preserve">• </w:t>
      </w:r>
      <w:r>
        <w:t>For a simple visit, retain immersion or respectful head-water according to guru/lineage, qualification, health, and conditions.</w:t>
      </w:r>
    </w:p>
    <w:p>
      <w:pPr>
        <w:ind w:left="259" w:hanging="173"/>
      </w:pPr>
      <w:r>
        <w:rPr>
          <w:b/>
        </w:rPr>
        <w:t xml:space="preserve">• </w:t>
      </w:r>
      <w:r>
        <w:t>If someone deliberately wishes to reproduce Nārāyaṇa Bhaṭṭa’s full formal procedure, explain that the text appears to call for sixty-eight immersions, probably using the same procedure in each kuṇḍa.</w:t>
      </w:r>
    </w:p>
    <w:p>
      <w:pPr>
        <w:ind w:left="259" w:hanging="173"/>
      </w:pPr>
      <w:r>
        <w:rPr>
          <w:b/>
        </w:rPr>
        <w:t xml:space="preserve">• </w:t>
      </w:r>
      <w:r>
        <w:t>Keep the exact force of -ādi and the per-kuṇḍa-versus-total scope as a minor philological note, not a blocker for the practical guide.</w:t>
      </w:r>
    </w:p>
    <w:p>
      <w:pPr>
        <w:pStyle w:val="Heading1"/>
        <w:keepNext w:val="1"/>
        <w:keepLines w:val="1"/>
      </w:pPr>
      <w:r>
        <w:t>8. Source-control note</w:t>
      </w:r>
    </w:p>
    <w:p>
      <w:r>
        <w:t>The Jīva Institute catalogue for the Roman electronic text itself warns that Vraja-bhakti-vilāsa is ‘in great need of editing’ and says that the source of the supplied transliteration was not known to the editor. That warning should remain attached to every fine-grained philological claim. The 1951 Sanskrit-Hindi edition is therefore a significant independent witness, but a critical edition or manuscript comparison would still be desirable.</w:t>
      </w:r>
    </w:p>
    <w:p>
      <w:pPr>
        <w:pStyle w:val="Heading1"/>
        <w:keepNext w:val="1"/>
        <w:keepLines w:val="1"/>
      </w:pPr>
      <w:r>
        <w:t>9. Completion ruling</w:t>
      </w:r>
    </w:p>
    <w:tbl>
      <w:tblPr>
        <w:tblW w:type="auto" w:w="0"/>
        <w:jc w:val="center"/>
        <w:tblLook w:firstColumn="1" w:firstRow="1" w:lastColumn="0" w:lastRow="0" w:noHBand="0" w:noVBand="1" w:val="04A0"/>
      </w:tblPr>
      <w:tblGrid>
        <w:gridCol w:w="10052"/>
      </w:tblGrid>
      <w:tr>
        <w:trPr>
          <w:cantSplit w:val="1"/>
        </w:trPr>
        <w:tc>
          <w:tcPr>
            <w:tcW w:type="dxa" w:w="10052"/>
            <w:shd w:fill="F7F4EE"/>
            <w:tcMar>
              <w:top w:w="110" w:type="dxa"/>
              <w:start w:w="160" w:type="dxa"/>
              <w:bottom w:w="110" w:type="dxa"/>
              <w:end w:w="160" w:type="dxa"/>
            </w:tcMar>
          </w:tcPr>
          <w:p>
            <w:r>
              <w:rPr>
                <w:b/>
                <w:color w:val="7B2638"/>
              </w:rPr>
              <w:t xml:space="preserve">R02 COMPLETE  </w:t>
            </w:r>
            <w:r>
              <w:t>The practical question ‘Does the text intend sixty-eight?’ is resolved strongly enough for guide-writing: yes. The residual questions concern textual refinement, not the existence of the sixty-eight prescription.</w:t>
            </w:r>
          </w:p>
        </w:tc>
      </w:tr>
    </w:tbl>
    <w:sectPr w:rsidR="00FC693F" w:rsidRPr="0006063C" w:rsidSect="00034616">
      <w:headerReference w:type="default" r:id="rId9"/>
      <w:footerReference w:type="default" r:id="rId10"/>
      <w:pgSz w:w="12240" w:h="15840"/>
      <w:pgMar w:top="936" w:right="1094" w:bottom="936" w:left="109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5F5F"/>
        <w:sz w:val="16"/>
      </w:rPr>
      <w:t>RKPG-R02 • Philological Note v1.0 • 25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555555"/>
        <w:sz w:val="16"/>
      </w:rPr>
      <w:t>GOVARDHANA PILGRIMAGE  •  RĀDHĀ-KUṆḌA PILGRIM PRACTICE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80"/>
      <w:contextualSpacing/>
    </w:pPr>
    <w:rPr>
      <w:rFonts w:asciiTheme="majorHAnsi" w:eastAsiaTheme="majorEastAsia" w:hAnsiTheme="majorHAnsi" w:cstheme="majorBidi" w:ascii="Aptos Display" w:hAnsi="Aptos Display"/>
      <w:color w:val="7B26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RKPG-R02 — The aṣṭaṣaṣṭi Problem: Sixty-eight Immersions — Philological Note v1.0</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