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sz w:val="24"/>
        </w:rPr>
        <w:t>Rādhā-kuṇḍa Story</w:t>
      </w:r>
    </w:p>
    <w:p>
      <w:pPr>
        <w:jc w:val="center"/>
      </w:pPr>
      <w:r>
        <w:rPr>
          <w:b/>
          <w:sz w:val="20"/>
        </w:rPr>
        <w:t>RKST-14</w:t>
      </w:r>
    </w:p>
    <w:p>
      <w:pPr>
        <w:pStyle w:val="Title"/>
        <w:jc w:val="center"/>
      </w:pPr>
      <w:r>
        <w:t>Standing at the Water</w:t>
      </w:r>
    </w:p>
    <w:p>
      <w:pPr>
        <w:pStyle w:val="Subtitle"/>
        <w:jc w:val="center"/>
      </w:pPr>
      <w:r>
        <w:t>Devotional synthesis: shelter, service, remembrance, and longing</w:t>
      </w:r>
    </w:p>
    <w:tbl>
      <w:tblPr>
        <w:tblW w:type="auto" w:w="0"/>
        <w:jc w:val="center"/>
        <w:tblLook w:firstColumn="1" w:firstRow="1" w:lastColumn="0" w:lastRow="0" w:noHBand="0" w:noVBand="1" w:val="04A0"/>
      </w:tblPr>
      <w:tblGrid>
        <w:gridCol w:w="9994"/>
      </w:tblGrid>
      <w:tr>
        <w:trPr>
          <w:cantSplit w:val="1"/>
        </w:trPr>
        <w:tc>
          <w:tcPr>
            <w:tcW w:type="dxa" w:w="9994"/>
            <w:shd w:fill="F3EBDD"/>
            <w:tcMar>
              <w:top w:w="110" w:type="dxa"/>
              <w:start w:w="160" w:type="dxa"/>
              <w:bottom w:w="110" w:type="dxa"/>
              <w:end w:w="160" w:type="dxa"/>
            </w:tcMar>
          </w:tcPr>
          <w:p>
            <w:r>
              <w:rPr>
                <w:b/>
                <w:color w:val="7B2638"/>
              </w:rPr>
              <w:t xml:space="preserve">STATUS  </w:t>
            </w:r>
            <w:r>
              <w:t>Draft v0.1. This is the final literary section of the Rādhā-kuṇḍa Story, but not yet the compiled chapter. It introduces no new historical evidence. Its source burden is intentionally A-level and devotional, gathering the preceding sections back into the language of Rūpa and Raghunātha.</w:t>
            </w:r>
          </w:p>
        </w:tc>
      </w:tr>
    </w:tbl>
    <w:p>
      <w:r>
        <w:br w:type="page"/>
      </w:r>
    </w:p>
    <w:p>
      <w:pPr>
        <w:jc w:val="center"/>
      </w:pPr>
      <w:r>
        <w:rPr>
          <w:b/>
          <w:color w:val="505050"/>
          <w:sz w:val="18"/>
        </w:rPr>
        <w:t>SOURCE CARD • CONCLUDING GOSVĀMĪ VOICES</w:t>
      </w:r>
    </w:p>
    <w:p>
      <w:r>
        <w:t>The Writing Blueprint requires the conclusion to return from history and mapping to the spiritual center of the chapter: Rādhā-kuṇḍa as shelter, service, remembrance, and longing. The sources below have already controlled earlier sections; nothing new is introduced here. The conclusion therefore cross-references the chapter rather than reopening source debates.</w:t>
      </w:r>
    </w:p>
    <w:p>
      <w:r>
        <w:rPr>
          <w:b/>
          <w:color w:val="7B2638"/>
        </w:rPr>
        <w:t>Rūpa Gosvāmī, Mathurā-māhātmya 421</w:t>
      </w:r>
    </w:p>
    <w:p>
      <w:pPr>
        <w:ind w:left="259"/>
      </w:pPr>
      <w:r>
        <w:rPr>
          <w:i/>
        </w:rPr>
        <w:t>yathā rādhā priyā viṣṇos / tasyāḥ kuṇḍaṁ priyaṁ tathā ||</w:t>
      </w:r>
    </w:p>
    <w:p>
      <w:pPr>
        <w:ind w:left="259"/>
      </w:pPr>
      <w:r>
        <w:t>As Rādhā is dear to Kṛṣṇa, so Her kuṇḍa is dear to Him.</w:t>
      </w:r>
    </w:p>
    <w:p>
      <w:pPr>
        <w:ind w:left="259"/>
      </w:pPr>
      <w:r>
        <w:rPr>
          <w:b/>
          <w:color w:val="7B2638"/>
        </w:rPr>
        <w:t xml:space="preserve">Research use — </w:t>
      </w:r>
      <w:r>
        <w:t>The simplest relational center: the lake’s dearness follows Rādhā’s dearness.</w:t>
      </w:r>
    </w:p>
    <w:p>
      <w:r>
        <w:rPr>
          <w:b/>
          <w:color w:val="7B2638"/>
        </w:rPr>
        <w:t>Raghunātha dāsa Gosvāmī, Rādhā-kuṇḍāṣṭaka 3</w:t>
      </w:r>
    </w:p>
    <w:p>
      <w:pPr>
        <w:ind w:left="259"/>
      </w:pPr>
      <w:r>
        <w:rPr>
          <w:i/>
        </w:rPr>
        <w:t>agha-ripur api yatnād atra devyāḥ prasāda- / prasara-kṛta-kaṭākṣa-prāpti-kāmaḥ prakāmam | anusarati yad uccaiḥ snāna-sevānubandhais / tad ati-surabhi rādhā-kuṇḍam evāśrayo me ||3||</w:t>
      </w:r>
    </w:p>
    <w:p>
      <w:pPr>
        <w:ind w:left="259"/>
      </w:pPr>
      <w:r>
        <w:t>Even Kṛṣṇa eagerly follows this lake through the bonds of bathing and service, longing to obtain the gracious sidelong glance flowing from the Goddess. May that exquisitely fragrant Rādhā-kuṇḍa be my shelter.</w:t>
      </w:r>
    </w:p>
    <w:p>
      <w:pPr>
        <w:ind w:left="259"/>
      </w:pPr>
      <w:r>
        <w:rPr>
          <w:b/>
          <w:color w:val="7B2638"/>
        </w:rPr>
        <w:t xml:space="preserve">Research use — </w:t>
      </w:r>
      <w:r>
        <w:t>Grace, bathing, service, and shelter belong together; the kuṇḍa is not reduced to ritual merit.</w:t>
      </w:r>
    </w:p>
    <w:p>
      <w:r>
        <w:rPr>
          <w:b/>
          <w:color w:val="7B2638"/>
        </w:rPr>
        <w:t>Raghunātha dāsa Gosvāmī, Rādhā-kuṇḍāṣṭaka 8</w:t>
      </w:r>
    </w:p>
    <w:p>
      <w:pPr>
        <w:ind w:left="259"/>
      </w:pPr>
      <w:r>
        <w:rPr>
          <w:i/>
        </w:rPr>
        <w:t>anudinam ati-raṅgaiḥ prema-mattāli-saṅghair / vara-sarasija-gandhair hāri-vāri-prapūrṇe | viharata iha yasmin dam-patī tau pramattau / tad ati-surabhi rādhā-kuṇḍam evāśrayo me ||8||</w:t>
      </w:r>
    </w:p>
    <w:p>
      <w:pPr>
        <w:ind w:left="259"/>
      </w:pPr>
      <w:r>
        <w:t>Every day, in its captivating waters filled with the fragrance of excellent lotuses, the Divine Couple sport amid assemblies of companions intoxicated with love. May that exquisitely fragrant Rādhā-kuṇḍa be my shelter.</w:t>
      </w:r>
    </w:p>
    <w:p>
      <w:pPr>
        <w:ind w:left="259"/>
      </w:pPr>
      <w:r>
        <w:rPr>
          <w:b/>
          <w:color w:val="7B2638"/>
        </w:rPr>
        <w:t xml:space="preserve">Research use — </w:t>
      </w:r>
      <w:r>
        <w:t>Anudinam, ‘every day,’ makes the eternal daily-līlā identity explicit.</w:t>
      </w:r>
    </w:p>
    <w:p>
      <w:r>
        <w:rPr>
          <w:b/>
          <w:color w:val="7B2638"/>
        </w:rPr>
        <w:t>Rūpa Gosvāmī, Upadeśāmṛta 11</w:t>
      </w:r>
    </w:p>
    <w:p>
      <w:pPr>
        <w:ind w:left="259"/>
      </w:pPr>
      <w:r>
        <w:rPr>
          <w:i/>
        </w:rPr>
        <w:t>kṛṣṇasyoccaiḥ praṇaya-vasatiḥ preyasībhyo ’pi rādhā / kuṇḍaṁ cāsyā munibhir abhitas tādṛg eva vyadhāyi | yat preṣṭhair apy alam asulabhaṁ kiṁ punar bhakti-bhājāṁ / tat premedaṁ sakṛd api saraḥ snātur āviṣkaroti ||11||</w:t>
      </w:r>
    </w:p>
    <w:p>
      <w:pPr>
        <w:ind w:left="259"/>
      </w:pPr>
      <w:r>
        <w:t>Rādhā is the supreme abode of Kṛṣṇa’s love among His beloveds, and the sages describe Her lake as similarly dear in every respect. This lake reveals in one who bathes there even once the prema that is exceedingly difficult to attain even for Kṛṣṇa’s dearest ones.</w:t>
      </w:r>
    </w:p>
    <w:p>
      <w:pPr>
        <w:ind w:left="259"/>
      </w:pPr>
      <w:r>
        <w:rPr>
          <w:b/>
          <w:color w:val="7B2638"/>
        </w:rPr>
        <w:t xml:space="preserve">Research use — </w:t>
      </w:r>
      <w:r>
        <w:t>The promise of bathing is read within the wider Upadeśāmṛta sequence of sevā, dearness, shelter, and prema.</w:t>
      </w:r>
    </w:p>
    <w:p>
      <w:r>
        <w:rPr>
          <w:b/>
          <w:color w:val="7B2638"/>
        </w:rPr>
        <w:t>Raghunātha dāsa Gosvāmī, Vilāpa-kusumāñjali 97</w:t>
      </w:r>
    </w:p>
    <w:p>
      <w:pPr>
        <w:ind w:left="259"/>
      </w:pPr>
      <w:r>
        <w:rPr>
          <w:i/>
        </w:rPr>
        <w:t>sva-kuṇḍaṁ tava lolākṣi / sa-priyāyāḥ sadāspadam | atraiva mama saṁvāsa / ihaiva mama saṁsthitiḥ ||97||</w:t>
      </w:r>
    </w:p>
    <w:p>
      <w:pPr>
        <w:ind w:left="259"/>
      </w:pPr>
      <w:r>
        <w:t>O restless-eyed one, Your own kuṇḍa is the eternal abode of You together with Your beloved. Here alone shall be my residence; here alone shall be my abiding place.</w:t>
      </w:r>
    </w:p>
    <w:p>
      <w:pPr>
        <w:ind w:left="259"/>
      </w:pPr>
      <w:r>
        <w:rPr>
          <w:b/>
          <w:color w:val="7B2638"/>
        </w:rPr>
        <w:t xml:space="preserve">Research use — </w:t>
      </w:r>
      <w:r>
        <w:t>Preferred concluding voice. The chapter ends not with a modern claim about a visible structure but with Raghunātha’s longing to remain at Rādhā’s own lake.</w:t>
      </w:r>
    </w:p>
    <w:p>
      <w:pPr>
        <w:jc w:val="center"/>
      </w:pPr>
      <w:r>
        <w:rPr>
          <w:b/>
          <w:color w:val="505050"/>
          <w:sz w:val="18"/>
        </w:rPr>
        <w:t>READER-FACING PROSE</w:t>
      </w:r>
    </w:p>
    <w:p>
      <w:pPr>
        <w:pStyle w:val="Heading1"/>
        <w:keepNext w:val="1"/>
        <w:keepLines w:val="1"/>
      </w:pPr>
      <w:r>
        <w:t>14. Standing at the Water: Devotional Synthesis</w:t>
      </w:r>
    </w:p>
    <w:p>
      <w:pPr>
        <w:spacing w:after="140"/>
      </w:pPr>
      <w:r>
        <w:t>After so much history, geography and source criticism, it is possible to arrive again at the edge of the water and discover that the Gosvāmīs ask for something simpler than mastery of information. Rādhā-kuṇḍa has taken us through a bull-demon’s death, playful speech about dharma, the manifestation and joining of two waters, the hidden routes of midday līlā, the service worlds of sakhīs and sakhās, Mahāprabhu’s recognition of an obscured tīrtha, Raghunātha dāsa’s residence, the growth of a Gauḍīya community, and centuries of changing land, water, buildings and pilgrimage memory. None of those layers should be discarded. But none is the final object either.</w:t>
      </w:r>
    </w:p>
    <w:p>
      <w:pPr>
        <w:spacing w:after="140"/>
      </w:pPr>
      <w:r>
        <w:t>Rūpa Gosvāmī gives the center in one line: yathā rādhā priyā viṣṇos / tasyāḥ kuṇḍaṁ priyaṁ tathā—“As Rādhā is dear to Kṛṣṇa, so Her kuṇḍa is dear to Him.” The statement is almost disarming after the complexity of the landscape. Rādhā-kuṇḍa is not highest because it is the oldest visible structure, because every later shrine can be proved to stand on an eternal coordinate, or because its history can be reconstructed without gaps. Its identity is relational. It is Her lake.</w:t>
      </w:r>
    </w:p>
    <w:p>
      <w:pPr>
        <w:spacing w:after="140"/>
      </w:pPr>
      <w:r>
        <w:t>The manifestation story revealed that relation through action. Kṛṣṇa summoned the tīrthas; Rādhā and Her companions made Her own pond with their hands; the tīrthas petitioned Her; the waters joined; Kṛṣṇa praised Her kuṇḍa; Rādhā answered by honoring His; and the episode opened into rāsa. Raghunātha remembers even the opening dispute as narma-dharmokti, playful speech concerning dharma. What begins as distance becomes nearness; what begins with refusal becomes grace; what begins with two distinct ponds becomes joined water without loss of either identity.</w:t>
      </w:r>
    </w:p>
    <w:p>
      <w:pPr>
        <w:spacing w:after="140"/>
      </w:pPr>
      <w:r>
        <w:t>The later nitya-līlā texts show what kind of world that joined water belongs to. The kuṇḍa is not empty scenery. It is prepared for service: groves are arranged, routes opened, swings hung, refreshments stored, messages carried, secrecy protected, songs sung and games organized. Rādhā and Kṛṣṇa arrive because others have served their meeting. Raghunātha therefore does not merely praise a beautiful lake. His refrain is rādhā-kuṇḍam evāśrayo me—“May Rādhā-kuṇḍa be my shelter.”</w:t>
      </w:r>
    </w:p>
    <w:p>
      <w:pPr>
        <w:spacing w:after="140"/>
      </w:pPr>
      <w:r>
        <w:t>That word, āśraya, gathers together much of what the chapter has shown. Mahāprabhu encounters only a little water in paddy fields, yet He bathes, praises, remembers, dances and marks His body with the earth of the place. Raghunātha does not ask merely to visit; he asks to remain. His later tradition remembers desilting and excavation as sevā, but his own poetry keeps the deeper orientation clear. Residence matters because the place is Rādhā’s, and because the Divine Couple’s līlā is understood there as anudinam—every day.</w:t>
      </w:r>
    </w:p>
    <w:p>
      <w:pPr>
        <w:spacing w:after="140"/>
      </w:pPr>
      <w:r>
        <w:t>Rādhā-kuṇḍāṣṭaka 8 gives that daily identity its most intimate form. The waters are fragrant with lotuses; Rādhā and Kṛṣṇa sport there amid companions intoxicated with love. The present pilgrim may see stone, steps, crowds, buildings, repaired banks, electric lights, shopfronts, traffic and the marks of many centuries. None of those things should be confused with the jeweled eternal landscape. Yet the Gosvāmī vision also prevents the visible present from becoming the measure of the place. Mahāprabhu already taught that lesson when little water concealed a fullness known through līlā.</w:t>
      </w:r>
    </w:p>
    <w:p>
      <w:pPr>
        <w:spacing w:after="140"/>
      </w:pPr>
      <w:r>
        <w:t>For Raghunātha, even Kṛṣṇa approaches this kuṇḍa through the language of grace and service. In the third verse of Rādhā-kuṇḍāṣṭaka, Kṛṣṇa is portrayed as longing for Devī’s gracious sidelong glance and binding Himself to the lake through bathing and sevā. The pilgrim is therefore not placed outside the devotional structure looking in. To approach Rādhā-kuṇḍa is to approach a world in which nearness is expressed through service, permission, remembrance and shelter.</w:t>
      </w:r>
    </w:p>
    <w:p>
      <w:pPr>
        <w:spacing w:after="140"/>
      </w:pPr>
      <w:r>
        <w:t>This also gives the strongest promises about bathing their proper atmosphere. Rūpa says in Upadeśāmṛta 11 that the lake reveals a prema exceedingly difficult even for Kṛṣṇa’s dearest associates to attain. The sentence should astonish us, but it should not be detached from the verses and traditions surrounding it. Rūpa has already spoken of sevā; Raghunātha repeatedly asks for shelter; Mahāprabhu bathes while praising and remembering; and the service world of the kuṇḍa is filled with companions whose attention is directed toward Rādhā and Kṛṣṇa rather than toward themselves.</w:t>
      </w:r>
    </w:p>
    <w:p>
      <w:pPr>
        <w:spacing w:after="140"/>
      </w:pPr>
      <w:r>
        <w:t>A pilgrimage guide can therefore help by identifying names, routes, sources and levels of certainty. It can show where an early text locates Mānasa-pāvana and where later tradition commemorates Jāhnavā. It can distinguish a nitya-līlā setu from a historical causeway and an early kuṭīra tradition from a later memorial building. Those distinctions protect the truthfulness of pilgrimage. But the final reason to make them is not merely scholarly caution. It is to keep the evidence from obscuring the person to whom the evidence points.</w:t>
      </w:r>
    </w:p>
    <w:p>
      <w:pPr>
        <w:spacing w:after="140"/>
      </w:pPr>
      <w:r>
        <w:t>At the end, Rādhā-kuṇḍa is not primarily an argument to win or a map to master. In the voice of Raghunātha dāsa, it becomes a place one longs to belong. The appropriate final word is therefore his prayer to Rādhā:</w:t>
      </w:r>
    </w:p>
    <w:p>
      <w:pPr>
        <w:ind w:left="403" w:right="403"/>
      </w:pPr>
      <w:r>
        <w:rPr>
          <w:i/>
          <w:sz w:val="22"/>
        </w:rPr>
        <w:t>sva-kuṇḍaṁ tava lolākṣi</w:t>
        <w:br/>
        <w:t>sa-priyāyāḥ sadāspadam |</w:t>
        <w:br/>
        <w:t>atraiva mama saṁvāsa</w:t>
        <w:br/>
        <w:t>ihaiva mama saṁsthitiḥ ||97||</w:t>
      </w:r>
    </w:p>
    <w:p>
      <w:pPr>
        <w:ind w:left="403" w:right="403"/>
      </w:pPr>
      <w:r>
        <w:rPr>
          <w:b/>
        </w:rPr>
        <w:t>“O restless-eyed one, Your own kuṇḍa is the eternal abode of You together with Your beloved. Here alone shall be my residence; here alone shall be my abiding place.”</w:t>
      </w:r>
    </w:p>
    <w:p>
      <w:r>
        <w:br w:type="page"/>
      </w:r>
    </w:p>
    <w:p>
      <w:pPr>
        <w:pStyle w:val="Heading1"/>
        <w:keepNext w:val="1"/>
        <w:keepLines w:val="1"/>
      </w:pPr>
      <w:r>
        <w:t>INTERNAL CONTROL APPARATUS • REMOVE OR CONVERT TO NOTES IN FINAL COMPILATION</w:t>
      </w:r>
    </w:p>
    <w:p>
      <w:pPr>
        <w:pStyle w:val="Heading2"/>
        <w:keepNext w:val="1"/>
        <w:keepLines w:val="1"/>
      </w:pPr>
      <w:r>
        <w:t>Sources actually used</w:t>
      </w:r>
    </w:p>
    <w:p>
      <w:r>
        <w:t>• RKST-00 Writing Blueprint v1.0, Section 14: 700–1,000-word A-level devotional synthesis; end in Gosvāmī voice; introduce no new evidence.</w:t>
      </w:r>
    </w:p>
    <w:p>
      <w:r>
        <w:t>• Rūpa Gosvāmī, Mathurā-māhātmya 421: yathā rādhā priyā viṣṇos / tasyāḥ kuṇḍaṁ priyaṁ tathā.</w:t>
      </w:r>
    </w:p>
    <w:p>
      <w:r>
        <w:t>• Raghunātha dāsa Gosvāmī, Rādhā-kuṇḍāṣṭaka 3 and 8: grace/service/shelter and anudinam daily-līlā.</w:t>
      </w:r>
    </w:p>
    <w:p>
      <w:r>
        <w:t>• Rūpa Gosvāmī, Upadeśāmṛta 11, read in the section-established context of verses 9–10: dearness, sevā, shelter, bathing and prema.</w:t>
      </w:r>
    </w:p>
    <w:p>
      <w:r>
        <w:t>• Raghunātha dāsa Gosvāmī, Vilāpa-kusumāñjali 97: final residence/abiding prayer.</w:t>
      </w:r>
    </w:p>
    <w:p>
      <w:r>
        <w:t>• RKST-01 through RKST-12 are cross-referenced for narrative memory only; no historical claim is newly introduced or reopened here. RKST-13 is not required to control this conclusion.</w:t>
      </w:r>
    </w:p>
    <w:p>
      <w:pPr>
        <w:pStyle w:val="Heading2"/>
        <w:keepNext w:val="1"/>
        <w:keepLines w:val="1"/>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DEDED"/>
            <w:tcMar>
              <w:top w:w="60" w:type="dxa"/>
              <w:start w:w="70" w:type="dxa"/>
              <w:bottom w:w="60" w:type="dxa"/>
              <w:end w:w="70" w:type="dxa"/>
            </w:tcMar>
          </w:tcPr>
          <w:p>
            <w:r>
              <w:rPr>
                <w:b/>
              </w:rPr>
              <w:t>Locus</w:t>
            </w:r>
          </w:p>
        </w:tc>
        <w:tc>
          <w:tcPr>
            <w:tcW w:type="dxa" w:w="2498"/>
            <w:shd w:fill="EDEDED"/>
            <w:tcMar>
              <w:top w:w="60" w:type="dxa"/>
              <w:start w:w="70" w:type="dxa"/>
              <w:bottom w:w="60" w:type="dxa"/>
              <w:end w:w="70" w:type="dxa"/>
            </w:tcMar>
          </w:tcPr>
          <w:p>
            <w:r>
              <w:rPr>
                <w:b/>
              </w:rPr>
              <w:t>Text retained</w:t>
            </w:r>
          </w:p>
        </w:tc>
        <w:tc>
          <w:tcPr>
            <w:tcW w:type="dxa" w:w="2498"/>
            <w:shd w:fill="EDEDED"/>
            <w:tcMar>
              <w:top w:w="60" w:type="dxa"/>
              <w:start w:w="70" w:type="dxa"/>
              <w:bottom w:w="60" w:type="dxa"/>
              <w:end w:w="70" w:type="dxa"/>
            </w:tcMar>
          </w:tcPr>
          <w:p>
            <w:r>
              <w:rPr>
                <w:b/>
              </w:rPr>
              <w:t>Use in conclusion</w:t>
            </w:r>
          </w:p>
        </w:tc>
        <w:tc>
          <w:tcPr>
            <w:tcW w:type="dxa" w:w="2498"/>
            <w:shd w:fill="EDEDED"/>
            <w:tcMar>
              <w:top w:w="60" w:type="dxa"/>
              <w:start w:w="70" w:type="dxa"/>
              <w:bottom w:w="60" w:type="dxa"/>
              <w:end w:w="70" w:type="dxa"/>
            </w:tcMar>
          </w:tcPr>
          <w:p>
            <w:r>
              <w:rPr>
                <w:b/>
              </w:rPr>
              <w:t>Status</w:t>
            </w:r>
          </w:p>
        </w:tc>
      </w:tr>
      <w:tr>
        <w:trPr>
          <w:cantSplit w:val="1"/>
        </w:trPr>
        <w:tc>
          <w:tcPr>
            <w:tcW w:type="dxa" w:w="2498"/>
            <w:tcMar>
              <w:top w:w="55" w:type="dxa"/>
              <w:start w:w="65" w:type="dxa"/>
              <w:bottom w:w="55" w:type="dxa"/>
              <w:end w:w="65" w:type="dxa"/>
            </w:tcMar>
          </w:tcPr>
          <w:p>
            <w:r>
              <w:t>MM 421</w:t>
            </w:r>
          </w:p>
        </w:tc>
        <w:tc>
          <w:tcPr>
            <w:tcW w:type="dxa" w:w="2498"/>
            <w:tcMar>
              <w:top w:w="55" w:type="dxa"/>
              <w:start w:w="65" w:type="dxa"/>
              <w:bottom w:w="55" w:type="dxa"/>
              <w:end w:w="65" w:type="dxa"/>
            </w:tcMar>
          </w:tcPr>
          <w:p>
            <w:r>
              <w:t>yathā rādhā priyā viṣṇos / tasyāḥ kuṇḍaṁ priyaṁ tathā</w:t>
            </w:r>
          </w:p>
        </w:tc>
        <w:tc>
          <w:tcPr>
            <w:tcW w:type="dxa" w:w="2498"/>
            <w:tcMar>
              <w:top w:w="55" w:type="dxa"/>
              <w:start w:w="65" w:type="dxa"/>
              <w:bottom w:w="55" w:type="dxa"/>
              <w:end w:w="65" w:type="dxa"/>
            </w:tcMar>
          </w:tcPr>
          <w:p>
            <w:r>
              <w:t>Relational center</w:t>
            </w:r>
          </w:p>
        </w:tc>
        <w:tc>
          <w:tcPr>
            <w:tcW w:type="dxa" w:w="2498"/>
            <w:tcMar>
              <w:top w:w="55" w:type="dxa"/>
              <w:start w:w="65" w:type="dxa"/>
              <w:bottom w:w="55" w:type="dxa"/>
              <w:end w:w="65" w:type="dxa"/>
            </w:tcMar>
          </w:tcPr>
          <w:p>
            <w:r>
              <w:t>KEEP</w:t>
            </w:r>
          </w:p>
        </w:tc>
      </w:tr>
      <w:tr>
        <w:trPr>
          <w:cantSplit w:val="1"/>
        </w:trPr>
        <w:tc>
          <w:tcPr>
            <w:tcW w:type="dxa" w:w="2498"/>
            <w:tcMar>
              <w:top w:w="55" w:type="dxa"/>
              <w:start w:w="65" w:type="dxa"/>
              <w:bottom w:w="55" w:type="dxa"/>
              <w:end w:w="65" w:type="dxa"/>
            </w:tcMar>
          </w:tcPr>
          <w:p>
            <w:r>
              <w:t>RKA 3</w:t>
            </w:r>
          </w:p>
        </w:tc>
        <w:tc>
          <w:tcPr>
            <w:tcW w:type="dxa" w:w="2498"/>
            <w:tcMar>
              <w:top w:w="55" w:type="dxa"/>
              <w:start w:w="65" w:type="dxa"/>
              <w:bottom w:w="55" w:type="dxa"/>
              <w:end w:w="65" w:type="dxa"/>
            </w:tcMar>
          </w:tcPr>
          <w:p>
            <w:r>
              <w:t>prasāda … snāna-sevā … rādhā-kuṇḍam evāśrayo me</w:t>
            </w:r>
          </w:p>
        </w:tc>
        <w:tc>
          <w:tcPr>
            <w:tcW w:type="dxa" w:w="2498"/>
            <w:tcMar>
              <w:top w:w="55" w:type="dxa"/>
              <w:start w:w="65" w:type="dxa"/>
              <w:bottom w:w="55" w:type="dxa"/>
              <w:end w:w="65" w:type="dxa"/>
            </w:tcMar>
          </w:tcPr>
          <w:p>
            <w:r>
              <w:t>Grace/service/shelter</w:t>
            </w:r>
          </w:p>
        </w:tc>
        <w:tc>
          <w:tcPr>
            <w:tcW w:type="dxa" w:w="2498"/>
            <w:tcMar>
              <w:top w:w="55" w:type="dxa"/>
              <w:start w:w="65" w:type="dxa"/>
              <w:bottom w:w="55" w:type="dxa"/>
              <w:end w:w="65" w:type="dxa"/>
            </w:tcMar>
          </w:tcPr>
          <w:p>
            <w:r>
              <w:t>PARAPHRASE + phrase</w:t>
            </w:r>
          </w:p>
        </w:tc>
      </w:tr>
      <w:tr>
        <w:trPr>
          <w:cantSplit w:val="1"/>
        </w:trPr>
        <w:tc>
          <w:tcPr>
            <w:tcW w:type="dxa" w:w="2498"/>
            <w:tcMar>
              <w:top w:w="55" w:type="dxa"/>
              <w:start w:w="65" w:type="dxa"/>
              <w:bottom w:w="55" w:type="dxa"/>
              <w:end w:w="65" w:type="dxa"/>
            </w:tcMar>
          </w:tcPr>
          <w:p>
            <w:r>
              <w:t>RKA 8</w:t>
            </w:r>
          </w:p>
        </w:tc>
        <w:tc>
          <w:tcPr>
            <w:tcW w:type="dxa" w:w="2498"/>
            <w:tcMar>
              <w:top w:w="55" w:type="dxa"/>
              <w:start w:w="65" w:type="dxa"/>
              <w:bottom w:w="55" w:type="dxa"/>
              <w:end w:w="65" w:type="dxa"/>
            </w:tcMar>
          </w:tcPr>
          <w:p>
            <w:r>
              <w:t>anudinam … viharata iha yasmin dam-patī</w:t>
            </w:r>
          </w:p>
        </w:tc>
        <w:tc>
          <w:tcPr>
            <w:tcW w:type="dxa" w:w="2498"/>
            <w:tcMar>
              <w:top w:w="55" w:type="dxa"/>
              <w:start w:w="65" w:type="dxa"/>
              <w:bottom w:w="55" w:type="dxa"/>
              <w:end w:w="65" w:type="dxa"/>
            </w:tcMar>
          </w:tcPr>
          <w:p>
            <w:r>
              <w:t>Daily-līlā identity</w:t>
            </w:r>
          </w:p>
        </w:tc>
        <w:tc>
          <w:tcPr>
            <w:tcW w:type="dxa" w:w="2498"/>
            <w:tcMar>
              <w:top w:w="55" w:type="dxa"/>
              <w:start w:w="65" w:type="dxa"/>
              <w:bottom w:w="55" w:type="dxa"/>
              <w:end w:w="65" w:type="dxa"/>
            </w:tcMar>
          </w:tcPr>
          <w:p>
            <w:r>
              <w:t>PARAPHRASE</w:t>
            </w:r>
          </w:p>
        </w:tc>
      </w:tr>
      <w:tr>
        <w:trPr>
          <w:cantSplit w:val="1"/>
        </w:trPr>
        <w:tc>
          <w:tcPr>
            <w:tcW w:type="dxa" w:w="2498"/>
            <w:tcMar>
              <w:top w:w="55" w:type="dxa"/>
              <w:start w:w="65" w:type="dxa"/>
              <w:bottom w:w="55" w:type="dxa"/>
              <w:end w:w="65" w:type="dxa"/>
            </w:tcMar>
          </w:tcPr>
          <w:p>
            <w:r>
              <w:t>Upadeśāmṛta 11</w:t>
            </w:r>
          </w:p>
        </w:tc>
        <w:tc>
          <w:tcPr>
            <w:tcW w:type="dxa" w:w="2498"/>
            <w:tcMar>
              <w:top w:w="55" w:type="dxa"/>
              <w:start w:w="65" w:type="dxa"/>
              <w:bottom w:w="55" w:type="dxa"/>
              <w:end w:w="65" w:type="dxa"/>
            </w:tcMar>
          </w:tcPr>
          <w:p>
            <w:r>
              <w:t>tat premedaṁ sakṛd api saraḥ snātur āviṣkaroti</w:t>
            </w:r>
          </w:p>
        </w:tc>
        <w:tc>
          <w:tcPr>
            <w:tcW w:type="dxa" w:w="2498"/>
            <w:tcMar>
              <w:top w:w="55" w:type="dxa"/>
              <w:start w:w="65" w:type="dxa"/>
              <w:bottom w:w="55" w:type="dxa"/>
              <w:end w:w="65" w:type="dxa"/>
            </w:tcMar>
          </w:tcPr>
          <w:p>
            <w:r>
              <w:t>Bathing/prema within sevā context</w:t>
            </w:r>
          </w:p>
        </w:tc>
        <w:tc>
          <w:tcPr>
            <w:tcW w:type="dxa" w:w="2498"/>
            <w:tcMar>
              <w:top w:w="55" w:type="dxa"/>
              <w:start w:w="65" w:type="dxa"/>
              <w:bottom w:w="55" w:type="dxa"/>
              <w:end w:w="65" w:type="dxa"/>
            </w:tcMar>
          </w:tcPr>
          <w:p>
            <w:r>
              <w:t>PARAPHRASE</w:t>
            </w:r>
          </w:p>
        </w:tc>
      </w:tr>
      <w:tr>
        <w:trPr>
          <w:cantSplit w:val="1"/>
        </w:trPr>
        <w:tc>
          <w:tcPr>
            <w:tcW w:type="dxa" w:w="2498"/>
            <w:tcMar>
              <w:top w:w="55" w:type="dxa"/>
              <w:start w:w="65" w:type="dxa"/>
              <w:bottom w:w="55" w:type="dxa"/>
              <w:end w:w="65" w:type="dxa"/>
            </w:tcMar>
          </w:tcPr>
          <w:p>
            <w:r>
              <w:t>VK 97</w:t>
            </w:r>
          </w:p>
        </w:tc>
        <w:tc>
          <w:tcPr>
            <w:tcW w:type="dxa" w:w="2498"/>
            <w:tcMar>
              <w:top w:w="55" w:type="dxa"/>
              <w:start w:w="65" w:type="dxa"/>
              <w:bottom w:w="55" w:type="dxa"/>
              <w:end w:w="65" w:type="dxa"/>
            </w:tcMar>
          </w:tcPr>
          <w:p>
            <w:r>
              <w:t>sva-kuṇḍaṁ tava lolākṣi … atraiva mama saṁvāsa / ihaiva mama saṁsthitiḥ</w:t>
            </w:r>
          </w:p>
        </w:tc>
        <w:tc>
          <w:tcPr>
            <w:tcW w:type="dxa" w:w="2498"/>
            <w:tcMar>
              <w:top w:w="55" w:type="dxa"/>
              <w:start w:w="65" w:type="dxa"/>
              <w:bottom w:w="55" w:type="dxa"/>
              <w:end w:w="65" w:type="dxa"/>
            </w:tcMar>
          </w:tcPr>
          <w:p>
            <w:r>
              <w:t>Final voice</w:t>
            </w:r>
          </w:p>
        </w:tc>
        <w:tc>
          <w:tcPr>
            <w:tcW w:type="dxa" w:w="2498"/>
            <w:tcMar>
              <w:top w:w="55" w:type="dxa"/>
              <w:start w:w="65" w:type="dxa"/>
              <w:bottom w:w="55" w:type="dxa"/>
              <w:end w:w="65" w:type="dxa"/>
            </w:tcMar>
          </w:tcPr>
          <w:p>
            <w:r>
              <w:t>KEEP IN FULL</w:t>
            </w:r>
          </w:p>
        </w:tc>
      </w:tr>
    </w:tbl>
    <w:p>
      <w:pPr>
        <w:pStyle w:val="Heading2"/>
        <w:keepNext w:val="1"/>
        <w:keepLines w:val="1"/>
      </w:pPr>
      <w:r>
        <w:t>Claims deliberately omitted or qualified</w:t>
      </w:r>
    </w:p>
    <w:p>
      <w:r>
        <w:t>• No modern visible shrine, ghāṭ, tree, causeway, or kuṭīra is equated in the conclusion with an eternal-līlā structure.</w:t>
      </w:r>
    </w:p>
    <w:p>
      <w:r>
        <w:t>• No new historical date, patronage claim, or localization is introduced.</w:t>
      </w:r>
    </w:p>
    <w:p>
      <w:r>
        <w:t>• The promise of bathing is not isolated from sevā, shelter, grace, remembrance and prema.</w:t>
      </w:r>
    </w:p>
    <w:p>
      <w:r>
        <w:t>• ‘Joined water without loss of identity’ is a project synthesis based on the narrative and textual geography, not a direct quotation.</w:t>
      </w:r>
    </w:p>
    <w:p>
      <w:r>
        <w:t>• The conclusion does not depend on RKST-13’s pending field verification.</w:t>
      </w:r>
    </w:p>
    <w:p>
      <w:r>
        <w:t>• The full compiled Rādhā-kuṇḍa chapter remains intentionally deferred.</w:t>
      </w:r>
    </w:p>
    <w:p>
      <w:pPr>
        <w:pStyle w:val="Heading2"/>
        <w:keepNext w:val="1"/>
        <w:keepLines w:val="1"/>
      </w:pPr>
      <w:r>
        <w:t>Open items carried forward</w:t>
      </w:r>
    </w:p>
    <w:p>
      <w:r>
        <w:t>• RKST-13 remains Draft until field/location verification; its final status does not block approval of RKST-14.</w:t>
      </w:r>
    </w:p>
    <w:p>
      <w:r>
        <w:t>• When the complete chapter is eventually compiled, verify that this conclusion does not duplicate the opening too heavily and that VK 97 remains the final major quotation.</w:t>
      </w:r>
    </w:p>
    <w:p>
      <w:r>
        <w:t>• At compilation stage, decide whether the visible Sanskrit of MM 421 and Upadeśāmṛta 11 should remain only in notes/source apparatus or appear elsewhere in the chapter; no change is needed for this section draft.</w:t>
      </w:r>
    </w:p>
    <w:p>
      <w:pPr>
        <w:pStyle w:val="Heading2"/>
        <w:keepNext w:val="1"/>
        <w:keepLines w:val="1"/>
      </w:pPr>
      <w:r>
        <w:t>Review question for v0.2</w:t>
      </w:r>
    </w:p>
    <w:p>
      <w:r>
        <w:t>Does the conclusion feel like a return to the water rather than a summary list—gathering manifestation, eternal līlā, Mahāprabhu, Raghunātha and pilgrimage into the Gosvāmī language of dearness, shelter, service, remembrance and longing?</w:t>
      </w:r>
    </w:p>
    <w:sectPr w:rsidR="00FC693F" w:rsidRPr="0006063C" w:rsidSect="00034616">
      <w:headerReference w:type="default" r:id="rId9"/>
      <w:footerReference w:type="default" r:id="rId10"/>
      <w:pgSz w:w="12240" w:h="15840"/>
      <w:pgMar w:top="979"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RKST-14 • Draft v0.1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rPr>
        <w:rFonts w:ascii="Aptos" w:hAnsi="Aptos"/>
        <w:b/>
        <w:color w:val="55555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RKST-14 — Standing at the Water: Devotional Synthesis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