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Research Series</w:t>
      </w:r>
    </w:p>
    <w:p>
      <w:pPr>
        <w:jc w:val="center"/>
      </w:pPr>
      <w:r>
        <w:rPr>
          <w:b/>
          <w:color w:val="7B2638"/>
          <w:sz w:val="54"/>
        </w:rPr>
        <w:t>RDG-R02</w:t>
      </w:r>
    </w:p>
    <w:p>
      <w:pPr>
        <w:pStyle w:val="Title"/>
        <w:jc w:val="center"/>
      </w:pPr>
      <w:r>
        <w:t>Appearance, Disappearance, and Chronology</w:t>
      </w:r>
    </w:p>
    <w:p>
      <w:pPr>
        <w:pStyle w:val="Subtitle"/>
        <w:jc w:val="center"/>
      </w:pPr>
      <w:r>
        <w:t>A source-critical note on Śaka dates, tithis, the Purī interval, and the 1584/1588 documentary problem</w:t>
      </w:r>
    </w:p>
    <w:tbl>
      <w:tblPr>
        <w:tblW w:type="auto" w:w="0"/>
        <w:jc w:val="center"/>
        <w:tblLook w:firstColumn="1" w:firstRow="1" w:lastColumn="0" w:lastRow="0" w:noHBand="0" w:noVBand="1" w:val="04A0"/>
      </w:tblPr>
      <w:tblGrid>
        <w:gridCol w:w="10166"/>
      </w:tblGrid>
      <w:tr>
        <w:trPr>
          <w:cantSplit w:val="1"/>
        </w:trPr>
        <w:tc>
          <w:tcPr>
            <w:tcW w:type="dxa" w:w="10166"/>
            <w:shd w:fill="F3EBDD"/>
            <w:tcMar>
              <w:top w:w="110" w:type="dxa"/>
              <w:start w:w="150" w:type="dxa"/>
              <w:bottom w:w="110" w:type="dxa"/>
              <w:end w:w="150" w:type="dxa"/>
            </w:tcMar>
          </w:tcPr>
          <w:p>
            <w:r>
              <w:rPr>
                <w:b/>
                <w:color w:val="7B2638"/>
              </w:rPr>
              <w:t xml:space="preserve">MAJOR CORRECTION TO RDG-R01 v0.1  </w:t>
            </w:r>
            <w:r>
              <w:t>The earlier ledger treated the 2 June 1588 Persian declaration as evidence that Raghunātha was still alive in 1588. A closer reading of Mukherjee and Wright’s 1979 documentary study changes that ruling. They reproduce a separate Raghunātha settlement dated 1584, dictated 'on my death bed,' in which he places his property for the service of Rādhā-kuṇḍa under Jīva’s institutional custody. The 1588 Āriṭ papers are themselves analyzed by Mukherjee and Habib as retrospectively prepared/fictitious in important respects. Therefore the 1588 declaration cannot be used straightforwardly as proof that Raghunātha was physically alive in 1588.</w:t>
            </w:r>
          </w:p>
        </w:tc>
      </w:tr>
    </w:tbl>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CURRENT BOTTOM LINE  </w:t>
            </w:r>
            <w:r>
              <w:t>Appearance: the living Gauḍīya tradition securely observes Mādhava/Māgha gaura (śukla) pañcamī, Vasanta-pañcamī, but an early textual witness for the tithi is still sought. Birth year: Bhaktisiddhānta cautiously gives 1416 Śaka; safest Gregorian expression is c.1494–1495. Disappearance: Āśvina śukla Dvādaśī is an old received tithi tradition; the strongest documentary chronological anchor presently recovered is a deathbed settlement of 1584. A single exact historical disappearance date is not yet ready for publication.</w:t>
            </w:r>
          </w:p>
        </w:tc>
      </w:tr>
    </w:tbl>
    <w:p>
      <w:r>
        <w:br w:type="page"/>
      </w:r>
    </w:p>
    <w:p>
      <w:pPr>
        <w:pStyle w:val="Heading1"/>
        <w:keepNext w:val="1"/>
        <w:keepLines w:val="1"/>
      </w:pPr>
      <w:r>
        <w:t>1. Chronology must distinguish text from reconstruction</w:t>
      </w:r>
    </w:p>
    <w:p>
      <w:r>
        <w:t>The root Caitanya-caritāmṛta gives a very strong relative chronology but does not provide Raghunātha’s civil birth date or a numbered disappearance year. Later commentators, manuscript date-lists, calendars and historians supply absolute dates. The biography must therefore mark the difference between an event stated in the Bengali text and a later conversion or reconstruction.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Mar>
              <w:top w:w="55" w:type="dxa"/>
              <w:start w:w="60" w:type="dxa"/>
              <w:bottom w:w="55" w:type="dxa"/>
              <w:end w:w="60" w:type="dxa"/>
            </w:tcMar>
          </w:tcPr>
          <w:p>
            <w:r>
              <w:rPr>
                <w:b/>
                <w:color w:val="FFFFFF"/>
              </w:rPr>
              <w:t>Type</w:t>
            </w:r>
          </w:p>
        </w:tc>
        <w:tc>
          <w:tcPr>
            <w:tcW w:type="dxa" w:w="3389"/>
            <w:shd w:fill="7B2638"/>
            <w:tcMar>
              <w:top w:w="55" w:type="dxa"/>
              <w:start w:w="60" w:type="dxa"/>
              <w:bottom w:w="55" w:type="dxa"/>
              <w:end w:w="60" w:type="dxa"/>
            </w:tcMar>
          </w:tcPr>
          <w:p>
            <w:r>
              <w:rPr>
                <w:b/>
                <w:color w:val="FFFFFF"/>
              </w:rPr>
              <w:t>Example</w:t>
            </w:r>
          </w:p>
        </w:tc>
        <w:tc>
          <w:tcPr>
            <w:tcW w:type="dxa" w:w="3389"/>
            <w:shd w:fill="7B2638"/>
            <w:tcMar>
              <w:top w:w="55" w:type="dxa"/>
              <w:start w:w="60" w:type="dxa"/>
              <w:bottom w:w="55" w:type="dxa"/>
              <w:end w:w="60" w:type="dxa"/>
            </w:tcMar>
          </w:tcPr>
          <w:p>
            <w:r>
              <w:rPr>
                <w:b/>
                <w:color w:val="FFFFFF"/>
              </w:rPr>
              <w:t>Status in biography</w:t>
            </w:r>
          </w:p>
        </w:tc>
      </w:tr>
      <w:tr>
        <w:trPr>
          <w:cantSplit w:val="1"/>
        </w:trPr>
        <w:tc>
          <w:tcPr>
            <w:tcW w:type="dxa" w:w="3389"/>
            <w:tcMar>
              <w:top w:w="50" w:type="dxa"/>
              <w:start w:w="58" w:type="dxa"/>
              <w:bottom w:w="50" w:type="dxa"/>
              <w:end w:w="58" w:type="dxa"/>
            </w:tcMar>
            <w:vAlign w:val="top"/>
          </w:tcPr>
          <w:p>
            <w:r>
              <w:t>Root CC event</w:t>
            </w:r>
          </w:p>
        </w:tc>
        <w:tc>
          <w:tcPr>
            <w:tcW w:type="dxa" w:w="3389"/>
            <w:tcMar>
              <w:top w:w="50" w:type="dxa"/>
              <w:start w:w="58" w:type="dxa"/>
              <w:bottom w:w="50" w:type="dxa"/>
              <w:end w:w="58" w:type="dxa"/>
            </w:tcMar>
            <w:vAlign w:val="top"/>
          </w:tcPr>
          <w:p>
            <w:r>
              <w:t>Raghunātha serves in Purī for sixteen years; then goes to Vraja after Mahāprabhu and Svarūpa disappear.</w:t>
            </w:r>
          </w:p>
        </w:tc>
        <w:tc>
          <w:tcPr>
            <w:tcW w:type="dxa" w:w="3389"/>
            <w:tcMar>
              <w:top w:w="50" w:type="dxa"/>
              <w:start w:w="58" w:type="dxa"/>
              <w:bottom w:w="50" w:type="dxa"/>
              <w:end w:w="58" w:type="dxa"/>
            </w:tcMar>
            <w:vAlign w:val="top"/>
          </w:tcPr>
          <w:p>
            <w:r>
              <w:t>A2 primary biographical statement.</w:t>
            </w:r>
          </w:p>
        </w:tc>
      </w:tr>
      <w:tr>
        <w:trPr>
          <w:cantSplit w:val="1"/>
        </w:trPr>
        <w:tc>
          <w:tcPr>
            <w:tcW w:type="dxa" w:w="3389"/>
            <w:tcMar>
              <w:top w:w="50" w:type="dxa"/>
              <w:start w:w="58" w:type="dxa"/>
              <w:bottom w:w="50" w:type="dxa"/>
              <w:end w:w="58" w:type="dxa"/>
            </w:tcMar>
            <w:vAlign w:val="top"/>
          </w:tcPr>
          <w:p>
            <w:r>
              <w:t>Commentarial absolute date</w:t>
            </w:r>
          </w:p>
        </w:tc>
        <w:tc>
          <w:tcPr>
            <w:tcW w:type="dxa" w:w="3389"/>
            <w:tcMar>
              <w:top w:w="50" w:type="dxa"/>
              <w:start w:w="58" w:type="dxa"/>
              <w:bottom w:w="50" w:type="dxa"/>
              <w:end w:w="58" w:type="dxa"/>
            </w:tcMar>
            <w:vAlign w:val="top"/>
          </w:tcPr>
          <w:p>
            <w:r>
              <w:t>Bhaktisiddhānta’s Anubhāṣya: 'most probably' born in 1416 Śaka; reached Purī in 1439 Śaka.</w:t>
            </w:r>
          </w:p>
        </w:tc>
        <w:tc>
          <w:tcPr>
            <w:tcW w:type="dxa" w:w="3389"/>
            <w:tcMar>
              <w:top w:w="50" w:type="dxa"/>
              <w:start w:w="58" w:type="dxa"/>
              <w:bottom w:w="50" w:type="dxa"/>
              <w:end w:w="58" w:type="dxa"/>
            </w:tcMar>
            <w:vAlign w:val="top"/>
          </w:tcPr>
          <w:p>
            <w:r>
              <w:t>Later scholarly Gauḍīya reconstruction; preserve qualifiers.</w:t>
            </w:r>
          </w:p>
        </w:tc>
      </w:tr>
      <w:tr>
        <w:trPr>
          <w:cantSplit w:val="1"/>
        </w:trPr>
        <w:tc>
          <w:tcPr>
            <w:tcW w:type="dxa" w:w="3389"/>
            <w:tcMar>
              <w:top w:w="50" w:type="dxa"/>
              <w:start w:w="58" w:type="dxa"/>
              <w:bottom w:w="50" w:type="dxa"/>
              <w:end w:w="58" w:type="dxa"/>
            </w:tcMar>
            <w:vAlign w:val="top"/>
          </w:tcPr>
          <w:p>
            <w:r>
              <w:t>Received festival tithi</w:t>
            </w:r>
          </w:p>
        </w:tc>
        <w:tc>
          <w:tcPr>
            <w:tcW w:type="dxa" w:w="3389"/>
            <w:tcMar>
              <w:top w:w="50" w:type="dxa"/>
              <w:start w:w="58" w:type="dxa"/>
              <w:bottom w:w="50" w:type="dxa"/>
              <w:end w:w="58" w:type="dxa"/>
            </w:tcMar>
            <w:vAlign w:val="top"/>
          </w:tcPr>
          <w:p>
            <w:r>
              <w:t>Mādhava gaura pañcamī = appearance day.</w:t>
            </w:r>
          </w:p>
        </w:tc>
        <w:tc>
          <w:tcPr>
            <w:tcW w:type="dxa" w:w="3389"/>
            <w:tcMar>
              <w:top w:w="50" w:type="dxa"/>
              <w:start w:w="58" w:type="dxa"/>
              <w:bottom w:w="50" w:type="dxa"/>
              <w:end w:w="58" w:type="dxa"/>
            </w:tcMar>
            <w:vAlign w:val="top"/>
          </w:tcPr>
          <w:p>
            <w:r>
              <w:t>Strong living Gauḍīya calendrical tradition.</w:t>
            </w:r>
          </w:p>
        </w:tc>
      </w:tr>
      <w:tr>
        <w:trPr>
          <w:cantSplit w:val="1"/>
        </w:trPr>
        <w:tc>
          <w:tcPr>
            <w:tcW w:type="dxa" w:w="3389"/>
            <w:tcMar>
              <w:top w:w="50" w:type="dxa"/>
              <w:start w:w="58" w:type="dxa"/>
              <w:bottom w:w="50" w:type="dxa"/>
              <w:end w:w="58" w:type="dxa"/>
            </w:tcMar>
            <w:vAlign w:val="top"/>
          </w:tcPr>
          <w:p>
            <w:r>
              <w:t>Early-modern chronology list</w:t>
            </w:r>
          </w:p>
        </w:tc>
        <w:tc>
          <w:tcPr>
            <w:tcW w:type="dxa" w:w="3389"/>
            <w:tcMar>
              <w:top w:w="50" w:type="dxa"/>
              <w:start w:w="58" w:type="dxa"/>
              <w:bottom w:w="50" w:type="dxa"/>
              <w:end w:w="58" w:type="dxa"/>
            </w:tcMar>
            <w:vAlign w:val="top"/>
          </w:tcPr>
          <w:p>
            <w:r>
              <w:t>Bhaktivinoda 1885 manuscript list: birth 1428 Śaka, disappearance 1504 Śaka, Āśvina śukla Dvādaśī.</w:t>
            </w:r>
          </w:p>
        </w:tc>
        <w:tc>
          <w:tcPr>
            <w:tcW w:type="dxa" w:w="3389"/>
            <w:tcMar>
              <w:top w:w="50" w:type="dxa"/>
              <w:start w:w="58" w:type="dxa"/>
              <w:bottom w:w="50" w:type="dxa"/>
              <w:end w:w="58" w:type="dxa"/>
            </w:tcMar>
            <w:vAlign w:val="top"/>
          </w:tcPr>
          <w:p>
            <w:r>
              <w:t>Explicitly presented by Bhaktivinoda as partly doubtful.</w:t>
            </w:r>
          </w:p>
        </w:tc>
      </w:tr>
      <w:tr>
        <w:trPr>
          <w:cantSplit w:val="1"/>
        </w:trPr>
        <w:tc>
          <w:tcPr>
            <w:tcW w:type="dxa" w:w="3389"/>
            <w:tcMar>
              <w:top w:w="50" w:type="dxa"/>
              <w:start w:w="58" w:type="dxa"/>
              <w:bottom w:w="50" w:type="dxa"/>
              <w:end w:w="58" w:type="dxa"/>
            </w:tcMar>
            <w:vAlign w:val="top"/>
          </w:tcPr>
          <w:p>
            <w:r>
              <w:t>Historical document</w:t>
            </w:r>
          </w:p>
        </w:tc>
        <w:tc>
          <w:tcPr>
            <w:tcW w:type="dxa" w:w="3389"/>
            <w:tcMar>
              <w:top w:w="50" w:type="dxa"/>
              <w:start w:w="58" w:type="dxa"/>
              <w:bottom w:w="50" w:type="dxa"/>
              <w:end w:w="58" w:type="dxa"/>
            </w:tcMar>
            <w:vAlign w:val="top"/>
          </w:tcPr>
          <w:p>
            <w:r>
              <w:t>Raghunātha’s 1584 deathbed settlement; 1588 Āriṭ legal papers.</w:t>
            </w:r>
          </w:p>
        </w:tc>
        <w:tc>
          <w:tcPr>
            <w:tcW w:type="dxa" w:w="3389"/>
            <w:tcMar>
              <w:top w:w="50" w:type="dxa"/>
              <w:start w:w="58" w:type="dxa"/>
              <w:bottom w:w="50" w:type="dxa"/>
              <w:end w:w="58" w:type="dxa"/>
            </w:tcMar>
            <w:vAlign w:val="top"/>
          </w:tcPr>
          <w:p>
            <w:r>
              <w:t>D-level evidence requiring legal/source criticism.</w:t>
            </w:r>
          </w:p>
        </w:tc>
      </w:tr>
    </w:tbl>
    <w:p>
      <w:pPr>
        <w:pStyle w:val="Heading1"/>
        <w:keepNext w:val="1"/>
        <w:keepLines w:val="1"/>
      </w:pPr>
      <w:r>
        <w:t>2. The appearance tithi: Mādhava/Māgha gaura pañcamī</w:t>
      </w:r>
    </w:p>
    <w:p>
      <w:r>
        <w:t>Modern Gauḍīya calendars across institutional lines consistently observe Raghunātha dāsa Gosvāmī’s appearance on the fifth day of the bright fortnight of Mādhava/Māgha, the day of Vasanta-pañcamī. The same day is commonly observed for the appearances of Viṣṇupriyā Devī, Puṇḍarīka Vidyānidhi and Raghunandana Ṭhākura, and the disappearance of Viśvanātha Cakravartī.</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EVIDENCE LAYER  </w:t>
            </w:r>
            <w:r>
              <w:t>For now this tithi is C-level but very strong living tradition. The present research has not yet recovered a sixteenth- or seventeenth-century textual witness that explicitly states Raghunātha’s birth tithi. The final biography should not invent an early citation simply because the modern observance is stable.</w:t>
            </w:r>
          </w:p>
        </w:tc>
      </w:tr>
    </w:tbl>
    <w:p>
      <w:r>
        <w:t>For practical pilgrimage use, the tradition is strong enough to plan around. For historical publication, the wording should be: “The received Gauḍīya calendar observes his appearance on Māgha (Mādhava) śukla pañcamī, Vasanta-pañcamī.”</w:t>
      </w:r>
    </w:p>
    <w:p>
      <w:pPr>
        <w:pStyle w:val="Heading1"/>
        <w:keepNext w:val="1"/>
        <w:keepLines w:val="1"/>
      </w:pPr>
      <w:r>
        <w:t>3. Birth year: 1416 Śaka and the 1494/1495 conversion problem</w:t>
      </w:r>
    </w:p>
    <w:p>
      <w:r>
        <w:t>The most influential modern Gauḍīya chronological statement comes from Bhaktisiddhānta Sarasvatī’s Anubhāṣya, quoted in the Caitanya-caritāmṛta Ādi 10.91 purport. It says Raghunātha was 'most probably' born in 1416 Śakābda. The current VedaBase edition converts this as A.D. 1494. Older English editions have also printed A.D. 1495.</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WHY BOTH CAN APPEAR  </w:t>
            </w:r>
            <w:r>
              <w:t>A Śaka year does not begin on 1 January. Śaka 1416 spans parts of Gregorian 1494 and 1495. If one combines 1416 Śaka with the received Māgha śukla pañcamī tithi, the lunar month Māgha falls late in that Śaka year, making an early-1495 Gregorian date more internally natural than an early-1494 date. This is calendrical inference, not an independently dated birth record.</w:t>
            </w:r>
          </w:p>
        </w:tc>
      </w:tr>
    </w:tbl>
    <w:p>
      <w:r>
        <w:t>Publication-safe form: “Bhaktisiddhānta Sarasvatī, cautiously reconstructing the chronology, placed his birth in 1416 Śaka, approximately 1494–1495 CE.” Do not write an exact Gregorian birthday as though independently documented.</w:t>
      </w:r>
    </w:p>
    <w:p>
      <w:pPr>
        <w:pStyle w:val="Heading1"/>
        <w:keepNext w:val="1"/>
        <w:keepLines w:val="1"/>
      </w:pPr>
      <w:r>
        <w:t>4. A conflicting 1885 manuscript date-list</w:t>
      </w:r>
    </w:p>
    <w:p>
      <w:r>
        <w:t>In 1885 Bhaktivinoda Ṭhākura published a list of dates he had found while searching Vaiṣṇava manuscripts. He immediately warned that some entries seemed certain while others raised doubts, and explicitly asked informed readers to send corrections.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Mar>
              <w:top w:w="55" w:type="dxa"/>
              <w:start w:w="60" w:type="dxa"/>
              <w:bottom w:w="55" w:type="dxa"/>
              <w:end w:w="60" w:type="dxa"/>
            </w:tcMar>
          </w:tcPr>
          <w:p>
            <w:r>
              <w:rPr>
                <w:b/>
                <w:color w:val="FFFFFF"/>
              </w:rPr>
              <w:t>Datum in Bhaktivinoda’s list</w:t>
            </w:r>
          </w:p>
        </w:tc>
        <w:tc>
          <w:tcPr>
            <w:tcW w:type="dxa" w:w="3389"/>
            <w:shd w:fill="7B2638"/>
            <w:tcMar>
              <w:top w:w="55" w:type="dxa"/>
              <w:start w:w="60" w:type="dxa"/>
              <w:bottom w:w="55" w:type="dxa"/>
              <w:end w:w="60" w:type="dxa"/>
            </w:tcMar>
          </w:tcPr>
          <w:p>
            <w:r>
              <w:rPr>
                <w:b/>
                <w:color w:val="FFFFFF"/>
              </w:rPr>
              <w:t>Value</w:t>
            </w:r>
          </w:p>
        </w:tc>
        <w:tc>
          <w:tcPr>
            <w:tcW w:type="dxa" w:w="3389"/>
            <w:shd w:fill="7B2638"/>
            <w:tcMar>
              <w:top w:w="55" w:type="dxa"/>
              <w:start w:w="60" w:type="dxa"/>
              <w:bottom w:w="55" w:type="dxa"/>
              <w:end w:w="60" w:type="dxa"/>
            </w:tcMar>
          </w:tcPr>
          <w:p>
            <w:r>
              <w:rPr>
                <w:b/>
                <w:color w:val="FFFFFF"/>
              </w:rPr>
              <w:t>Internal problem</w:t>
            </w:r>
          </w:p>
        </w:tc>
      </w:tr>
      <w:tr>
        <w:trPr>
          <w:cantSplit w:val="1"/>
        </w:trPr>
        <w:tc>
          <w:tcPr>
            <w:tcW w:type="dxa" w:w="3389"/>
            <w:tcMar>
              <w:top w:w="50" w:type="dxa"/>
              <w:start w:w="58" w:type="dxa"/>
              <w:bottom w:w="50" w:type="dxa"/>
              <w:end w:w="58" w:type="dxa"/>
            </w:tcMar>
            <w:vAlign w:val="top"/>
          </w:tcPr>
          <w:p>
            <w:r>
              <w:t>Birth</w:t>
            </w:r>
          </w:p>
        </w:tc>
        <w:tc>
          <w:tcPr>
            <w:tcW w:type="dxa" w:w="3389"/>
            <w:tcMar>
              <w:top w:w="50" w:type="dxa"/>
              <w:start w:w="58" w:type="dxa"/>
              <w:bottom w:w="50" w:type="dxa"/>
              <w:end w:w="58" w:type="dxa"/>
            </w:tcMar>
            <w:vAlign w:val="top"/>
          </w:tcPr>
          <w:p>
            <w:r>
              <w:t>1428 Śaka / 1506 CE</w:t>
            </w:r>
          </w:p>
        </w:tc>
        <w:tc>
          <w:tcPr>
            <w:tcW w:type="dxa" w:w="3389"/>
            <w:tcMar>
              <w:top w:w="50" w:type="dxa"/>
              <w:start w:w="58" w:type="dxa"/>
              <w:bottom w:w="50" w:type="dxa"/>
              <w:end w:w="58" w:type="dxa"/>
            </w:tcMar>
            <w:vAlign w:val="top"/>
          </w:tcPr>
          <w:p>
            <w:r>
              <w:t>Incompatible with the well-established adult life chronology.</w:t>
            </w:r>
          </w:p>
        </w:tc>
      </w:tr>
      <w:tr>
        <w:trPr>
          <w:cantSplit w:val="1"/>
        </w:trPr>
        <w:tc>
          <w:tcPr>
            <w:tcW w:type="dxa" w:w="3389"/>
            <w:tcMar>
              <w:top w:w="50" w:type="dxa"/>
              <w:start w:w="58" w:type="dxa"/>
              <w:bottom w:w="50" w:type="dxa"/>
              <w:end w:w="58" w:type="dxa"/>
            </w:tcMar>
            <w:vAlign w:val="top"/>
          </w:tcPr>
          <w:p>
            <w:r>
              <w:t>Residence at home</w:t>
            </w:r>
          </w:p>
        </w:tc>
        <w:tc>
          <w:tcPr>
            <w:tcW w:type="dxa" w:w="3389"/>
            <w:tcMar>
              <w:top w:w="50" w:type="dxa"/>
              <w:start w:w="58" w:type="dxa"/>
              <w:bottom w:w="50" w:type="dxa"/>
              <w:end w:w="58" w:type="dxa"/>
            </w:tcMar>
            <w:vAlign w:val="top"/>
          </w:tcPr>
          <w:p>
            <w:r>
              <w:t>19 years</w:t>
            </w:r>
          </w:p>
        </w:tc>
        <w:tc>
          <w:tcPr>
            <w:tcW w:type="dxa" w:w="3389"/>
            <w:tcMar>
              <w:top w:w="50" w:type="dxa"/>
              <w:start w:w="58" w:type="dxa"/>
              <w:bottom w:w="50" w:type="dxa"/>
              <w:end w:w="58" w:type="dxa"/>
            </w:tcMar>
            <w:vAlign w:val="top"/>
          </w:tcPr>
          <w:p>
            <w:r>
              <w:t>Would make final escape occur around age 19 if list were internally applied.</w:t>
            </w:r>
          </w:p>
        </w:tc>
      </w:tr>
      <w:tr>
        <w:trPr>
          <w:cantSplit w:val="1"/>
        </w:trPr>
        <w:tc>
          <w:tcPr>
            <w:tcW w:type="dxa" w:w="3389"/>
            <w:tcMar>
              <w:top w:w="50" w:type="dxa"/>
              <w:start w:w="58" w:type="dxa"/>
              <w:bottom w:w="50" w:type="dxa"/>
              <w:end w:w="58" w:type="dxa"/>
            </w:tcMar>
            <w:vAlign w:val="top"/>
          </w:tcPr>
          <w:p>
            <w:r>
              <w:t>Residence at Nīlācala</w:t>
            </w:r>
          </w:p>
        </w:tc>
        <w:tc>
          <w:tcPr>
            <w:tcW w:type="dxa" w:w="3389"/>
            <w:tcMar>
              <w:top w:w="50" w:type="dxa"/>
              <w:start w:w="58" w:type="dxa"/>
              <w:bottom w:w="50" w:type="dxa"/>
              <w:end w:w="58" w:type="dxa"/>
            </w:tcMar>
            <w:vAlign w:val="top"/>
          </w:tcPr>
          <w:p>
            <w:r>
              <w:t>8 years</w:t>
            </w:r>
          </w:p>
        </w:tc>
        <w:tc>
          <w:tcPr>
            <w:tcW w:type="dxa" w:w="3389"/>
            <w:tcMar>
              <w:top w:w="50" w:type="dxa"/>
              <w:start w:w="58" w:type="dxa"/>
              <w:bottom w:w="50" w:type="dxa"/>
              <w:end w:w="58" w:type="dxa"/>
            </w:tcMar>
            <w:vAlign w:val="top"/>
          </w:tcPr>
          <w:p>
            <w:r>
              <w:t>Directly conflicts with Caitanya-caritāmṛta Ādi 10.93, which says sixteen years.</w:t>
            </w:r>
          </w:p>
        </w:tc>
      </w:tr>
      <w:tr>
        <w:trPr>
          <w:cantSplit w:val="1"/>
        </w:trPr>
        <w:tc>
          <w:tcPr>
            <w:tcW w:type="dxa" w:w="3389"/>
            <w:tcMar>
              <w:top w:w="50" w:type="dxa"/>
              <w:start w:w="58" w:type="dxa"/>
              <w:bottom w:w="50" w:type="dxa"/>
              <w:end w:w="58" w:type="dxa"/>
            </w:tcMar>
            <w:vAlign w:val="top"/>
          </w:tcPr>
          <w:p>
            <w:r>
              <w:t>Residence in Vṛndāvana</w:t>
            </w:r>
          </w:p>
        </w:tc>
        <w:tc>
          <w:tcPr>
            <w:tcW w:type="dxa" w:w="3389"/>
            <w:tcMar>
              <w:top w:w="50" w:type="dxa"/>
              <w:start w:w="58" w:type="dxa"/>
              <w:bottom w:w="50" w:type="dxa"/>
              <w:end w:w="58" w:type="dxa"/>
            </w:tcMar>
            <w:vAlign w:val="top"/>
          </w:tcPr>
          <w:p>
            <w:r>
              <w:t>49 years</w:t>
            </w:r>
          </w:p>
        </w:tc>
        <w:tc>
          <w:tcPr>
            <w:tcW w:type="dxa" w:w="3389"/>
            <w:tcMar>
              <w:top w:w="50" w:type="dxa"/>
              <w:start w:w="58" w:type="dxa"/>
              <w:bottom w:w="50" w:type="dxa"/>
              <w:end w:w="58" w:type="dxa"/>
            </w:tcMar>
            <w:vAlign w:val="top"/>
          </w:tcPr>
          <w:p>
            <w:r>
              <w:t>Part of the same doubtful list.</w:t>
            </w:r>
          </w:p>
        </w:tc>
      </w:tr>
      <w:tr>
        <w:trPr>
          <w:cantSplit w:val="1"/>
        </w:trPr>
        <w:tc>
          <w:tcPr>
            <w:tcW w:type="dxa" w:w="3389"/>
            <w:tcMar>
              <w:top w:w="50" w:type="dxa"/>
              <w:start w:w="58" w:type="dxa"/>
              <w:bottom w:w="50" w:type="dxa"/>
              <w:end w:w="58" w:type="dxa"/>
            </w:tcMar>
            <w:vAlign w:val="top"/>
          </w:tcPr>
          <w:p>
            <w:r>
              <w:t>Disappearance</w:t>
            </w:r>
          </w:p>
        </w:tc>
        <w:tc>
          <w:tcPr>
            <w:tcW w:type="dxa" w:w="3389"/>
            <w:tcMar>
              <w:top w:w="50" w:type="dxa"/>
              <w:start w:w="58" w:type="dxa"/>
              <w:bottom w:w="50" w:type="dxa"/>
              <w:end w:w="58" w:type="dxa"/>
            </w:tcMar>
            <w:vAlign w:val="top"/>
          </w:tcPr>
          <w:p>
            <w:r>
              <w:t>1504 Śaka / 1580 CE, Āśvina śukla Dvādaśī</w:t>
            </w:r>
          </w:p>
        </w:tc>
        <w:tc>
          <w:tcPr>
            <w:tcW w:type="dxa" w:w="3389"/>
            <w:tcMar>
              <w:top w:w="50" w:type="dxa"/>
              <w:start w:w="58" w:type="dxa"/>
              <w:bottom w:w="50" w:type="dxa"/>
              <w:end w:w="58" w:type="dxa"/>
            </w:tcMar>
            <w:vAlign w:val="top"/>
          </w:tcPr>
          <w:p>
            <w:r>
              <w:t>Year uncertain; tithi becomes historically significant as an early-modern witness.</w:t>
            </w:r>
          </w:p>
        </w:tc>
      </w:tr>
    </w:tbl>
    <w:p>
      <w:r>
        <w:t>Because the list contradicts Kṛṣṇadāsa’s explicit sixteen-year Purī interval and yields an implausible life sequence, it cannot control the biography. Bhaktivinoda’s own warning should be honored. Its chief value for this project is that by 1885 an Āśvina śukla Dvādaśī disappearance-tithi tradition was already attached to Raghunātha.</w:t>
      </w:r>
    </w:p>
    <w:p>
      <w:pPr>
        <w:pStyle w:val="Heading1"/>
        <w:keepNext w:val="1"/>
        <w:keepLines w:val="1"/>
      </w:pPr>
      <w:r>
        <w:t>5. Purī arrival: 1439 Śaka as a later chronological anchor</w:t>
      </w:r>
    </w:p>
    <w:p>
      <w:r>
        <w:t>Bhaktisiddhānta’s Anubhāṣya places the successful escape and arrival at Jagannātha Purī in 1439 Śaka, converted in the current VedaBase purport as 1517 CE. The root Caitanya-caritāmṛta independently secures the narrative event: final escape, twelve-day journey, arrival, and entrustment to Svarūpa Dāmodara.</w:t>
      </w:r>
    </w:p>
    <w:p>
      <w:r>
        <w:rPr>
          <w:b/>
          <w:color w:val="7B2638"/>
        </w:rPr>
        <w:t>Caitanya-caritāmṛta, Ādi 10.93</w:t>
      </w:r>
    </w:p>
    <w:p>
      <w:pPr>
        <w:ind w:left="360" w:right="259"/>
      </w:pPr>
      <w:r>
        <w:rPr>
          <w:i/>
        </w:rPr>
        <w:t>ṣoḍaśa vatsara kaila antaraṅga-sevana</w:t>
        <w:br/>
        <w:t>svarūpera antardhāne āilā vṛndāvana ||93||</w:t>
      </w:r>
    </w:p>
    <w:p>
      <w:pPr>
        <w:ind w:left="360" w:right="259"/>
      </w:pPr>
      <w:r>
        <w:t>For sixteen years he rendered confidential service; after Svarūpa’s disappearance he came to Vṛndāvana.</w:t>
      </w:r>
    </w:p>
    <w:p>
      <w:pPr>
        <w:ind w:left="360"/>
      </w:pPr>
      <w:r>
        <w:rPr>
          <w:b/>
          <w:color w:val="7B2638"/>
        </w:rPr>
        <w:t xml:space="preserve">Research use — </w:t>
      </w:r>
      <w:r>
        <w:t>This sixteen-year interval is more secure than the eight-year figure in Bhaktivinoda’s doubtful manuscript list.</w:t>
      </w:r>
    </w:p>
    <w:p>
      <w:r>
        <w:t>If the 1439 Śaka Purī-arrival reconstruction is accepted, the sixteen-year interval places his move toward Vraja roughly in the early 1530s. That Gregorian estimate is derived; the root verse itself gives the interval, not the absolute year.</w:t>
      </w:r>
    </w:p>
    <w:p>
      <w:pPr>
        <w:pStyle w:val="Heading1"/>
        <w:keepNext w:val="1"/>
        <w:keepLines w:val="1"/>
      </w:pPr>
      <w:r>
        <w:t>6. The disappearance tithi: Āśvina śukla Dvādaśī</w:t>
      </w:r>
    </w:p>
    <w:p>
      <w:r>
        <w:t>The received disappearance tithi is more stable than the disappearance year. Bhaktivinoda’s 1885 manuscript list already gives Āśvina śukla Dvādaśī, and later Gauḍīya calendars continue to observe Raghunātha’s disappearance on the bright Dvādaśī of the autumn month (Padmanābha/Āśvina).</w:t>
      </w:r>
    </w:p>
    <w:p>
      <w:r>
        <w:t>Bhaktivinoda’s separate 1885 Sajjana Toṣaṇī article on Raghunātha also records that the annual disappearance observance of Raghunātha and Kṛṣṇadāsa Kavirāja fell that year on Monday, the 5th of Kārttika. That is evidence for an established annual memorial observance, not a historical death-year statement.</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PROVISIONAL RULING  </w:t>
            </w:r>
            <w:r>
              <w:t>Treat Āśvina śukla Dvādaśī as a strong received disappearance-tithi tradition with at least an 1885 printed witness. The historical year remains a separate question.</w:t>
            </w:r>
          </w:p>
        </w:tc>
      </w:tr>
    </w:tbl>
    <w:p>
      <w:r>
        <w:br w:type="page"/>
      </w:r>
    </w:p>
    <w:p>
      <w:pPr>
        <w:pStyle w:val="Heading1"/>
        <w:keepNext w:val="1"/>
        <w:keepLines w:val="1"/>
      </w:pPr>
      <w:r>
        <w:t>7. The major new evidence: Raghunātha’s 1584 deathbed settlement</w:t>
      </w:r>
    </w:p>
    <w:p>
      <w:r>
        <w:t>The most important chronological finding of this pass comes from Tarapada Mukherjee and J. C. Wright, “An Early Testamentary Document in Sanskrit” (1979). While discussing the legal succession of the Gauḍīya foundations, they cite two Vṛndāvana Research Institute copies of a separate settlement by Raghunātha dāsa Gosvāmī and date it to A.D. 1584.</w:t>
      </w:r>
    </w:p>
    <w:p>
      <w:r>
        <w:rPr>
          <w:b/>
          <w:color w:val="7B2638"/>
        </w:rPr>
        <w:t>Mukherjee–Wright, 1979, p. 318 — translation of Raghunātha’s settlement</w:t>
      </w:r>
    </w:p>
    <w:p>
      <w:pPr>
        <w:ind w:left="360" w:right="259"/>
      </w:pPr>
      <w:r>
        <w:rPr>
          <w:i/>
        </w:rPr>
        <w:t>“… dictating the document to Kaviraja on my death bed, I, the humble blind Raghunathadasa zealous for the service of Sri Radhakunda, hereby place the whole of my property at the lotus feet of the idol worshipped by Jiva …”</w:t>
      </w:r>
    </w:p>
    <w:p>
      <w:pPr>
        <w:ind w:left="360"/>
      </w:pPr>
      <w:r>
        <w:rPr>
          <w:b/>
          <w:color w:val="7B2638"/>
        </w:rPr>
        <w:t xml:space="preserve">Research use — </w:t>
      </w:r>
      <w:r>
        <w:t>D-level documentary evidence. The article identifies the settlement as A.D. 1584 and cites VRI series 3, accession 37, and series 4, accession 37A.</w:t>
      </w:r>
    </w:p>
    <w:p>
      <w:r>
        <w:t>This is stronger chronological evidence than the later conventional 1586 date because it is tied to a document that explicitly presents itself as a deathbed disposition. It does not by itself tell us the exact lunar day on which Raghunātha left the world, nor does it prove that death occurred the same day as dictation. But it establishes a very late-life documentary horizon in 1584.</w:t>
      </w:r>
    </w:p>
    <w:p>
      <w:pPr>
        <w:pStyle w:val="Heading1"/>
        <w:keepNext w:val="1"/>
        <w:keepLines w:val="1"/>
      </w:pPr>
      <w:r>
        <w:t>8. The 1588 Persian declaration revisited</w:t>
      </w:r>
    </w:p>
    <w:p>
      <w:r>
        <w:t>RDG-R01 v0.1 initially treated Document 11/G.D.8, dated 2 June 1588, as though its first-person formula proved Raghunātha was still alive. That conclusion is no longer defensible once the documentary corpus is read as a whole.</w:t>
      </w:r>
    </w:p>
    <w:p>
      <w:r>
        <w:t>Mukherjee and Habib’s 1989 analysis argues that the Āriṭ documents carrying earlier dates contain retrospective or fictitious elements and were probably prepared very close together, either in 1579 or at the time of the 1588 declaration. They say that several supposed earlier sales were legally constructed later to establish Raghunātha’s and Jīva’s claims.</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REVISED RULING  </w:t>
            </w:r>
            <w:r>
              <w:t>The 1588 declaration is secure as a dated legal artifact within the Āriṭ dossier, but its first-person statement cannot be naively read as a living-person signature test. The same scholarship treats the dossier as retrospective legal formalization. It therefore does not overturn the 1584 deathbed settlement.</w:t>
            </w:r>
          </w:p>
        </w:tc>
      </w:tr>
    </w:tbl>
    <w:p>
      <w:r>
        <w:t>The land-history ruling remains unchanged in substance: the 1588 declaration reports six plots and a stated aggregate earlier purchase price of Rs238, followed by hiba to Jīva. It still does not mean that Raghunātha 'bought the two lakes for 238 rupees.'</w:t>
      </w:r>
    </w:p>
    <w:p>
      <w:pPr>
        <w:pStyle w:val="Heading1"/>
        <w:keepNext w:val="1"/>
        <w:keepLines w:val="1"/>
      </w:pPr>
      <w:r>
        <w:t>9. 1584, 1586, 1580 — how the competing years now rank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Mar>
              <w:top w:w="55" w:type="dxa"/>
              <w:start w:w="60" w:type="dxa"/>
              <w:bottom w:w="55" w:type="dxa"/>
              <w:end w:w="60" w:type="dxa"/>
            </w:tcMar>
          </w:tcPr>
          <w:p>
            <w:r>
              <w:rPr>
                <w:b/>
                <w:color w:val="FFFFFF"/>
              </w:rPr>
              <w:t>Year</w:t>
            </w:r>
          </w:p>
        </w:tc>
        <w:tc>
          <w:tcPr>
            <w:tcW w:type="dxa" w:w="3389"/>
            <w:shd w:fill="7B2638"/>
            <w:tcMar>
              <w:top w:w="55" w:type="dxa"/>
              <w:start w:w="60" w:type="dxa"/>
              <w:bottom w:w="55" w:type="dxa"/>
              <w:end w:w="60" w:type="dxa"/>
            </w:tcMar>
          </w:tcPr>
          <w:p>
            <w:r>
              <w:rPr>
                <w:b/>
                <w:color w:val="FFFFFF"/>
              </w:rPr>
              <w:t>Witness / tradition</w:t>
            </w:r>
          </w:p>
        </w:tc>
        <w:tc>
          <w:tcPr>
            <w:tcW w:type="dxa" w:w="3389"/>
            <w:shd w:fill="7B2638"/>
            <w:tcMar>
              <w:top w:w="55" w:type="dxa"/>
              <w:start w:w="60" w:type="dxa"/>
              <w:bottom w:w="55" w:type="dxa"/>
              <w:end w:w="60" w:type="dxa"/>
            </w:tcMar>
          </w:tcPr>
          <w:p>
            <w:r>
              <w:rPr>
                <w:b/>
                <w:color w:val="FFFFFF"/>
              </w:rPr>
              <w:t>Assessment</w:t>
            </w:r>
          </w:p>
        </w:tc>
      </w:tr>
      <w:tr>
        <w:trPr>
          <w:cantSplit w:val="1"/>
        </w:trPr>
        <w:tc>
          <w:tcPr>
            <w:tcW w:type="dxa" w:w="3389"/>
            <w:tcMar>
              <w:top w:w="50" w:type="dxa"/>
              <w:start w:w="58" w:type="dxa"/>
              <w:bottom w:w="50" w:type="dxa"/>
              <w:end w:w="58" w:type="dxa"/>
            </w:tcMar>
            <w:vAlign w:val="top"/>
          </w:tcPr>
          <w:p>
            <w:r>
              <w:t>1580</w:t>
            </w:r>
          </w:p>
        </w:tc>
        <w:tc>
          <w:tcPr>
            <w:tcW w:type="dxa" w:w="3389"/>
            <w:tcMar>
              <w:top w:w="50" w:type="dxa"/>
              <w:start w:w="58" w:type="dxa"/>
              <w:bottom w:w="50" w:type="dxa"/>
              <w:end w:w="58" w:type="dxa"/>
            </w:tcMar>
            <w:vAlign w:val="top"/>
          </w:tcPr>
          <w:p>
            <w:r>
              <w:t>Bhaktivinoda’s 1885 manuscript date-list: 1504 Śaka, Āśvina śukla Dvādaśī.</w:t>
            </w:r>
          </w:p>
        </w:tc>
        <w:tc>
          <w:tcPr>
            <w:tcW w:type="dxa" w:w="3389"/>
            <w:tcMar>
              <w:top w:w="50" w:type="dxa"/>
              <w:start w:w="58" w:type="dxa"/>
              <w:bottom w:w="50" w:type="dxa"/>
              <w:end w:w="58" w:type="dxa"/>
            </w:tcMar>
            <w:vAlign w:val="top"/>
          </w:tcPr>
          <w:p>
            <w:r>
              <w:t>Early-modern printed witness, but the same list is explicitly doubtful and contradicts CC on Purī duration.</w:t>
            </w:r>
          </w:p>
        </w:tc>
      </w:tr>
      <w:tr>
        <w:trPr>
          <w:cantSplit w:val="1"/>
        </w:trPr>
        <w:tc>
          <w:tcPr>
            <w:tcW w:type="dxa" w:w="3389"/>
            <w:tcMar>
              <w:top w:w="50" w:type="dxa"/>
              <w:start w:w="58" w:type="dxa"/>
              <w:bottom w:w="50" w:type="dxa"/>
              <w:end w:w="58" w:type="dxa"/>
            </w:tcMar>
            <w:vAlign w:val="top"/>
          </w:tcPr>
          <w:p>
            <w:r>
              <w:t>1584</w:t>
            </w:r>
          </w:p>
        </w:tc>
        <w:tc>
          <w:tcPr>
            <w:tcW w:type="dxa" w:w="3389"/>
            <w:tcMar>
              <w:top w:w="50" w:type="dxa"/>
              <w:start w:w="58" w:type="dxa"/>
              <w:bottom w:w="50" w:type="dxa"/>
              <w:end w:w="58" w:type="dxa"/>
            </w:tcMar>
            <w:vAlign w:val="top"/>
          </w:tcPr>
          <w:p>
            <w:r>
              <w:t>Mukherjee–Wright 1979: Raghunātha’s original settlement dated A.D. 1584, dictated 'on my death bed.' Later scholarship cites Mukherjee for a 1584 death date.</w:t>
            </w:r>
          </w:p>
        </w:tc>
        <w:tc>
          <w:tcPr>
            <w:tcW w:type="dxa" w:w="3389"/>
            <w:tcMar>
              <w:top w:w="50" w:type="dxa"/>
              <w:start w:w="58" w:type="dxa"/>
              <w:bottom w:w="50" w:type="dxa"/>
              <w:end w:w="58" w:type="dxa"/>
            </w:tcMar>
            <w:vAlign w:val="top"/>
          </w:tcPr>
          <w:p>
            <w:r>
              <w:t>Strongest D-level chronological candidate presently recovered; exact tithi still not established by the document excerpt.</w:t>
            </w:r>
          </w:p>
        </w:tc>
      </w:tr>
      <w:tr>
        <w:trPr>
          <w:cantSplit w:val="1"/>
        </w:trPr>
        <w:tc>
          <w:tcPr>
            <w:tcW w:type="dxa" w:w="3389"/>
            <w:tcMar>
              <w:top w:w="50" w:type="dxa"/>
              <w:start w:w="58" w:type="dxa"/>
              <w:bottom w:w="50" w:type="dxa"/>
              <w:end w:w="58" w:type="dxa"/>
            </w:tcMar>
            <w:vAlign w:val="top"/>
          </w:tcPr>
          <w:p>
            <w:r>
              <w:t>1586</w:t>
            </w:r>
          </w:p>
        </w:tc>
        <w:tc>
          <w:tcPr>
            <w:tcW w:type="dxa" w:w="3389"/>
            <w:tcMar>
              <w:top w:w="50" w:type="dxa"/>
              <w:start w:w="58" w:type="dxa"/>
              <w:bottom w:w="50" w:type="dxa"/>
              <w:end w:w="58" w:type="dxa"/>
            </w:tcMar>
            <w:vAlign w:val="top"/>
          </w:tcPr>
          <w:p>
            <w:r>
              <w:t>Widespread later Gauḍīya chronological convention: 1508 Śaka, Āśvina śukla Dvādaśī.</w:t>
            </w:r>
          </w:p>
        </w:tc>
        <w:tc>
          <w:tcPr>
            <w:tcW w:type="dxa" w:w="3389"/>
            <w:tcMar>
              <w:top w:w="50" w:type="dxa"/>
              <w:start w:w="58" w:type="dxa"/>
              <w:bottom w:w="50" w:type="dxa"/>
              <w:end w:w="58" w:type="dxa"/>
            </w:tcMar>
            <w:vAlign w:val="top"/>
          </w:tcPr>
          <w:p>
            <w:r>
              <w:t>Important C-level tradition, but weaker historically than the 1584 deathbed documentary anchor unless a strong earlier source is recovered.</w:t>
            </w:r>
          </w:p>
        </w:tc>
      </w:tr>
      <w:tr>
        <w:trPr>
          <w:cantSplit w:val="1"/>
        </w:trPr>
        <w:tc>
          <w:tcPr>
            <w:tcW w:type="dxa" w:w="3389"/>
            <w:tcMar>
              <w:top w:w="50" w:type="dxa"/>
              <w:start w:w="58" w:type="dxa"/>
              <w:bottom w:w="50" w:type="dxa"/>
              <w:end w:w="58" w:type="dxa"/>
            </w:tcMar>
            <w:vAlign w:val="top"/>
          </w:tcPr>
          <w:p>
            <w:r>
              <w:t>1588</w:t>
            </w:r>
          </w:p>
        </w:tc>
        <w:tc>
          <w:tcPr>
            <w:tcW w:type="dxa" w:w="3389"/>
            <w:tcMar>
              <w:top w:w="50" w:type="dxa"/>
              <w:start w:w="58" w:type="dxa"/>
              <w:bottom w:w="50" w:type="dxa"/>
              <w:end w:w="58" w:type="dxa"/>
            </w:tcMar>
            <w:vAlign w:val="top"/>
          </w:tcPr>
          <w:p>
            <w:r>
              <w:t>Persian Āriṭ declaration dated 2 June 1588 in Raghunātha’s name.</w:t>
            </w:r>
          </w:p>
        </w:tc>
        <w:tc>
          <w:tcPr>
            <w:tcW w:type="dxa" w:w="3389"/>
            <w:tcMar>
              <w:top w:w="50" w:type="dxa"/>
              <w:start w:w="58" w:type="dxa"/>
              <w:bottom w:w="50" w:type="dxa"/>
              <w:end w:w="58" w:type="dxa"/>
            </w:tcMar>
            <w:vAlign w:val="top"/>
          </w:tcPr>
          <w:p>
            <w:r>
              <w:t>Legal artifact; dossier is retrospectively constructed in part. Not evidence by itself that he was alive in 1588.</w:t>
            </w:r>
          </w:p>
        </w:tc>
      </w:tr>
    </w:tbl>
    <w:p>
      <w:pPr>
        <w:pStyle w:val="Heading1"/>
        <w:keepNext w:val="1"/>
        <w:keepLines w:val="1"/>
      </w:pPr>
      <w:r>
        <w:t>10. A scholarly 1584 lead still to retrieve directly</w:t>
      </w:r>
    </w:p>
    <w:p>
      <w:r>
        <w:t>A published study on the authenticity of the Caitanya-caritāmṛta-mahā-kāvya states that 'Raghunatha was dead in 1584' and directs readers to Mukherjee, 1987, p. 324, “Caitanya-caritāmṛter racanā-kāl evaṁ vrajer gauḍīya-sampradāya.” The 1987 page has not yet been recovered in this project.</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OPEN ITEM  </w:t>
            </w:r>
            <w:r>
              <w:t>Before Final v1.0, obtain Mukherjee 1987 p. 324 or the underlying VRI settlement images/transcription. Until then, phrase 1584 as the strongest documentary candidate, not as an absolutely closed question.</w:t>
            </w:r>
          </w:p>
        </w:tc>
      </w:tr>
    </w:tbl>
    <w:p>
      <w:pPr>
        <w:pStyle w:val="Heading1"/>
        <w:keepNext w:val="1"/>
        <w:keepLines w:val="1"/>
      </w:pPr>
      <w:r>
        <w:t>11. Publication-safe chronology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7B2638"/>
            <w:tcMar>
              <w:top w:w="55" w:type="dxa"/>
              <w:start w:w="60" w:type="dxa"/>
              <w:bottom w:w="55" w:type="dxa"/>
              <w:end w:w="60" w:type="dxa"/>
            </w:tcMar>
          </w:tcPr>
          <w:p>
            <w:r>
              <w:rPr>
                <w:b/>
                <w:color w:val="FFFFFF"/>
              </w:rPr>
              <w:t>Life point</w:t>
            </w:r>
          </w:p>
        </w:tc>
        <w:tc>
          <w:tcPr>
            <w:tcW w:type="dxa" w:w="5083"/>
            <w:shd w:fill="7B2638"/>
            <w:tcMar>
              <w:top w:w="55" w:type="dxa"/>
              <w:start w:w="60" w:type="dxa"/>
              <w:bottom w:w="55" w:type="dxa"/>
              <w:end w:w="60" w:type="dxa"/>
            </w:tcMar>
          </w:tcPr>
          <w:p>
            <w:r>
              <w:rPr>
                <w:b/>
                <w:color w:val="FFFFFF"/>
              </w:rPr>
              <w:t>Recommended wording</w:t>
            </w:r>
          </w:p>
        </w:tc>
      </w:tr>
      <w:tr>
        <w:trPr>
          <w:cantSplit w:val="1"/>
        </w:trPr>
        <w:tc>
          <w:tcPr>
            <w:tcW w:type="dxa" w:w="5083"/>
            <w:tcMar>
              <w:top w:w="50" w:type="dxa"/>
              <w:start w:w="58" w:type="dxa"/>
              <w:bottom w:w="50" w:type="dxa"/>
              <w:end w:w="58" w:type="dxa"/>
            </w:tcMar>
            <w:vAlign w:val="top"/>
          </w:tcPr>
          <w:p>
            <w:r>
              <w:t>Birth</w:t>
            </w:r>
          </w:p>
        </w:tc>
        <w:tc>
          <w:tcPr>
            <w:tcW w:type="dxa" w:w="5083"/>
            <w:tcMar>
              <w:top w:w="50" w:type="dxa"/>
              <w:start w:w="58" w:type="dxa"/>
              <w:bottom w:w="50" w:type="dxa"/>
              <w:end w:w="58" w:type="dxa"/>
            </w:tcMar>
            <w:vAlign w:val="top"/>
          </w:tcPr>
          <w:p>
            <w:r>
              <w:t>“Bhaktisiddhānta Sarasvatī cautiously placed Raghunātha’s birth in 1416 Śaka, approximately 1494–1495 CE.”</w:t>
            </w:r>
          </w:p>
        </w:tc>
      </w:tr>
      <w:tr>
        <w:trPr>
          <w:cantSplit w:val="1"/>
        </w:trPr>
        <w:tc>
          <w:tcPr>
            <w:tcW w:type="dxa" w:w="5083"/>
            <w:tcMar>
              <w:top w:w="50" w:type="dxa"/>
              <w:start w:w="58" w:type="dxa"/>
              <w:bottom w:w="50" w:type="dxa"/>
              <w:end w:w="58" w:type="dxa"/>
            </w:tcMar>
            <w:vAlign w:val="top"/>
          </w:tcPr>
          <w:p>
            <w:r>
              <w:t>Appearance tithi</w:t>
            </w:r>
          </w:p>
        </w:tc>
        <w:tc>
          <w:tcPr>
            <w:tcW w:type="dxa" w:w="5083"/>
            <w:tcMar>
              <w:top w:w="50" w:type="dxa"/>
              <w:start w:w="58" w:type="dxa"/>
              <w:bottom w:w="50" w:type="dxa"/>
              <w:end w:w="58" w:type="dxa"/>
            </w:tcMar>
            <w:vAlign w:val="top"/>
          </w:tcPr>
          <w:p>
            <w:r>
              <w:t>“The received Gauḍīya calendar observes his appearance on Māgha/Mādhava śukla pañcamī, Vasanta-pañcamī.”</w:t>
            </w:r>
          </w:p>
        </w:tc>
      </w:tr>
      <w:tr>
        <w:trPr>
          <w:cantSplit w:val="1"/>
        </w:trPr>
        <w:tc>
          <w:tcPr>
            <w:tcW w:type="dxa" w:w="5083"/>
            <w:tcMar>
              <w:top w:w="50" w:type="dxa"/>
              <w:start w:w="58" w:type="dxa"/>
              <w:bottom w:w="50" w:type="dxa"/>
              <w:end w:w="58" w:type="dxa"/>
            </w:tcMar>
            <w:vAlign w:val="top"/>
          </w:tcPr>
          <w:p>
            <w:r>
              <w:t>Purī arrival</w:t>
            </w:r>
          </w:p>
        </w:tc>
        <w:tc>
          <w:tcPr>
            <w:tcW w:type="dxa" w:w="5083"/>
            <w:tcMar>
              <w:top w:w="50" w:type="dxa"/>
              <w:start w:w="58" w:type="dxa"/>
              <w:bottom w:w="50" w:type="dxa"/>
              <w:end w:w="58" w:type="dxa"/>
            </w:tcMar>
            <w:vAlign w:val="top"/>
          </w:tcPr>
          <w:p>
            <w:r>
              <w:t>“Bhaktisiddhānta’s chronology places his successful escape and arrival in Purī in 1439 Śaka (1517 CE); the event itself is narrated in CC Antya 6.”</w:t>
            </w:r>
          </w:p>
        </w:tc>
      </w:tr>
      <w:tr>
        <w:trPr>
          <w:cantSplit w:val="1"/>
        </w:trPr>
        <w:tc>
          <w:tcPr>
            <w:tcW w:type="dxa" w:w="5083"/>
            <w:tcMar>
              <w:top w:w="50" w:type="dxa"/>
              <w:start w:w="58" w:type="dxa"/>
              <w:bottom w:w="50" w:type="dxa"/>
              <w:end w:w="58" w:type="dxa"/>
            </w:tcMar>
            <w:vAlign w:val="top"/>
          </w:tcPr>
          <w:p>
            <w:r>
              <w:t>Purī service</w:t>
            </w:r>
          </w:p>
        </w:tc>
        <w:tc>
          <w:tcPr>
            <w:tcW w:type="dxa" w:w="5083"/>
            <w:tcMar>
              <w:top w:w="50" w:type="dxa"/>
              <w:start w:w="58" w:type="dxa"/>
              <w:bottom w:w="50" w:type="dxa"/>
              <w:end w:w="58" w:type="dxa"/>
            </w:tcMar>
            <w:vAlign w:val="top"/>
          </w:tcPr>
          <w:p>
            <w:r>
              <w:t>“Kṛṣṇadāsa Kavirāja explicitly says he served confidentially for sixteen years.”</w:t>
            </w:r>
          </w:p>
        </w:tc>
      </w:tr>
      <w:tr>
        <w:trPr>
          <w:cantSplit w:val="1"/>
        </w:trPr>
        <w:tc>
          <w:tcPr>
            <w:tcW w:type="dxa" w:w="5083"/>
            <w:tcMar>
              <w:top w:w="50" w:type="dxa"/>
              <w:start w:w="58" w:type="dxa"/>
              <w:bottom w:w="50" w:type="dxa"/>
              <w:end w:w="58" w:type="dxa"/>
            </w:tcMar>
            <w:vAlign w:val="top"/>
          </w:tcPr>
          <w:p>
            <w:r>
              <w:t>Vraja move</w:t>
            </w:r>
          </w:p>
        </w:tc>
        <w:tc>
          <w:tcPr>
            <w:tcW w:type="dxa" w:w="5083"/>
            <w:tcMar>
              <w:top w:w="50" w:type="dxa"/>
              <w:start w:w="58" w:type="dxa"/>
              <w:bottom w:w="50" w:type="dxa"/>
              <w:end w:w="58" w:type="dxa"/>
            </w:tcMar>
            <w:vAlign w:val="top"/>
          </w:tcPr>
          <w:p>
            <w:r>
              <w:t>“After Mahāprabhu and Svarūpa Dāmodara disappeared, he went to Vraja; a move in the early 1530s follows from the later absolute chronology.”</w:t>
            </w:r>
          </w:p>
        </w:tc>
      </w:tr>
      <w:tr>
        <w:trPr>
          <w:cantSplit w:val="1"/>
        </w:trPr>
        <w:tc>
          <w:tcPr>
            <w:tcW w:type="dxa" w:w="5083"/>
            <w:tcMar>
              <w:top w:w="50" w:type="dxa"/>
              <w:start w:w="58" w:type="dxa"/>
              <w:bottom w:w="50" w:type="dxa"/>
              <w:end w:w="58" w:type="dxa"/>
            </w:tcMar>
            <w:vAlign w:val="top"/>
          </w:tcPr>
          <w:p>
            <w:r>
              <w:t>Disappearance tithi</w:t>
            </w:r>
          </w:p>
        </w:tc>
        <w:tc>
          <w:tcPr>
            <w:tcW w:type="dxa" w:w="5083"/>
            <w:tcMar>
              <w:top w:w="50" w:type="dxa"/>
              <w:start w:w="58" w:type="dxa"/>
              <w:bottom w:w="50" w:type="dxa"/>
              <w:end w:w="58" w:type="dxa"/>
            </w:tcMar>
            <w:vAlign w:val="top"/>
          </w:tcPr>
          <w:p>
            <w:r>
              <w:t>“Āśvina śukla Dvādaśī is the received disappearance tithi, already attested in an 1885 chronology list.”</w:t>
            </w:r>
          </w:p>
        </w:tc>
      </w:tr>
      <w:tr>
        <w:trPr>
          <w:cantSplit w:val="1"/>
        </w:trPr>
        <w:tc>
          <w:tcPr>
            <w:tcW w:type="dxa" w:w="5083"/>
            <w:tcMar>
              <w:top w:w="50" w:type="dxa"/>
              <w:start w:w="58" w:type="dxa"/>
              <w:bottom w:w="50" w:type="dxa"/>
              <w:end w:w="58" w:type="dxa"/>
            </w:tcMar>
            <w:vAlign w:val="top"/>
          </w:tcPr>
          <w:p>
            <w:r>
              <w:t>Disappearance year</w:t>
            </w:r>
          </w:p>
        </w:tc>
        <w:tc>
          <w:tcPr>
            <w:tcW w:type="dxa" w:w="5083"/>
            <w:tcMar>
              <w:top w:w="50" w:type="dxa"/>
              <w:start w:w="58" w:type="dxa"/>
              <w:bottom w:w="50" w:type="dxa"/>
              <w:end w:w="58" w:type="dxa"/>
            </w:tcMar>
            <w:vAlign w:val="top"/>
          </w:tcPr>
          <w:p>
            <w:r>
              <w:t>“A 1584 deathbed settlement provides the strongest documentary late-life anchor presently recovered; later traditions commonly give other years, especially 1586.”</w:t>
            </w:r>
          </w:p>
        </w:tc>
      </w:tr>
    </w:tbl>
    <w:p>
      <w:pPr>
        <w:pStyle w:val="Heading1"/>
        <w:keepNext w:val="1"/>
        <w:keepLines w:val="1"/>
      </w:pPr>
      <w:r>
        <w:t>12. Appearance-day travel note for 2027</w:t>
      </w:r>
    </w:p>
    <w:p>
      <w:r>
        <w:t>Current Gauḍīya/ISKCON calendars place Raghunātha dāsa Gosvāmī’s appearance observance in 2027 on Thursday, 11 February, Mādhava gaura pañcamī / Vasanta-pañcamī. ISKCON Māyāpur’s current 2026–27 festival calendar and Vṛndāvana-oriented Vaiṣṇava calendars agree on that date.</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PILGRIMAGE USE  </w:t>
            </w:r>
            <w:r>
              <w:t>Use 11 February 2027 as the present planning date, but verify the local Vraja calendar again close to the pilgrimage. The future Appearance-Day appendix will be built around the tithi and local Rādhā-kuṇḍa observance, not around a speculative Gregorian birth date.</w:t>
            </w:r>
          </w:p>
        </w:tc>
      </w:tr>
    </w:tbl>
    <w:p>
      <w:pPr>
        <w:pStyle w:val="Heading1"/>
        <w:keepNext w:val="1"/>
        <w:keepLines w:val="1"/>
      </w:pPr>
      <w:r>
        <w:t>13. Consequences for the biography</w:t>
      </w:r>
    </w:p>
    <w:p>
      <w:pPr>
        <w:ind w:left="259" w:hanging="173"/>
      </w:pPr>
      <w:r>
        <w:rPr>
          <w:b/>
        </w:rPr>
        <w:t xml:space="preserve">• </w:t>
      </w:r>
      <w:r>
        <w:t>Do not print “1494–1586” as an unquestioned life span.</w:t>
      </w:r>
    </w:p>
    <w:p>
      <w:pPr>
        <w:ind w:left="259" w:hanging="173"/>
      </w:pPr>
      <w:r>
        <w:rPr>
          <w:b/>
        </w:rPr>
        <w:t xml:space="preserve">• </w:t>
      </w:r>
      <w:r>
        <w:t>Do not use the 1588 hiba declaration as simple proof that Raghunātha survived into 1588.</w:t>
      </w:r>
    </w:p>
    <w:p>
      <w:pPr>
        <w:ind w:left="259" w:hanging="173"/>
      </w:pPr>
      <w:r>
        <w:rPr>
          <w:b/>
        </w:rPr>
        <w:t xml:space="preserve">• </w:t>
      </w:r>
      <w:r>
        <w:t>Do explain that the legal archive itself contains retrospective formalization and must be read critically.</w:t>
      </w:r>
    </w:p>
    <w:p>
      <w:pPr>
        <w:ind w:left="259" w:hanging="173"/>
      </w:pPr>
      <w:r>
        <w:rPr>
          <w:b/>
        </w:rPr>
        <w:t xml:space="preserve">• </w:t>
      </w:r>
      <w:r>
        <w:t>Give the appearance tithi confidently as received Gauḍīya practice, while admitting that the earliest textual witness remains open.</w:t>
      </w:r>
    </w:p>
    <w:p>
      <w:pPr>
        <w:ind w:left="259" w:hanging="173"/>
      </w:pPr>
      <w:r>
        <w:rPr>
          <w:b/>
        </w:rPr>
        <w:t xml:space="preserve">• </w:t>
      </w:r>
      <w:r>
        <w:t>Give Āśvina śukla Dvādaśī as a strong received disappearance tithi, but separate tithi tradition from disputed absolute year.</w:t>
      </w:r>
    </w:p>
    <w:p>
      <w:pPr>
        <w:ind w:left="259" w:hanging="173"/>
      </w:pPr>
      <w:r>
        <w:rPr>
          <w:b/>
        </w:rPr>
        <w:t xml:space="preserve">• </w:t>
      </w:r>
      <w:r>
        <w:t>Let the literary biography remain chronological without pretending that every section can be assigned an exact Gregorian year.</w:t>
      </w:r>
    </w:p>
    <w:p>
      <w:pPr>
        <w:pStyle w:val="Heading1"/>
        <w:keepNext w:val="1"/>
        <w:keepLines w:val="1"/>
      </w:pPr>
      <w:r>
        <w:t>14. Open research before RDG-R02 Final v1.0</w:t>
      </w:r>
    </w:p>
    <w:p>
      <w:pPr>
        <w:ind w:left="259" w:hanging="173"/>
      </w:pPr>
      <w:r>
        <w:rPr>
          <w:b/>
        </w:rPr>
        <w:t xml:space="preserve">• </w:t>
      </w:r>
      <w:r>
        <w:t>Recover Mukherjee 1987, p. 324, and determine exactly how the 1584 death date is argued.</w:t>
      </w:r>
    </w:p>
    <w:p>
      <w:pPr>
        <w:ind w:left="259" w:hanging="173"/>
      </w:pPr>
      <w:r>
        <w:rPr>
          <w:b/>
        </w:rPr>
        <w:t xml:space="preserve">• </w:t>
      </w:r>
      <w:r>
        <w:t>If possible inspect VRI ser. 3, acc. 37 and ser. 4, acc. 37A, the two copies of Raghunātha’s 1584 deathbed settlement.</w:t>
      </w:r>
    </w:p>
    <w:p>
      <w:pPr>
        <w:ind w:left="259" w:hanging="173"/>
      </w:pPr>
      <w:r>
        <w:rPr>
          <w:b/>
        </w:rPr>
        <w:t xml:space="preserve">• </w:t>
      </w:r>
      <w:r>
        <w:t>Locate an earlier witness than modern calendars for Māgha/Mādhava śukla pañcamī as his appearance tithi.</w:t>
      </w:r>
    </w:p>
    <w:p>
      <w:pPr>
        <w:ind w:left="259" w:hanging="173"/>
      </w:pPr>
      <w:r>
        <w:rPr>
          <w:b/>
        </w:rPr>
        <w:t xml:space="preserve">• </w:t>
      </w:r>
      <w:r>
        <w:t>Verify the frequently cited Prema-vilāsa 16.127 chronology directly from a reliable Bengali/Sanskrit edition rather than secondary quotations.</w:t>
      </w:r>
    </w:p>
    <w:p>
      <w:pPr>
        <w:ind w:left="259" w:hanging="173"/>
      </w:pPr>
      <w:r>
        <w:rPr>
          <w:b/>
        </w:rPr>
        <w:t xml:space="preserve">• </w:t>
      </w:r>
      <w:r>
        <w:t>Trace when 1508 Śaka / 1586 became the dominant modern disappearance-year convention.</w:t>
      </w:r>
    </w:p>
    <w:p>
      <w:pPr>
        <w:ind w:left="259" w:hanging="173"/>
      </w:pPr>
      <w:r>
        <w:rPr>
          <w:b/>
        </w:rPr>
        <w:t xml:space="preserve">• </w:t>
      </w:r>
      <w:r>
        <w:t>Determine whether Āśvina śukla Dvādaśī can be connected to the 1584 documentary horizon by an early calendar/sūcaka witness.</w:t>
      </w:r>
    </w:p>
    <w:p>
      <w:pPr>
        <w:pStyle w:val="Heading1"/>
        <w:keepNext w:val="1"/>
        <w:keepLines w:val="1"/>
      </w:pPr>
      <w:r>
        <w:t>15. Source register</w:t>
      </w:r>
    </w:p>
    <w:p>
      <w:pPr>
        <w:pStyle w:val="Heading2"/>
        <w:keepNext w:val="1"/>
        <w:keepLines w:val="1"/>
      </w:pPr>
      <w:r>
        <w:t>Primary / Gauḍīya chronological anchors</w:t>
      </w:r>
    </w:p>
    <w:p>
      <w:pPr>
        <w:ind w:left="259" w:hanging="173"/>
      </w:pPr>
      <w:r>
        <w:rPr>
          <w:b/>
        </w:rPr>
        <w:t xml:space="preserve">• </w:t>
      </w:r>
      <w:r>
        <w:t>Kṛṣṇadāsa Kavirāja, Caitanya-caritāmṛta Ādi 10.91–103; especially 10.93 for the sixteen-year Purī interval.</w:t>
      </w:r>
    </w:p>
    <w:p>
      <w:pPr>
        <w:ind w:left="259" w:hanging="173"/>
      </w:pPr>
      <w:r>
        <w:rPr>
          <w:b/>
        </w:rPr>
        <w:t xml:space="preserve">• </w:t>
      </w:r>
      <w:r>
        <w:t>A.C. Bhaktivedanta Swami Prabhupāda’s Ādi 10.91 purport citing Bhaktisiddhānta Sarasvatī’s Anubhāṣya: 'most probably' 1416 Śaka birth; 1439 Śaka Purī arrival.</w:t>
      </w:r>
    </w:p>
    <w:p>
      <w:pPr>
        <w:ind w:left="259" w:hanging="173"/>
      </w:pPr>
      <w:r>
        <w:rPr>
          <w:b/>
        </w:rPr>
        <w:t xml:space="preserve">• </w:t>
      </w:r>
      <w:r>
        <w:t>Bhaktivinoda Ṭhākura, 'Chaya Gosvāmī Sambandha Abda Nirṇaya,' Sajjana Toṣaṇī Vol. 2, Issue 2 (1885): explicitly doubtful manuscript chronology; Raghunātha listed with Āśvina śukla Dvādaśī disappearance.</w:t>
      </w:r>
    </w:p>
    <w:p>
      <w:pPr>
        <w:ind w:left="259" w:hanging="173"/>
      </w:pPr>
      <w:r>
        <w:rPr>
          <w:b/>
        </w:rPr>
        <w:t xml:space="preserve">• </w:t>
      </w:r>
      <w:r>
        <w:t>Bhaktivinoda Ṭhākura, 'Śrī Śrī Raghunātha Dāsa Gosvāmī,' Sajjana Toṣaṇī Vol. 2, Issue 10 (1885): annual disappearance observance on Monday, 5 Kārttika in that year.</w:t>
      </w:r>
    </w:p>
    <w:p>
      <w:pPr>
        <w:pStyle w:val="Heading2"/>
        <w:keepNext w:val="1"/>
        <w:keepLines w:val="1"/>
      </w:pPr>
      <w:r>
        <w:t>Historical / documentary</w:t>
      </w:r>
    </w:p>
    <w:p>
      <w:pPr>
        <w:ind w:left="259" w:hanging="173"/>
      </w:pPr>
      <w:r>
        <w:rPr>
          <w:b/>
        </w:rPr>
        <w:t xml:space="preserve">• </w:t>
      </w:r>
      <w:r>
        <w:t>Tarapada Mukherjee and J. C. Wright, 'An Early Testamentary Document in Sanskrit' (1979), p. 318: Raghunātha’s A.D. 1584 settlement, dictated 'on my death bed'; VRI ser. 3 acc. 37 and ser. 4 acc. 37A.</w:t>
      </w:r>
    </w:p>
    <w:p>
      <w:pPr>
        <w:ind w:left="259" w:hanging="173"/>
      </w:pPr>
      <w:r>
        <w:rPr>
          <w:b/>
        </w:rPr>
        <w:t xml:space="preserve">• </w:t>
      </w:r>
      <w:r>
        <w:t>Tarapada Mukherjee and Irfan Habib, 'Land Rights in the Reign of Akbar' (1989), pp. 237–239 and document calendar: retrospective/fictitious preparation of portions of the Āriṭ dossier and the 1588 hiba declaration.</w:t>
      </w:r>
    </w:p>
    <w:p>
      <w:pPr>
        <w:ind w:left="259" w:hanging="173"/>
      </w:pPr>
      <w:r>
        <w:rPr>
          <w:b/>
        </w:rPr>
        <w:t xml:space="preserve">• </w:t>
      </w:r>
      <w:r>
        <w:t>Secondary scholarly lead: study of the Caitanya-caritāmṛta-mahā-kāvya citing Mukherjee 1987 p. 324 for a 1584 death date; underlying page still to be recovered.</w:t>
      </w:r>
    </w:p>
    <w:p>
      <w:pPr>
        <w:pStyle w:val="Heading2"/>
        <w:keepNext w:val="1"/>
        <w:keepLines w:val="1"/>
      </w:pPr>
      <w:r>
        <w:t>Living calendar / practical</w:t>
      </w:r>
    </w:p>
    <w:p>
      <w:pPr>
        <w:ind w:left="259" w:hanging="173"/>
      </w:pPr>
      <w:r>
        <w:rPr>
          <w:b/>
        </w:rPr>
        <w:t xml:space="preserve">• </w:t>
      </w:r>
      <w:r>
        <w:t>Current ISKCON Māyāpur 2026–27 festival calendar: 11 February 2027, Śrī Raghunātha dāsa Gosvāmī Appearance / Vasanta-pañcamī.</w:t>
      </w:r>
    </w:p>
    <w:p>
      <w:pPr>
        <w:ind w:left="259" w:hanging="173"/>
      </w:pPr>
      <w:r>
        <w:rPr>
          <w:b/>
        </w:rPr>
        <w:t xml:space="preserve">• </w:t>
      </w:r>
      <w:r>
        <w:t>Current Vaiṣṇava calendars: Mādhava gaura pañcamī as the received appearance observance.</w:t>
      </w:r>
    </w:p>
    <w:p>
      <w:pPr>
        <w:pStyle w:val="Heading1"/>
        <w:keepNext w:val="1"/>
        <w:keepLines w:val="1"/>
      </w:pPr>
      <w:r>
        <w:t>16. Completion ruling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RDG-R02 v0.1 COMPLETE  </w:t>
            </w:r>
            <w:r>
              <w:t>The major 1588 misunderstanding has been corrected. The biography can now be drafted without treating 1586 or 1588 as settled historical death years. The strongest present historical candidate is a 1584 deathbed horizon; the received appearance and disappearance tithis remain devotional-calendar anchors. Final closure requires the 1987 Mukherjee page and, ideally, the 1584 settlement witness itself.</w:t>
            </w:r>
          </w:p>
        </w:tc>
      </w:tr>
    </w:tbl>
    <w:sectPr w:rsidR="00FC693F" w:rsidRPr="0006063C" w:rsidSect="00034616">
      <w:headerReference w:type="default" r:id="rId9"/>
      <w:footerReference w:type="default" r:id="rId10"/>
      <w:pgSz w:w="12240" w:h="15840"/>
      <w:pgMar w:top="893"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RDG-R02 • Chronology Research Note v0.1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RAGHUNĀTHA DĀSA GOSVĀMĪ CHRONOLOGY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4A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RDG-R02 — Raghunātha dāsa Gosvāmī Appearance, Disappearance, and Chronology Research Note v0.1</dc:title>
  <dc:subject>Govardhana Pilgrimage — Raghunātha dāsa Gosvāmī chronology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