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Research Series</w:t>
      </w:r>
    </w:p>
    <w:p>
      <w:pPr>
        <w:jc w:val="center"/>
      </w:pPr>
      <w:r>
        <w:rPr>
          <w:b/>
          <w:color w:val="7B2638"/>
          <w:sz w:val="54"/>
        </w:rPr>
        <w:t>RDG-R03</w:t>
      </w:r>
    </w:p>
    <w:p>
      <w:pPr>
        <w:pStyle w:val="Title"/>
        <w:jc w:val="center"/>
      </w:pPr>
      <w:r>
        <w:t>Works, Literary Voice, and Inner Identity</w:t>
      </w:r>
    </w:p>
    <w:p>
      <w:pPr>
        <w:pStyle w:val="Subtitle"/>
        <w:jc w:val="center"/>
      </w:pPr>
      <w:r>
        <w:t>A source-critical literary map of Stavāvalī, Muktā-carita, Dāna-keli-cintāmaṇi, Rūpānuga identity, and mañjarī traditions</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PURPOSE  </w:t>
            </w:r>
            <w:r>
              <w:t>This ledger establishes what Raghunātha actually wrote, what his surviving works reveal about his devotional self-understanding, how strongly his literary voice is organized around Śrī Caitanya, Svarūpa, Rūpa, Sanātana, Govardhana and Rādhā-kuṇḍa, and how the early Gaura-gaṇoddeśa-dīpikā identity tradition should be presented without flattening textual variants.</w:t>
            </w:r>
          </w:p>
        </w:tc>
      </w:tr>
    </w:tbl>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CENTRAL RULING  </w:t>
            </w:r>
            <w:r>
              <w:t>The literary Raghunātha is not best described merely as an ascetic. His own corpus is structured by memory of Gaurāṅga, dependence on Svarūpa/Rūpa/Sanātana, radical commitment to residence in Vraja, intense Rādhā-dāsya, and a service-centered imagination of Govardhana and Rādhā-kuṇḍa. His vairāgya is the outer consequence of that positive devotional center.</w:t>
            </w:r>
          </w:p>
        </w:tc>
      </w:tr>
    </w:tbl>
    <w:p>
      <w:r>
        <w:br w:type="page"/>
      </w:r>
    </w:p>
    <w:p>
      <w:pPr>
        <w:pStyle w:val="Heading1"/>
        <w:keepNext w:val="1"/>
        <w:keepLines w:val="1"/>
      </w:pPr>
      <w:r>
        <w:t>1. Evidence hierarchy for the literary portrait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Mar>
              <w:top w:w="55" w:type="dxa"/>
              <w:start w:w="60" w:type="dxa"/>
              <w:bottom w:w="55" w:type="dxa"/>
              <w:end w:w="60" w:type="dxa"/>
            </w:tcMar>
          </w:tcPr>
          <w:p>
            <w:r>
              <w:rPr>
                <w:b/>
                <w:color w:val="FFFFFF"/>
              </w:rPr>
              <w:t>Layer</w:t>
            </w:r>
          </w:p>
        </w:tc>
        <w:tc>
          <w:tcPr>
            <w:tcW w:type="dxa" w:w="2541"/>
            <w:shd w:fill="7B2638"/>
            <w:tcMar>
              <w:top w:w="55" w:type="dxa"/>
              <w:start w:w="60" w:type="dxa"/>
              <w:bottom w:w="55" w:type="dxa"/>
              <w:end w:w="60" w:type="dxa"/>
            </w:tcMar>
          </w:tcPr>
          <w:p>
            <w:r>
              <w:rPr>
                <w:b/>
                <w:color w:val="FFFFFF"/>
              </w:rPr>
              <w:t>Witness</w:t>
            </w:r>
          </w:p>
        </w:tc>
        <w:tc>
          <w:tcPr>
            <w:tcW w:type="dxa" w:w="2541"/>
            <w:shd w:fill="7B2638"/>
            <w:tcMar>
              <w:top w:w="55" w:type="dxa"/>
              <w:start w:w="60" w:type="dxa"/>
              <w:bottom w:w="55" w:type="dxa"/>
              <w:end w:w="60" w:type="dxa"/>
            </w:tcMar>
          </w:tcPr>
          <w:p>
            <w:r>
              <w:rPr>
                <w:b/>
                <w:color w:val="FFFFFF"/>
              </w:rPr>
              <w:t>What it can establish</w:t>
            </w:r>
          </w:p>
        </w:tc>
        <w:tc>
          <w:tcPr>
            <w:tcW w:type="dxa" w:w="2541"/>
            <w:shd w:fill="7B2638"/>
            <w:tcMar>
              <w:top w:w="55" w:type="dxa"/>
              <w:start w:w="60" w:type="dxa"/>
              <w:bottom w:w="55" w:type="dxa"/>
              <w:end w:w="60" w:type="dxa"/>
            </w:tcMar>
          </w:tcPr>
          <w:p>
            <w:r>
              <w:rPr>
                <w:b/>
                <w:color w:val="FFFFFF"/>
              </w:rPr>
              <w:t>Boundary</w:t>
            </w:r>
          </w:p>
        </w:tc>
      </w:tr>
      <w:tr>
        <w:trPr>
          <w:cantSplit w:val="1"/>
        </w:trPr>
        <w:tc>
          <w:tcPr>
            <w:tcW w:type="dxa" w:w="2541"/>
            <w:tcMar>
              <w:top w:w="50" w:type="dxa"/>
              <w:start w:w="58" w:type="dxa"/>
              <w:bottom w:w="50" w:type="dxa"/>
              <w:end w:w="58" w:type="dxa"/>
            </w:tcMar>
            <w:vAlign w:val="top"/>
          </w:tcPr>
          <w:p>
            <w:r>
              <w:t>A1 — Raghunātha’s own voice</w:t>
            </w:r>
          </w:p>
        </w:tc>
        <w:tc>
          <w:tcPr>
            <w:tcW w:type="dxa" w:w="2541"/>
            <w:tcMar>
              <w:top w:w="50" w:type="dxa"/>
              <w:start w:w="58" w:type="dxa"/>
              <w:bottom w:w="50" w:type="dxa"/>
              <w:end w:w="58" w:type="dxa"/>
            </w:tcMar>
            <w:vAlign w:val="top"/>
          </w:tcPr>
          <w:p>
            <w:r>
              <w:t>Stavāvalī compositions; Muktā-carita; Dāna-keli-cintāmaṇi</w:t>
            </w:r>
          </w:p>
        </w:tc>
        <w:tc>
          <w:tcPr>
            <w:tcW w:type="dxa" w:w="2541"/>
            <w:tcMar>
              <w:top w:w="50" w:type="dxa"/>
              <w:start w:w="58" w:type="dxa"/>
              <w:bottom w:w="50" w:type="dxa"/>
              <w:end w:w="58" w:type="dxa"/>
            </w:tcMar>
            <w:vAlign w:val="top"/>
          </w:tcPr>
          <w:p>
            <w:r>
              <w:t>Personal prayer, guru relations, self-description, devotional priorities, sacred geography, literary aesthetics.</w:t>
            </w:r>
          </w:p>
        </w:tc>
        <w:tc>
          <w:tcPr>
            <w:tcW w:type="dxa" w:w="2541"/>
            <w:tcMar>
              <w:top w:w="50" w:type="dxa"/>
              <w:start w:w="58" w:type="dxa"/>
              <w:bottom w:w="50" w:type="dxa"/>
              <w:end w:w="58" w:type="dxa"/>
            </w:tcMar>
            <w:vAlign w:val="top"/>
          </w:tcPr>
          <w:p>
            <w:r>
              <w:t>Prayer and līlā-kāvya are not neutral diary entries.</w:t>
            </w:r>
          </w:p>
        </w:tc>
      </w:tr>
      <w:tr>
        <w:trPr>
          <w:cantSplit w:val="1"/>
        </w:trPr>
        <w:tc>
          <w:tcPr>
            <w:tcW w:type="dxa" w:w="2541"/>
            <w:tcMar>
              <w:top w:w="50" w:type="dxa"/>
              <w:start w:w="58" w:type="dxa"/>
              <w:bottom w:w="50" w:type="dxa"/>
              <w:end w:w="58" w:type="dxa"/>
            </w:tcMar>
            <w:vAlign w:val="top"/>
          </w:tcPr>
          <w:p>
            <w:r>
              <w:t>A2 — First-generation framing</w:t>
            </w:r>
          </w:p>
        </w:tc>
        <w:tc>
          <w:tcPr>
            <w:tcW w:type="dxa" w:w="2541"/>
            <w:tcMar>
              <w:top w:w="50" w:type="dxa"/>
              <w:start w:w="58" w:type="dxa"/>
              <w:bottom w:w="50" w:type="dxa"/>
              <w:end w:w="58" w:type="dxa"/>
            </w:tcMar>
            <w:vAlign w:val="top"/>
          </w:tcPr>
          <w:p>
            <w:r>
              <w:t>Caitanya-caritāmṛta; especially Antya 6, Madhya 2.84, Antya 14.7–10</w:t>
            </w:r>
          </w:p>
        </w:tc>
        <w:tc>
          <w:tcPr>
            <w:tcW w:type="dxa" w:w="2541"/>
            <w:tcMar>
              <w:top w:w="50" w:type="dxa"/>
              <w:start w:w="58" w:type="dxa"/>
              <w:bottom w:w="50" w:type="dxa"/>
              <w:end w:w="58" w:type="dxa"/>
            </w:tcMar>
            <w:vAlign w:val="top"/>
          </w:tcPr>
          <w:p>
            <w:r>
              <w:t>How Kṛṣṇadāsa understood Raghunātha’s life, teaching role, literary/transmission function.</w:t>
            </w:r>
          </w:p>
        </w:tc>
        <w:tc>
          <w:tcPr>
            <w:tcW w:type="dxa" w:w="2541"/>
            <w:tcMar>
              <w:top w:w="50" w:type="dxa"/>
              <w:start w:w="58" w:type="dxa"/>
              <w:bottom w:w="50" w:type="dxa"/>
              <w:end w:w="58" w:type="dxa"/>
            </w:tcMar>
            <w:vAlign w:val="top"/>
          </w:tcPr>
          <w:p>
            <w:r>
              <w:t>Do not let later purport bibliography replace the root Bengali text.</w:t>
            </w:r>
          </w:p>
        </w:tc>
      </w:tr>
      <w:tr>
        <w:trPr>
          <w:cantSplit w:val="1"/>
        </w:trPr>
        <w:tc>
          <w:tcPr>
            <w:tcW w:type="dxa" w:w="2541"/>
            <w:tcMar>
              <w:top w:w="50" w:type="dxa"/>
              <w:start w:w="58" w:type="dxa"/>
              <w:bottom w:w="50" w:type="dxa"/>
              <w:end w:w="58" w:type="dxa"/>
            </w:tcMar>
            <w:vAlign w:val="top"/>
          </w:tcPr>
          <w:p>
            <w:r>
              <w:t>A3 — Early identity tradition</w:t>
            </w:r>
          </w:p>
        </w:tc>
        <w:tc>
          <w:tcPr>
            <w:tcW w:type="dxa" w:w="2541"/>
            <w:tcMar>
              <w:top w:w="50" w:type="dxa"/>
              <w:start w:w="58" w:type="dxa"/>
              <w:bottom w:w="50" w:type="dxa"/>
              <w:end w:w="58" w:type="dxa"/>
            </w:tcMar>
            <w:vAlign w:val="top"/>
          </w:tcPr>
          <w:p>
            <w:r>
              <w:t>Kavi Karṇapūra, Gaura-gaṇoddeśa-dīpikā 186</w:t>
            </w:r>
          </w:p>
        </w:tc>
        <w:tc>
          <w:tcPr>
            <w:tcW w:type="dxa" w:w="2541"/>
            <w:tcMar>
              <w:top w:w="50" w:type="dxa"/>
              <w:start w:w="58" w:type="dxa"/>
              <w:bottom w:w="50" w:type="dxa"/>
              <w:end w:w="58" w:type="dxa"/>
            </w:tcMar>
            <w:vAlign w:val="top"/>
          </w:tcPr>
          <w:p>
            <w:r>
              <w:t>Explicit Rasa-mañjarī identification plus recorded Rati-mañjarī and Bhānumatī variants.</w:t>
            </w:r>
          </w:p>
        </w:tc>
        <w:tc>
          <w:tcPr>
            <w:tcW w:type="dxa" w:w="2541"/>
            <w:tcMar>
              <w:top w:w="50" w:type="dxa"/>
              <w:start w:w="58" w:type="dxa"/>
              <w:bottom w:w="50" w:type="dxa"/>
              <w:end w:w="58" w:type="dxa"/>
            </w:tcMar>
            <w:vAlign w:val="top"/>
          </w:tcPr>
          <w:p>
            <w:r>
              <w:t>The verse itself preserves plurality; one lineage preference must not erase it.</w:t>
            </w:r>
          </w:p>
        </w:tc>
      </w:tr>
      <w:tr>
        <w:trPr>
          <w:cantSplit w:val="1"/>
        </w:trPr>
        <w:tc>
          <w:tcPr>
            <w:tcW w:type="dxa" w:w="2541"/>
            <w:tcMar>
              <w:top w:w="50" w:type="dxa"/>
              <w:start w:w="58" w:type="dxa"/>
              <w:bottom w:w="50" w:type="dxa"/>
              <w:end w:w="58" w:type="dxa"/>
            </w:tcMar>
            <w:vAlign w:val="top"/>
          </w:tcPr>
          <w:p>
            <w:r>
              <w:t>B — Early bibliographic/pilgrimage memory</w:t>
            </w:r>
          </w:p>
        </w:tc>
        <w:tc>
          <w:tcPr>
            <w:tcW w:type="dxa" w:w="2541"/>
            <w:tcMar>
              <w:top w:w="50" w:type="dxa"/>
              <w:start w:w="58" w:type="dxa"/>
              <w:bottom w:w="50" w:type="dxa"/>
              <w:end w:w="58" w:type="dxa"/>
            </w:tcMar>
            <w:vAlign w:val="top"/>
          </w:tcPr>
          <w:p>
            <w:r>
              <w:t>Bhakti-ratnākara</w:t>
            </w:r>
          </w:p>
        </w:tc>
        <w:tc>
          <w:tcPr>
            <w:tcW w:type="dxa" w:w="2541"/>
            <w:tcMar>
              <w:top w:w="50" w:type="dxa"/>
              <w:start w:w="58" w:type="dxa"/>
              <w:bottom w:w="50" w:type="dxa"/>
              <w:end w:w="58" w:type="dxa"/>
            </w:tcMar>
            <w:vAlign w:val="top"/>
          </w:tcPr>
          <w:p>
            <w:r>
              <w:t>Early book-list memory; use of Muktā-carita in text-guided pilgrimage; Raghunātha’s place in the Gosvāmī network.</w:t>
            </w:r>
          </w:p>
        </w:tc>
        <w:tc>
          <w:tcPr>
            <w:tcW w:type="dxa" w:w="2541"/>
            <w:tcMar>
              <w:top w:w="50" w:type="dxa"/>
              <w:start w:w="58" w:type="dxa"/>
              <w:bottom w:w="50" w:type="dxa"/>
              <w:end w:w="58" w:type="dxa"/>
            </w:tcMar>
            <w:vAlign w:val="top"/>
          </w:tcPr>
          <w:p>
            <w:r>
              <w:t>Later than the author; titles can be abbreviated or conventional.</w:t>
            </w:r>
          </w:p>
        </w:tc>
      </w:tr>
      <w:tr>
        <w:trPr>
          <w:cantSplit w:val="1"/>
        </w:trPr>
        <w:tc>
          <w:tcPr>
            <w:tcW w:type="dxa" w:w="2541"/>
            <w:tcMar>
              <w:top w:w="50" w:type="dxa"/>
              <w:start w:w="58" w:type="dxa"/>
              <w:bottom w:w="50" w:type="dxa"/>
              <w:end w:w="58" w:type="dxa"/>
            </w:tcMar>
            <w:vAlign w:val="top"/>
          </w:tcPr>
          <w:p>
            <w:r>
              <w:t>C — Later commentarial reception</w:t>
            </w:r>
          </w:p>
        </w:tc>
        <w:tc>
          <w:tcPr>
            <w:tcW w:type="dxa" w:w="2541"/>
            <w:tcMar>
              <w:top w:w="50" w:type="dxa"/>
              <w:start w:w="58" w:type="dxa"/>
              <w:bottom w:w="50" w:type="dxa"/>
              <w:end w:w="58" w:type="dxa"/>
            </w:tcMar>
            <w:vAlign w:val="top"/>
          </w:tcPr>
          <w:p>
            <w:r>
              <w:t>Sādhanadīpikā; modern editions and lineage commentaries</w:t>
            </w:r>
          </w:p>
        </w:tc>
        <w:tc>
          <w:tcPr>
            <w:tcW w:type="dxa" w:w="2541"/>
            <w:tcMar>
              <w:top w:w="50" w:type="dxa"/>
              <w:start w:w="58" w:type="dxa"/>
              <w:bottom w:w="50" w:type="dxa"/>
              <w:end w:w="58" w:type="dxa"/>
            </w:tcMar>
            <w:vAlign w:val="top"/>
          </w:tcPr>
          <w:p>
            <w:r>
              <w:t>How later Gauḍīyas read Rati-mañjarī, Rūpānuga identity and the works.</w:t>
            </w:r>
          </w:p>
        </w:tc>
        <w:tc>
          <w:tcPr>
            <w:tcW w:type="dxa" w:w="2541"/>
            <w:tcMar>
              <w:top w:w="50" w:type="dxa"/>
              <w:start w:w="58" w:type="dxa"/>
              <w:bottom w:w="50" w:type="dxa"/>
              <w:end w:w="58" w:type="dxa"/>
            </w:tcMar>
            <w:vAlign w:val="top"/>
          </w:tcPr>
          <w:p>
            <w:r>
              <w:t>Interpretation must be labeled as reception where the root verse is less explicit.</w:t>
            </w:r>
          </w:p>
        </w:tc>
      </w:tr>
    </w:tbl>
    <w:p>
      <w:pPr>
        <w:pStyle w:val="Heading1"/>
        <w:keepNext w:val="1"/>
        <w:keepLines w:val="1"/>
      </w:pPr>
      <w:r>
        <w:t>2. The three-book bibliographic tradition</w:t>
      </w:r>
    </w:p>
    <w:p>
      <w:r>
        <w:t>A widely repeated Gauḍīya bibliographic tradition names three principal works or literary units by Raghunātha: Stava-mālā/Stavāvalī, Dāna-carita and Muktā-carita. Bhakti-ratnākara preserves this tripartite memory, and Bhaktisiddhānta Sarasvatī’s later biographical note repeats it.</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TITLE CONTROL  </w:t>
            </w:r>
            <w:r>
              <w:t>These three labels are not three equal single texts in their present surviving form. Stavāvalī is a collection containing many independent hymns and prayers. Muktā-carita is a distinct narrative composition. The surviving dāna-līlā work is Dāna-keli-cintāmaṇi, and the current evidence strongly indicates that this is the work meant by the older shorthand Dāna-carita.</w:t>
            </w:r>
          </w:p>
        </w:tc>
      </w:tr>
    </w:tbl>
    <w:p>
      <w:pPr>
        <w:pStyle w:val="Heading1"/>
        <w:keepNext w:val="1"/>
        <w:keepLines w:val="1"/>
      </w:pPr>
      <w:r>
        <w:t>3. Stavāvalī: thirty numbered compositions in the project witness</w:t>
      </w:r>
    </w:p>
    <w:p>
      <w:r>
        <w:t>The project Stavāvalī witness contains thirty numbered compositions. Its opening note says the text was entered from various sources; therefore the collection should be treated as a transmitted anthology of Raghunātha’s works rather than as an autograph volume whose final ordering is itself demonstrably Raghunātha’s.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Mar>
              <w:top w:w="55" w:type="dxa"/>
              <w:start w:w="60" w:type="dxa"/>
              <w:bottom w:w="55" w:type="dxa"/>
              <w:end w:w="60" w:type="dxa"/>
            </w:tcMar>
          </w:tcPr>
          <w:p>
            <w:r>
              <w:rPr>
                <w:b/>
                <w:color w:val="FFFFFF"/>
              </w:rPr>
              <w:t>No.</w:t>
            </w:r>
          </w:p>
        </w:tc>
        <w:tc>
          <w:tcPr>
            <w:tcW w:type="dxa" w:w="2541"/>
            <w:shd w:fill="7B2638"/>
            <w:tcMar>
              <w:top w:w="55" w:type="dxa"/>
              <w:start w:w="60" w:type="dxa"/>
              <w:bottom w:w="55" w:type="dxa"/>
              <w:end w:w="60" w:type="dxa"/>
            </w:tcMar>
          </w:tcPr>
          <w:p>
            <w:r>
              <w:rPr>
                <w:b/>
                <w:color w:val="FFFFFF"/>
              </w:rPr>
              <w:t>Composition</w:t>
            </w:r>
          </w:p>
        </w:tc>
        <w:tc>
          <w:tcPr>
            <w:tcW w:type="dxa" w:w="2541"/>
            <w:shd w:fill="7B2638"/>
            <w:tcMar>
              <w:top w:w="55" w:type="dxa"/>
              <w:start w:w="60" w:type="dxa"/>
              <w:bottom w:w="55" w:type="dxa"/>
              <w:end w:w="60" w:type="dxa"/>
            </w:tcMar>
          </w:tcPr>
          <w:p>
            <w:r>
              <w:rPr>
                <w:b/>
                <w:color w:val="FFFFFF"/>
              </w:rPr>
              <w:t>Biographical/literary value</w:t>
            </w:r>
          </w:p>
        </w:tc>
        <w:tc>
          <w:tcPr>
            <w:tcW w:type="dxa" w:w="2541"/>
            <w:shd w:fill="7B2638"/>
            <w:tcMar>
              <w:top w:w="55" w:type="dxa"/>
              <w:start w:w="60" w:type="dxa"/>
              <w:bottom w:w="55" w:type="dxa"/>
              <w:end w:w="60" w:type="dxa"/>
            </w:tcMar>
          </w:tcPr>
          <w:p>
            <w:r>
              <w:rPr>
                <w:b/>
                <w:color w:val="FFFFFF"/>
              </w:rPr>
              <w:t>Primary axis</w:t>
            </w:r>
          </w:p>
        </w:tc>
      </w:tr>
      <w:tr>
        <w:trPr>
          <w:cantSplit w:val="1"/>
        </w:trPr>
        <w:tc>
          <w:tcPr>
            <w:tcW w:type="dxa" w:w="2541"/>
            <w:tcMar>
              <w:top w:w="50" w:type="dxa"/>
              <w:start w:w="58" w:type="dxa"/>
              <w:bottom w:w="50" w:type="dxa"/>
              <w:end w:w="58" w:type="dxa"/>
            </w:tcMar>
            <w:vAlign w:val="top"/>
          </w:tcPr>
          <w:p>
            <w:r>
              <w:t>1</w:t>
            </w:r>
          </w:p>
        </w:tc>
        <w:tc>
          <w:tcPr>
            <w:tcW w:type="dxa" w:w="2541"/>
            <w:tcMar>
              <w:top w:w="50" w:type="dxa"/>
              <w:start w:w="58" w:type="dxa"/>
              <w:bottom w:w="50" w:type="dxa"/>
              <w:end w:w="58" w:type="dxa"/>
            </w:tcMar>
            <w:vAlign w:val="top"/>
          </w:tcPr>
          <w:p>
            <w:r>
              <w:t>Śacī-sūnv-aṣṭakam</w:t>
            </w:r>
          </w:p>
        </w:tc>
        <w:tc>
          <w:tcPr>
            <w:tcW w:type="dxa" w:w="2541"/>
            <w:tcMar>
              <w:top w:w="50" w:type="dxa"/>
              <w:start w:w="58" w:type="dxa"/>
              <w:bottom w:w="50" w:type="dxa"/>
              <w:end w:w="58" w:type="dxa"/>
            </w:tcMar>
            <w:vAlign w:val="top"/>
          </w:tcPr>
          <w:p>
            <w:r>
              <w:t>Viraha-filled remembrance of Śacīnandana; repeatedly asks when He will again enter the path of the eyes.</w:t>
            </w:r>
          </w:p>
        </w:tc>
        <w:tc>
          <w:tcPr>
            <w:tcW w:type="dxa" w:w="2541"/>
            <w:tcMar>
              <w:top w:w="50" w:type="dxa"/>
              <w:start w:w="58" w:type="dxa"/>
              <w:bottom w:w="50" w:type="dxa"/>
              <w:end w:w="58" w:type="dxa"/>
            </w:tcMar>
            <w:vAlign w:val="top"/>
          </w:tcPr>
          <w:p>
            <w:r>
              <w:t>Gaurāṅga memory</w:t>
            </w:r>
          </w:p>
        </w:tc>
      </w:tr>
      <w:tr>
        <w:trPr>
          <w:cantSplit w:val="1"/>
        </w:trPr>
        <w:tc>
          <w:tcPr>
            <w:tcW w:type="dxa" w:w="2541"/>
            <w:tcMar>
              <w:top w:w="50" w:type="dxa"/>
              <w:start w:w="58" w:type="dxa"/>
              <w:bottom w:w="50" w:type="dxa"/>
              <w:end w:w="58" w:type="dxa"/>
            </w:tcMar>
            <w:vAlign w:val="top"/>
          </w:tcPr>
          <w:p>
            <w:r>
              <w:t>2</w:t>
            </w:r>
          </w:p>
        </w:tc>
        <w:tc>
          <w:tcPr>
            <w:tcW w:type="dxa" w:w="2541"/>
            <w:tcMar>
              <w:top w:w="50" w:type="dxa"/>
              <w:start w:w="58" w:type="dxa"/>
              <w:bottom w:w="50" w:type="dxa"/>
              <w:end w:w="58" w:type="dxa"/>
            </w:tcMar>
            <w:vAlign w:val="top"/>
          </w:tcPr>
          <w:p>
            <w:r>
              <w:t>Gaurāṅga-stava-kalpataruḥ</w:t>
            </w:r>
          </w:p>
        </w:tc>
        <w:tc>
          <w:tcPr>
            <w:tcW w:type="dxa" w:w="2541"/>
            <w:tcMar>
              <w:top w:w="50" w:type="dxa"/>
              <w:start w:w="58" w:type="dxa"/>
              <w:bottom w:w="50" w:type="dxa"/>
              <w:end w:w="58" w:type="dxa"/>
            </w:tcMar>
            <w:vAlign w:val="top"/>
          </w:tcPr>
          <w:p>
            <w:r>
              <w:t>Vivid memories of Mahāprabhu’s ecstasies; v.11 is explicitly autobiographical: wealth → Svarūpa → guñjā/śilā.</w:t>
            </w:r>
          </w:p>
        </w:tc>
        <w:tc>
          <w:tcPr>
            <w:tcW w:type="dxa" w:w="2541"/>
            <w:tcMar>
              <w:top w:w="50" w:type="dxa"/>
              <w:start w:w="58" w:type="dxa"/>
              <w:bottom w:w="50" w:type="dxa"/>
              <w:end w:w="58" w:type="dxa"/>
            </w:tcMar>
            <w:vAlign w:val="top"/>
          </w:tcPr>
          <w:p>
            <w:r>
              <w:t>Autobiography / Gaurāṅga</w:t>
            </w:r>
          </w:p>
        </w:tc>
      </w:tr>
      <w:tr>
        <w:trPr>
          <w:cantSplit w:val="1"/>
        </w:trPr>
        <w:tc>
          <w:tcPr>
            <w:tcW w:type="dxa" w:w="2541"/>
            <w:tcMar>
              <w:top w:w="50" w:type="dxa"/>
              <w:start w:w="58" w:type="dxa"/>
              <w:bottom w:w="50" w:type="dxa"/>
              <w:end w:w="58" w:type="dxa"/>
            </w:tcMar>
            <w:vAlign w:val="top"/>
          </w:tcPr>
          <w:p>
            <w:r>
              <w:t>3</w:t>
            </w:r>
          </w:p>
        </w:tc>
        <w:tc>
          <w:tcPr>
            <w:tcW w:type="dxa" w:w="2541"/>
            <w:tcMar>
              <w:top w:w="50" w:type="dxa"/>
              <w:start w:w="58" w:type="dxa"/>
              <w:bottom w:w="50" w:type="dxa"/>
              <w:end w:w="58" w:type="dxa"/>
            </w:tcMar>
            <w:vAlign w:val="top"/>
          </w:tcPr>
          <w:p>
            <w:r>
              <w:t>Manaḥ-śikṣā</w:t>
            </w:r>
          </w:p>
        </w:tc>
        <w:tc>
          <w:tcPr>
            <w:tcW w:type="dxa" w:w="2541"/>
            <w:tcMar>
              <w:top w:w="50" w:type="dxa"/>
              <w:start w:w="58" w:type="dxa"/>
              <w:bottom w:w="50" w:type="dxa"/>
              <w:end w:w="58" w:type="dxa"/>
            </w:tcMar>
            <w:vAlign w:val="top"/>
          </w:tcPr>
          <w:p>
            <w:r>
              <w:t>Twelve instructions to the mind: guru, Vraja, nāma, Rādhā-Kṛṣṇa, Svarūpa, Rūpa, Sanātana, humility, Rādhā-bhajana.</w:t>
            </w:r>
          </w:p>
        </w:tc>
        <w:tc>
          <w:tcPr>
            <w:tcW w:type="dxa" w:w="2541"/>
            <w:tcMar>
              <w:top w:w="50" w:type="dxa"/>
              <w:start w:w="58" w:type="dxa"/>
              <w:bottom w:w="50" w:type="dxa"/>
              <w:end w:w="58" w:type="dxa"/>
            </w:tcMar>
            <w:vAlign w:val="top"/>
          </w:tcPr>
          <w:p>
            <w:r>
              <w:t>Sādhana / Rūpānuga</w:t>
            </w:r>
          </w:p>
        </w:tc>
      </w:tr>
      <w:tr>
        <w:trPr>
          <w:cantSplit w:val="1"/>
        </w:trPr>
        <w:tc>
          <w:tcPr>
            <w:tcW w:type="dxa" w:w="2541"/>
            <w:tcMar>
              <w:top w:w="50" w:type="dxa"/>
              <w:start w:w="58" w:type="dxa"/>
              <w:bottom w:w="50" w:type="dxa"/>
              <w:end w:w="58" w:type="dxa"/>
            </w:tcMar>
            <w:vAlign w:val="top"/>
          </w:tcPr>
          <w:p>
            <w:r>
              <w:t>4</w:t>
            </w:r>
          </w:p>
        </w:tc>
        <w:tc>
          <w:tcPr>
            <w:tcW w:type="dxa" w:w="2541"/>
            <w:tcMar>
              <w:top w:w="50" w:type="dxa"/>
              <w:start w:w="58" w:type="dxa"/>
              <w:bottom w:w="50" w:type="dxa"/>
              <w:end w:w="58" w:type="dxa"/>
            </w:tcMar>
            <w:vAlign w:val="top"/>
          </w:tcPr>
          <w:p>
            <w:r>
              <w:t>Raghunātha-dāsa-gosvāminaḥ Prārthanā</w:t>
            </w:r>
          </w:p>
        </w:tc>
        <w:tc>
          <w:tcPr>
            <w:tcW w:type="dxa" w:w="2541"/>
            <w:tcMar>
              <w:top w:w="50" w:type="dxa"/>
              <w:start w:w="58" w:type="dxa"/>
              <w:bottom w:w="50" w:type="dxa"/>
              <w:end w:w="58" w:type="dxa"/>
            </w:tcMar>
            <w:vAlign w:val="top"/>
          </w:tcPr>
          <w:p>
            <w:r>
              <w:t>Short prayer sequence involving Rādhā-Kṛṣṇa līlā and devotional aspiration.</w:t>
            </w:r>
          </w:p>
        </w:tc>
        <w:tc>
          <w:tcPr>
            <w:tcW w:type="dxa" w:w="2541"/>
            <w:tcMar>
              <w:top w:w="50" w:type="dxa"/>
              <w:start w:w="58" w:type="dxa"/>
              <w:bottom w:w="50" w:type="dxa"/>
              <w:end w:w="58" w:type="dxa"/>
            </w:tcMar>
            <w:vAlign w:val="top"/>
          </w:tcPr>
          <w:p>
            <w:r>
              <w:t>Prayer</w:t>
            </w:r>
          </w:p>
        </w:tc>
      </w:tr>
      <w:tr>
        <w:trPr>
          <w:cantSplit w:val="1"/>
        </w:trPr>
        <w:tc>
          <w:tcPr>
            <w:tcW w:type="dxa" w:w="2541"/>
            <w:tcMar>
              <w:top w:w="50" w:type="dxa"/>
              <w:start w:w="58" w:type="dxa"/>
              <w:bottom w:w="50" w:type="dxa"/>
              <w:end w:w="58" w:type="dxa"/>
            </w:tcMar>
            <w:vAlign w:val="top"/>
          </w:tcPr>
          <w:p>
            <w:r>
              <w:t>5</w:t>
            </w:r>
          </w:p>
        </w:tc>
        <w:tc>
          <w:tcPr>
            <w:tcW w:type="dxa" w:w="2541"/>
            <w:tcMar>
              <w:top w:w="50" w:type="dxa"/>
              <w:start w:w="58" w:type="dxa"/>
              <w:bottom w:w="50" w:type="dxa"/>
              <w:end w:w="58" w:type="dxa"/>
            </w:tcMar>
            <w:vAlign w:val="top"/>
          </w:tcPr>
          <w:p>
            <w:r>
              <w:t>Govardhanāśraya-daśakam</w:t>
            </w:r>
          </w:p>
        </w:tc>
        <w:tc>
          <w:tcPr>
            <w:tcW w:type="dxa" w:w="2541"/>
            <w:tcMar>
              <w:top w:w="50" w:type="dxa"/>
              <w:start w:w="58" w:type="dxa"/>
              <w:bottom w:w="50" w:type="dxa"/>
              <w:end w:w="58" w:type="dxa"/>
            </w:tcMar>
            <w:vAlign w:val="top"/>
          </w:tcPr>
          <w:p>
            <w:r>
              <w:t>Why one should take shelter of Govardhana; kuṇḍas and līlā-sites are integrated into Girirāja.</w:t>
            </w:r>
          </w:p>
        </w:tc>
        <w:tc>
          <w:tcPr>
            <w:tcW w:type="dxa" w:w="2541"/>
            <w:tcMar>
              <w:top w:w="50" w:type="dxa"/>
              <w:start w:w="58" w:type="dxa"/>
              <w:bottom w:w="50" w:type="dxa"/>
              <w:end w:w="58" w:type="dxa"/>
            </w:tcMar>
            <w:vAlign w:val="top"/>
          </w:tcPr>
          <w:p>
            <w:r>
              <w:t>Govardhana theology</w:t>
            </w:r>
          </w:p>
        </w:tc>
      </w:tr>
      <w:tr>
        <w:trPr>
          <w:cantSplit w:val="1"/>
        </w:trPr>
        <w:tc>
          <w:tcPr>
            <w:tcW w:type="dxa" w:w="2541"/>
            <w:tcMar>
              <w:top w:w="50" w:type="dxa"/>
              <w:start w:w="58" w:type="dxa"/>
              <w:bottom w:w="50" w:type="dxa"/>
              <w:end w:w="58" w:type="dxa"/>
            </w:tcMar>
            <w:vAlign w:val="top"/>
          </w:tcPr>
          <w:p>
            <w:r>
              <w:t>6</w:t>
            </w:r>
          </w:p>
        </w:tc>
        <w:tc>
          <w:tcPr>
            <w:tcW w:type="dxa" w:w="2541"/>
            <w:tcMar>
              <w:top w:w="50" w:type="dxa"/>
              <w:start w:w="58" w:type="dxa"/>
              <w:bottom w:w="50" w:type="dxa"/>
              <w:end w:w="58" w:type="dxa"/>
            </w:tcMar>
            <w:vAlign w:val="top"/>
          </w:tcPr>
          <w:p>
            <w:r>
              <w:t>Govardhana-vāsa-prārthanā-daśakam</w:t>
            </w:r>
          </w:p>
        </w:tc>
        <w:tc>
          <w:tcPr>
            <w:tcW w:type="dxa" w:w="2541"/>
            <w:tcMar>
              <w:top w:w="50" w:type="dxa"/>
              <w:start w:w="58" w:type="dxa"/>
              <w:bottom w:w="50" w:type="dxa"/>
              <w:end w:w="58" w:type="dxa"/>
            </w:tcMar>
            <w:vAlign w:val="top"/>
          </w:tcPr>
          <w:p>
            <w:r>
              <w:t>Repeated plea: nija-nikaṭa-nivāsaṁ dehi govardhana tvam — grant me residence near you.</w:t>
            </w:r>
          </w:p>
        </w:tc>
        <w:tc>
          <w:tcPr>
            <w:tcW w:type="dxa" w:w="2541"/>
            <w:tcMar>
              <w:top w:w="50" w:type="dxa"/>
              <w:start w:w="58" w:type="dxa"/>
              <w:bottom w:w="50" w:type="dxa"/>
              <w:end w:w="58" w:type="dxa"/>
            </w:tcMar>
            <w:vAlign w:val="top"/>
          </w:tcPr>
          <w:p>
            <w:r>
              <w:t>Residence / Govardhana</w:t>
            </w:r>
          </w:p>
        </w:tc>
      </w:tr>
      <w:tr>
        <w:trPr>
          <w:cantSplit w:val="1"/>
        </w:trPr>
        <w:tc>
          <w:tcPr>
            <w:tcW w:type="dxa" w:w="2541"/>
            <w:tcMar>
              <w:top w:w="50" w:type="dxa"/>
              <w:start w:w="58" w:type="dxa"/>
              <w:bottom w:w="50" w:type="dxa"/>
              <w:end w:w="58" w:type="dxa"/>
            </w:tcMar>
            <w:vAlign w:val="top"/>
          </w:tcPr>
          <w:p>
            <w:r>
              <w:t>7</w:t>
            </w:r>
          </w:p>
        </w:tc>
        <w:tc>
          <w:tcPr>
            <w:tcW w:type="dxa" w:w="2541"/>
            <w:tcMar>
              <w:top w:w="50" w:type="dxa"/>
              <w:start w:w="58" w:type="dxa"/>
              <w:bottom w:w="50" w:type="dxa"/>
              <w:end w:w="58" w:type="dxa"/>
            </w:tcMar>
            <w:vAlign w:val="top"/>
          </w:tcPr>
          <w:p>
            <w:r>
              <w:t>Rādhā-kuṇḍāṣṭakam</w:t>
            </w:r>
          </w:p>
        </w:tc>
        <w:tc>
          <w:tcPr>
            <w:tcW w:type="dxa" w:w="2541"/>
            <w:tcMar>
              <w:top w:w="50" w:type="dxa"/>
              <w:start w:w="58" w:type="dxa"/>
              <w:bottom w:w="50" w:type="dxa"/>
              <w:end w:w="58" w:type="dxa"/>
            </w:tcMar>
            <w:vAlign w:val="top"/>
          </w:tcPr>
          <w:p>
            <w:r>
              <w:t>The kuṇḍa as manifestation, prema, service, named kuñjas, daily līlā, and shelter.</w:t>
            </w:r>
          </w:p>
        </w:tc>
        <w:tc>
          <w:tcPr>
            <w:tcW w:type="dxa" w:w="2541"/>
            <w:tcMar>
              <w:top w:w="50" w:type="dxa"/>
              <w:start w:w="58" w:type="dxa"/>
              <w:bottom w:w="50" w:type="dxa"/>
              <w:end w:w="58" w:type="dxa"/>
            </w:tcMar>
            <w:vAlign w:val="top"/>
          </w:tcPr>
          <w:p>
            <w:r>
              <w:t>Rādhā-kuṇḍa theology</w:t>
            </w:r>
          </w:p>
        </w:tc>
      </w:tr>
      <w:tr>
        <w:trPr>
          <w:cantSplit w:val="1"/>
        </w:trPr>
        <w:tc>
          <w:tcPr>
            <w:tcW w:type="dxa" w:w="2541"/>
            <w:tcMar>
              <w:top w:w="50" w:type="dxa"/>
              <w:start w:w="58" w:type="dxa"/>
              <w:bottom w:w="50" w:type="dxa"/>
              <w:end w:w="58" w:type="dxa"/>
            </w:tcMar>
            <w:vAlign w:val="top"/>
          </w:tcPr>
          <w:p>
            <w:r>
              <w:t>8</w:t>
            </w:r>
          </w:p>
        </w:tc>
        <w:tc>
          <w:tcPr>
            <w:tcW w:type="dxa" w:w="2541"/>
            <w:tcMar>
              <w:top w:w="50" w:type="dxa"/>
              <w:start w:w="58" w:type="dxa"/>
              <w:bottom w:w="50" w:type="dxa"/>
              <w:end w:w="58" w:type="dxa"/>
            </w:tcMar>
            <w:vAlign w:val="top"/>
          </w:tcPr>
          <w:p>
            <w:r>
              <w:t>Vilāpa-kusumāñjaliḥ</w:t>
            </w:r>
          </w:p>
        </w:tc>
        <w:tc>
          <w:tcPr>
            <w:tcW w:type="dxa" w:w="2541"/>
            <w:tcMar>
              <w:top w:w="50" w:type="dxa"/>
              <w:start w:w="58" w:type="dxa"/>
              <w:bottom w:w="50" w:type="dxa"/>
              <w:end w:w="58" w:type="dxa"/>
            </w:tcMar>
            <w:vAlign w:val="top"/>
          </w:tcPr>
          <w:p>
            <w:r>
              <w:t>The major cry of Rādhā-dāsya and viraha; includes Rūpa Mañjarī, Rati Mañjarī, Yadunandana, Caitanya, Svarūpa and Sanātana in its opening movement.</w:t>
            </w:r>
          </w:p>
        </w:tc>
        <w:tc>
          <w:tcPr>
            <w:tcW w:type="dxa" w:w="2541"/>
            <w:tcMar>
              <w:top w:w="50" w:type="dxa"/>
              <w:start w:w="58" w:type="dxa"/>
              <w:bottom w:w="50" w:type="dxa"/>
              <w:end w:w="58" w:type="dxa"/>
            </w:tcMar>
            <w:vAlign w:val="top"/>
          </w:tcPr>
          <w:p>
            <w:r>
              <w:t>Rādhā-dāsya / autobiography</w:t>
            </w:r>
          </w:p>
        </w:tc>
      </w:tr>
      <w:tr>
        <w:trPr>
          <w:cantSplit w:val="1"/>
        </w:trPr>
        <w:tc>
          <w:tcPr>
            <w:tcW w:type="dxa" w:w="2541"/>
            <w:tcMar>
              <w:top w:w="50" w:type="dxa"/>
              <w:start w:w="58" w:type="dxa"/>
              <w:bottom w:w="50" w:type="dxa"/>
              <w:end w:w="58" w:type="dxa"/>
            </w:tcMar>
            <w:vAlign w:val="top"/>
          </w:tcPr>
          <w:p>
            <w:r>
              <w:t>9</w:t>
            </w:r>
          </w:p>
        </w:tc>
        <w:tc>
          <w:tcPr>
            <w:tcW w:type="dxa" w:w="2541"/>
            <w:tcMar>
              <w:top w:w="50" w:type="dxa"/>
              <w:start w:w="58" w:type="dxa"/>
              <w:bottom w:w="50" w:type="dxa"/>
              <w:end w:w="58" w:type="dxa"/>
            </w:tcMar>
            <w:vAlign w:val="top"/>
          </w:tcPr>
          <w:p>
            <w:r>
              <w:t>Vraja-vilāsa-stava</w:t>
            </w:r>
          </w:p>
        </w:tc>
        <w:tc>
          <w:tcPr>
            <w:tcW w:type="dxa" w:w="2541"/>
            <w:tcMar>
              <w:top w:w="50" w:type="dxa"/>
              <w:start w:w="58" w:type="dxa"/>
              <w:bottom w:w="50" w:type="dxa"/>
              <w:end w:w="58" w:type="dxa"/>
            </w:tcMar>
            <w:vAlign w:val="top"/>
          </w:tcPr>
          <w:p>
            <w:r>
              <w:t>Large sacred-person-and-place litany; an early textual map of Vraja and its service relationships.</w:t>
            </w:r>
          </w:p>
        </w:tc>
        <w:tc>
          <w:tcPr>
            <w:tcW w:type="dxa" w:w="2541"/>
            <w:tcMar>
              <w:top w:w="50" w:type="dxa"/>
              <w:start w:w="58" w:type="dxa"/>
              <w:bottom w:w="50" w:type="dxa"/>
              <w:end w:w="58" w:type="dxa"/>
            </w:tcMar>
            <w:vAlign w:val="top"/>
          </w:tcPr>
          <w:p>
            <w:r>
              <w:t>Sacred geography</w:t>
            </w:r>
          </w:p>
        </w:tc>
      </w:tr>
      <w:tr>
        <w:trPr>
          <w:cantSplit w:val="1"/>
        </w:trPr>
        <w:tc>
          <w:tcPr>
            <w:tcW w:type="dxa" w:w="2541"/>
            <w:tcMar>
              <w:top w:w="50" w:type="dxa"/>
              <w:start w:w="58" w:type="dxa"/>
              <w:bottom w:w="50" w:type="dxa"/>
              <w:end w:w="58" w:type="dxa"/>
            </w:tcMar>
            <w:vAlign w:val="top"/>
          </w:tcPr>
          <w:p>
            <w:r>
              <w:t>10</w:t>
            </w:r>
          </w:p>
        </w:tc>
        <w:tc>
          <w:tcPr>
            <w:tcW w:type="dxa" w:w="2541"/>
            <w:tcMar>
              <w:top w:w="50" w:type="dxa"/>
              <w:start w:w="58" w:type="dxa"/>
              <w:bottom w:w="50" w:type="dxa"/>
              <w:end w:w="58" w:type="dxa"/>
            </w:tcMar>
            <w:vAlign w:val="top"/>
          </w:tcPr>
          <w:p>
            <w:r>
              <w:t>Rādhikāyāḥ Prema-pūrābhidha-stotram</w:t>
            </w:r>
          </w:p>
        </w:tc>
        <w:tc>
          <w:tcPr>
            <w:tcW w:type="dxa" w:w="2541"/>
            <w:tcMar>
              <w:top w:w="50" w:type="dxa"/>
              <w:start w:w="58" w:type="dxa"/>
              <w:bottom w:w="50" w:type="dxa"/>
              <w:end w:w="58" w:type="dxa"/>
            </w:tcMar>
            <w:vAlign w:val="top"/>
          </w:tcPr>
          <w:p>
            <w:r>
              <w:t>Rādhā-centered praise of the flooding abundance of prema.</w:t>
            </w:r>
          </w:p>
        </w:tc>
        <w:tc>
          <w:tcPr>
            <w:tcW w:type="dxa" w:w="2541"/>
            <w:tcMar>
              <w:top w:w="50" w:type="dxa"/>
              <w:start w:w="58" w:type="dxa"/>
              <w:bottom w:w="50" w:type="dxa"/>
              <w:end w:w="58" w:type="dxa"/>
            </w:tcMar>
            <w:vAlign w:val="top"/>
          </w:tcPr>
          <w:p>
            <w:r>
              <w:t>Rādhā theology</w:t>
            </w:r>
          </w:p>
        </w:tc>
      </w:tr>
      <w:tr>
        <w:trPr>
          <w:cantSplit w:val="1"/>
        </w:trPr>
        <w:tc>
          <w:tcPr>
            <w:tcW w:type="dxa" w:w="2541"/>
            <w:tcMar>
              <w:top w:w="50" w:type="dxa"/>
              <w:start w:w="58" w:type="dxa"/>
              <w:bottom w:w="50" w:type="dxa"/>
              <w:end w:w="58" w:type="dxa"/>
            </w:tcMar>
            <w:vAlign w:val="top"/>
          </w:tcPr>
          <w:p>
            <w:r>
              <w:t>11</w:t>
            </w:r>
          </w:p>
        </w:tc>
        <w:tc>
          <w:tcPr>
            <w:tcW w:type="dxa" w:w="2541"/>
            <w:tcMar>
              <w:top w:w="50" w:type="dxa"/>
              <w:start w:w="58" w:type="dxa"/>
              <w:bottom w:w="50" w:type="dxa"/>
              <w:end w:w="58" w:type="dxa"/>
            </w:tcMar>
            <w:vAlign w:val="top"/>
          </w:tcPr>
          <w:p>
            <w:r>
              <w:t>Granthakartuḥ Prārthanā</w:t>
            </w:r>
          </w:p>
        </w:tc>
        <w:tc>
          <w:tcPr>
            <w:tcW w:type="dxa" w:w="2541"/>
            <w:tcMar>
              <w:top w:w="50" w:type="dxa"/>
              <w:start w:w="58" w:type="dxa"/>
              <w:bottom w:w="50" w:type="dxa"/>
              <w:end w:w="58" w:type="dxa"/>
            </w:tcMar>
            <w:vAlign w:val="top"/>
          </w:tcPr>
          <w:p>
            <w:r>
              <w:t>Prayer of the author/compiler voice.</w:t>
            </w:r>
          </w:p>
        </w:tc>
        <w:tc>
          <w:tcPr>
            <w:tcW w:type="dxa" w:w="2541"/>
            <w:tcMar>
              <w:top w:w="50" w:type="dxa"/>
              <w:start w:w="58" w:type="dxa"/>
              <w:bottom w:w="50" w:type="dxa"/>
              <w:end w:w="58" w:type="dxa"/>
            </w:tcMar>
            <w:vAlign w:val="top"/>
          </w:tcPr>
          <w:p>
            <w:r>
              <w:t>Authorial prayer</w:t>
            </w:r>
          </w:p>
        </w:tc>
      </w:tr>
      <w:tr>
        <w:trPr>
          <w:cantSplit w:val="1"/>
        </w:trPr>
        <w:tc>
          <w:tcPr>
            <w:tcW w:type="dxa" w:w="2541"/>
            <w:tcMar>
              <w:top w:w="50" w:type="dxa"/>
              <w:start w:w="58" w:type="dxa"/>
              <w:bottom w:w="50" w:type="dxa"/>
              <w:end w:w="58" w:type="dxa"/>
            </w:tcMar>
            <w:vAlign w:val="top"/>
          </w:tcPr>
          <w:p>
            <w:r>
              <w:t>12</w:t>
            </w:r>
          </w:p>
        </w:tc>
        <w:tc>
          <w:tcPr>
            <w:tcW w:type="dxa" w:w="2541"/>
            <w:tcMar>
              <w:top w:w="50" w:type="dxa"/>
              <w:start w:w="58" w:type="dxa"/>
              <w:bottom w:w="50" w:type="dxa"/>
              <w:end w:w="58" w:type="dxa"/>
            </w:tcMar>
            <w:vAlign w:val="top"/>
          </w:tcPr>
          <w:p>
            <w:r>
              <w:t>Sva-niyama-daśakam</w:t>
            </w:r>
          </w:p>
        </w:tc>
        <w:tc>
          <w:tcPr>
            <w:tcW w:type="dxa" w:w="2541"/>
            <w:tcMar>
              <w:top w:w="50" w:type="dxa"/>
              <w:start w:w="58" w:type="dxa"/>
              <w:bottom w:w="50" w:type="dxa"/>
              <w:end w:w="58" w:type="dxa"/>
            </w:tcMar>
            <w:vAlign w:val="top"/>
          </w:tcPr>
          <w:p>
            <w:r>
              <w:t>Personal vows: association, exclusive Rādhā-Kṛṣṇa orientation, Vraja-produced necessities, residence at Īśā-kuṇḍa/Govardhana, death-wish at the beloved lake.</w:t>
            </w:r>
          </w:p>
        </w:tc>
        <w:tc>
          <w:tcPr>
            <w:tcW w:type="dxa" w:w="2541"/>
            <w:tcMar>
              <w:top w:w="50" w:type="dxa"/>
              <w:start w:w="58" w:type="dxa"/>
              <w:bottom w:w="50" w:type="dxa"/>
              <w:end w:w="58" w:type="dxa"/>
            </w:tcMar>
            <w:vAlign w:val="top"/>
          </w:tcPr>
          <w:p>
            <w:r>
              <w:t>Self-rule / residence</w:t>
            </w:r>
          </w:p>
        </w:tc>
      </w:tr>
      <w:tr>
        <w:trPr>
          <w:cantSplit w:val="1"/>
        </w:trPr>
        <w:tc>
          <w:tcPr>
            <w:tcW w:type="dxa" w:w="2541"/>
            <w:tcMar>
              <w:top w:w="50" w:type="dxa"/>
              <w:start w:w="58" w:type="dxa"/>
              <w:bottom w:w="50" w:type="dxa"/>
              <w:end w:w="58" w:type="dxa"/>
            </w:tcMar>
            <w:vAlign w:val="top"/>
          </w:tcPr>
          <w:p>
            <w:r>
              <w:t>13</w:t>
            </w:r>
          </w:p>
        </w:tc>
        <w:tc>
          <w:tcPr>
            <w:tcW w:type="dxa" w:w="2541"/>
            <w:tcMar>
              <w:top w:w="50" w:type="dxa"/>
              <w:start w:w="58" w:type="dxa"/>
              <w:bottom w:w="50" w:type="dxa"/>
              <w:end w:w="58" w:type="dxa"/>
            </w:tcMar>
            <w:vAlign w:val="top"/>
          </w:tcPr>
          <w:p>
            <w:r>
              <w:t>Rādhikāṣṭottara-śata-nāma-stotram</w:t>
            </w:r>
          </w:p>
        </w:tc>
        <w:tc>
          <w:tcPr>
            <w:tcW w:type="dxa" w:w="2541"/>
            <w:tcMar>
              <w:top w:w="50" w:type="dxa"/>
              <w:start w:w="58" w:type="dxa"/>
              <w:bottom w:w="50" w:type="dxa"/>
              <w:end w:w="58" w:type="dxa"/>
            </w:tcMar>
            <w:vAlign w:val="top"/>
          </w:tcPr>
          <w:p>
            <w:r>
              <w:t>Rādhā’s names and relational identities; strong Rādhā-kuṇḍa and service vocabulary.</w:t>
            </w:r>
          </w:p>
        </w:tc>
        <w:tc>
          <w:tcPr>
            <w:tcW w:type="dxa" w:w="2541"/>
            <w:tcMar>
              <w:top w:w="50" w:type="dxa"/>
              <w:start w:w="58" w:type="dxa"/>
              <w:bottom w:w="50" w:type="dxa"/>
              <w:end w:w="58" w:type="dxa"/>
            </w:tcMar>
            <w:vAlign w:val="top"/>
          </w:tcPr>
          <w:p>
            <w:r>
              <w:t>Rādhā names</w:t>
            </w:r>
          </w:p>
        </w:tc>
      </w:tr>
      <w:tr>
        <w:trPr>
          <w:cantSplit w:val="1"/>
        </w:trPr>
        <w:tc>
          <w:tcPr>
            <w:tcW w:type="dxa" w:w="2541"/>
            <w:tcMar>
              <w:top w:w="50" w:type="dxa"/>
              <w:start w:w="58" w:type="dxa"/>
              <w:bottom w:w="50" w:type="dxa"/>
              <w:end w:w="58" w:type="dxa"/>
            </w:tcMar>
            <w:vAlign w:val="top"/>
          </w:tcPr>
          <w:p>
            <w:r>
              <w:t>14</w:t>
            </w:r>
          </w:p>
        </w:tc>
        <w:tc>
          <w:tcPr>
            <w:tcW w:type="dxa" w:w="2541"/>
            <w:tcMar>
              <w:top w:w="50" w:type="dxa"/>
              <w:start w:w="58" w:type="dxa"/>
              <w:bottom w:w="50" w:type="dxa"/>
              <w:end w:w="58" w:type="dxa"/>
            </w:tcMar>
            <w:vAlign w:val="top"/>
          </w:tcPr>
          <w:p>
            <w:r>
              <w:t>Premāmbhoja-marandākhya Stava-rāja</w:t>
            </w:r>
          </w:p>
        </w:tc>
        <w:tc>
          <w:tcPr>
            <w:tcW w:type="dxa" w:w="2541"/>
            <w:tcMar>
              <w:top w:w="50" w:type="dxa"/>
              <w:start w:w="58" w:type="dxa"/>
              <w:bottom w:w="50" w:type="dxa"/>
              <w:end w:w="58" w:type="dxa"/>
            </w:tcMar>
            <w:vAlign w:val="top"/>
          </w:tcPr>
          <w:p>
            <w:r>
              <w:t>Dense contemplation of Rādhā’s bhāva, beauty, intimate service and dāsya.</w:t>
            </w:r>
          </w:p>
        </w:tc>
        <w:tc>
          <w:tcPr>
            <w:tcW w:type="dxa" w:w="2541"/>
            <w:tcMar>
              <w:top w:w="50" w:type="dxa"/>
              <w:start w:w="58" w:type="dxa"/>
              <w:bottom w:w="50" w:type="dxa"/>
              <w:end w:w="58" w:type="dxa"/>
            </w:tcMar>
            <w:vAlign w:val="top"/>
          </w:tcPr>
          <w:p>
            <w:r>
              <w:t>Rādhā-dāsya</w:t>
            </w:r>
          </w:p>
        </w:tc>
      </w:tr>
      <w:tr>
        <w:trPr>
          <w:cantSplit w:val="1"/>
        </w:trPr>
        <w:tc>
          <w:tcPr>
            <w:tcW w:type="dxa" w:w="2541"/>
            <w:tcMar>
              <w:top w:w="50" w:type="dxa"/>
              <w:start w:w="58" w:type="dxa"/>
              <w:bottom w:w="50" w:type="dxa"/>
              <w:end w:w="58" w:type="dxa"/>
            </w:tcMar>
            <w:vAlign w:val="top"/>
          </w:tcPr>
          <w:p>
            <w:r>
              <w:t>15</w:t>
            </w:r>
          </w:p>
        </w:tc>
        <w:tc>
          <w:tcPr>
            <w:tcW w:type="dxa" w:w="2541"/>
            <w:tcMar>
              <w:top w:w="50" w:type="dxa"/>
              <w:start w:w="58" w:type="dxa"/>
              <w:bottom w:w="50" w:type="dxa"/>
              <w:end w:w="58" w:type="dxa"/>
            </w:tcMar>
            <w:vAlign w:val="top"/>
          </w:tcPr>
          <w:p>
            <w:r>
              <w:t>Sva-saṅkalpa-prakāśa-stotram</w:t>
            </w:r>
          </w:p>
        </w:tc>
        <w:tc>
          <w:tcPr>
            <w:tcW w:type="dxa" w:w="2541"/>
            <w:tcMar>
              <w:top w:w="50" w:type="dxa"/>
              <w:start w:w="58" w:type="dxa"/>
              <w:bottom w:w="50" w:type="dxa"/>
              <w:end w:w="58" w:type="dxa"/>
            </w:tcMar>
            <w:vAlign w:val="top"/>
          </w:tcPr>
          <w:p>
            <w:r>
              <w:t>Reveals service resolutions: learning arts from sakhīs, cooking, decorating, message-carrying, kuñja-service.</w:t>
            </w:r>
          </w:p>
        </w:tc>
        <w:tc>
          <w:tcPr>
            <w:tcW w:type="dxa" w:w="2541"/>
            <w:tcMar>
              <w:top w:w="50" w:type="dxa"/>
              <w:start w:w="58" w:type="dxa"/>
              <w:bottom w:w="50" w:type="dxa"/>
              <w:end w:w="58" w:type="dxa"/>
            </w:tcMar>
            <w:vAlign w:val="top"/>
          </w:tcPr>
          <w:p>
            <w:r>
              <w:t>Service charter</w:t>
            </w:r>
          </w:p>
        </w:tc>
      </w:tr>
      <w:tr>
        <w:trPr>
          <w:cantSplit w:val="1"/>
        </w:trPr>
        <w:tc>
          <w:tcPr>
            <w:tcW w:type="dxa" w:w="2541"/>
            <w:tcMar>
              <w:top w:w="50" w:type="dxa"/>
              <w:start w:w="58" w:type="dxa"/>
              <w:bottom w:w="50" w:type="dxa"/>
              <w:end w:w="58" w:type="dxa"/>
            </w:tcMar>
            <w:vAlign w:val="top"/>
          </w:tcPr>
          <w:p>
            <w:r>
              <w:t>16</w:t>
            </w:r>
          </w:p>
        </w:tc>
        <w:tc>
          <w:tcPr>
            <w:tcW w:type="dxa" w:w="2541"/>
            <w:tcMar>
              <w:top w:w="50" w:type="dxa"/>
              <w:start w:w="58" w:type="dxa"/>
              <w:bottom w:w="50" w:type="dxa"/>
              <w:end w:w="58" w:type="dxa"/>
            </w:tcMar>
            <w:vAlign w:val="top"/>
          </w:tcPr>
          <w:p>
            <w:r>
              <w:t>Prārthanāmṛta-stotra</w:t>
            </w:r>
          </w:p>
        </w:tc>
        <w:tc>
          <w:tcPr>
            <w:tcW w:type="dxa" w:w="2541"/>
            <w:tcMar>
              <w:top w:w="50" w:type="dxa"/>
              <w:start w:w="58" w:type="dxa"/>
              <w:bottom w:w="50" w:type="dxa"/>
              <w:end w:w="58" w:type="dxa"/>
            </w:tcMar>
            <w:vAlign w:val="top"/>
          </w:tcPr>
          <w:p>
            <w:r>
              <w:t>Begins with longing for service to the feet of Śrī Rūpa and Rati Mañjarīs and unfolds intimate līlā-smaraṇa.</w:t>
            </w:r>
          </w:p>
        </w:tc>
        <w:tc>
          <w:tcPr>
            <w:tcW w:type="dxa" w:w="2541"/>
            <w:tcMar>
              <w:top w:w="50" w:type="dxa"/>
              <w:start w:w="58" w:type="dxa"/>
              <w:bottom w:w="50" w:type="dxa"/>
              <w:end w:w="58" w:type="dxa"/>
            </w:tcMar>
            <w:vAlign w:val="top"/>
          </w:tcPr>
          <w:p>
            <w:r>
              <w:t>Rūpa/Rati / Vraja</w:t>
            </w:r>
          </w:p>
        </w:tc>
      </w:tr>
      <w:tr>
        <w:trPr>
          <w:cantSplit w:val="1"/>
        </w:trPr>
        <w:tc>
          <w:tcPr>
            <w:tcW w:type="dxa" w:w="2541"/>
            <w:tcMar>
              <w:top w:w="50" w:type="dxa"/>
              <w:start w:w="58" w:type="dxa"/>
              <w:bottom w:w="50" w:type="dxa"/>
              <w:end w:w="58" w:type="dxa"/>
            </w:tcMar>
            <w:vAlign w:val="top"/>
          </w:tcPr>
          <w:p>
            <w:r>
              <w:t>17</w:t>
            </w:r>
          </w:p>
        </w:tc>
        <w:tc>
          <w:tcPr>
            <w:tcW w:type="dxa" w:w="2541"/>
            <w:tcMar>
              <w:top w:w="50" w:type="dxa"/>
              <w:start w:w="58" w:type="dxa"/>
              <w:bottom w:w="50" w:type="dxa"/>
              <w:end w:w="58" w:type="dxa"/>
            </w:tcMar>
            <w:vAlign w:val="top"/>
          </w:tcPr>
          <w:p>
            <w:r>
              <w:t>Rādhikāṣṭakam</w:t>
            </w:r>
          </w:p>
        </w:tc>
        <w:tc>
          <w:tcPr>
            <w:tcW w:type="dxa" w:w="2541"/>
            <w:tcMar>
              <w:top w:w="50" w:type="dxa"/>
              <w:start w:w="58" w:type="dxa"/>
              <w:bottom w:w="50" w:type="dxa"/>
              <w:end w:w="58" w:type="dxa"/>
            </w:tcMar>
            <w:vAlign w:val="top"/>
          </w:tcPr>
          <w:p>
            <w:r>
              <w:t>Praise of Rādhā’s form, qualities and supremacy.</w:t>
            </w:r>
          </w:p>
        </w:tc>
        <w:tc>
          <w:tcPr>
            <w:tcW w:type="dxa" w:w="2541"/>
            <w:tcMar>
              <w:top w:w="50" w:type="dxa"/>
              <w:start w:w="58" w:type="dxa"/>
              <w:bottom w:w="50" w:type="dxa"/>
              <w:end w:w="58" w:type="dxa"/>
            </w:tcMar>
            <w:vAlign w:val="top"/>
          </w:tcPr>
          <w:p>
            <w:r>
              <w:t>Rādhā praise</w:t>
            </w:r>
          </w:p>
        </w:tc>
      </w:tr>
      <w:tr>
        <w:trPr>
          <w:cantSplit w:val="1"/>
        </w:trPr>
        <w:tc>
          <w:tcPr>
            <w:tcW w:type="dxa" w:w="2541"/>
            <w:tcMar>
              <w:top w:w="50" w:type="dxa"/>
              <w:start w:w="58" w:type="dxa"/>
              <w:bottom w:w="50" w:type="dxa"/>
              <w:end w:w="58" w:type="dxa"/>
            </w:tcMar>
            <w:vAlign w:val="top"/>
          </w:tcPr>
          <w:p>
            <w:r>
              <w:t>18</w:t>
            </w:r>
          </w:p>
        </w:tc>
        <w:tc>
          <w:tcPr>
            <w:tcW w:type="dxa" w:w="2541"/>
            <w:tcMar>
              <w:top w:w="50" w:type="dxa"/>
              <w:start w:w="58" w:type="dxa"/>
              <w:bottom w:w="50" w:type="dxa"/>
              <w:end w:w="58" w:type="dxa"/>
            </w:tcMar>
            <w:vAlign w:val="top"/>
          </w:tcPr>
          <w:p>
            <w:r>
              <w:t>Gāndharvā-samprārthanāṣṭakam</w:t>
            </w:r>
          </w:p>
        </w:tc>
        <w:tc>
          <w:tcPr>
            <w:tcW w:type="dxa" w:w="2541"/>
            <w:tcMar>
              <w:top w:w="50" w:type="dxa"/>
              <w:start w:w="58" w:type="dxa"/>
              <w:bottom w:w="50" w:type="dxa"/>
              <w:end w:w="58" w:type="dxa"/>
            </w:tcMar>
            <w:vAlign w:val="top"/>
          </w:tcPr>
          <w:p>
            <w:r>
              <w:t>One of the most direct prayers for Rādhā’s mercy and personal service.</w:t>
            </w:r>
          </w:p>
        </w:tc>
        <w:tc>
          <w:tcPr>
            <w:tcW w:type="dxa" w:w="2541"/>
            <w:tcMar>
              <w:top w:w="50" w:type="dxa"/>
              <w:start w:w="58" w:type="dxa"/>
              <w:bottom w:w="50" w:type="dxa"/>
              <w:end w:w="58" w:type="dxa"/>
            </w:tcMar>
            <w:vAlign w:val="top"/>
          </w:tcPr>
          <w:p>
            <w:r>
              <w:t>Rādhā-dāsya</w:t>
            </w:r>
          </w:p>
        </w:tc>
      </w:tr>
      <w:tr>
        <w:trPr>
          <w:cantSplit w:val="1"/>
        </w:trPr>
        <w:tc>
          <w:tcPr>
            <w:tcW w:type="dxa" w:w="2541"/>
            <w:tcMar>
              <w:top w:w="50" w:type="dxa"/>
              <w:start w:w="58" w:type="dxa"/>
              <w:bottom w:w="50" w:type="dxa"/>
              <w:end w:w="58" w:type="dxa"/>
            </w:tcMar>
            <w:vAlign w:val="top"/>
          </w:tcPr>
          <w:p>
            <w:r>
              <w:t>19</w:t>
            </w:r>
          </w:p>
        </w:tc>
        <w:tc>
          <w:tcPr>
            <w:tcW w:type="dxa" w:w="2541"/>
            <w:tcMar>
              <w:top w:w="50" w:type="dxa"/>
              <w:start w:w="58" w:type="dxa"/>
              <w:bottom w:w="50" w:type="dxa"/>
              <w:end w:w="58" w:type="dxa"/>
            </w:tcMar>
            <w:vAlign w:val="top"/>
          </w:tcPr>
          <w:p>
            <w:r>
              <w:t>Rādhā-Kṛṣṇojjvala-kusuma-keliḥ</w:t>
            </w:r>
          </w:p>
        </w:tc>
        <w:tc>
          <w:tcPr>
            <w:tcW w:type="dxa" w:w="2541"/>
            <w:tcMar>
              <w:top w:w="50" w:type="dxa"/>
              <w:start w:w="58" w:type="dxa"/>
              <w:bottom w:w="50" w:type="dxa"/>
              <w:end w:w="58" w:type="dxa"/>
            </w:tcMar>
            <w:vAlign w:val="top"/>
          </w:tcPr>
          <w:p>
            <w:r>
              <w:t>Extended flower-pastime composition; playful dialogue and literary artistry.</w:t>
            </w:r>
          </w:p>
        </w:tc>
        <w:tc>
          <w:tcPr>
            <w:tcW w:type="dxa" w:w="2541"/>
            <w:tcMar>
              <w:top w:w="50" w:type="dxa"/>
              <w:start w:w="58" w:type="dxa"/>
              <w:bottom w:w="50" w:type="dxa"/>
              <w:end w:w="58" w:type="dxa"/>
            </w:tcMar>
            <w:vAlign w:val="top"/>
          </w:tcPr>
          <w:p>
            <w:r>
              <w:t>Līlā-kāvya</w:t>
            </w:r>
          </w:p>
        </w:tc>
      </w:tr>
      <w:tr>
        <w:trPr>
          <w:cantSplit w:val="1"/>
        </w:trPr>
        <w:tc>
          <w:tcPr>
            <w:tcW w:type="dxa" w:w="2541"/>
            <w:tcMar>
              <w:top w:w="50" w:type="dxa"/>
              <w:start w:w="58" w:type="dxa"/>
              <w:bottom w:w="50" w:type="dxa"/>
              <w:end w:w="58" w:type="dxa"/>
            </w:tcMar>
            <w:vAlign w:val="top"/>
          </w:tcPr>
          <w:p>
            <w:r>
              <w:t>20</w:t>
            </w:r>
          </w:p>
        </w:tc>
        <w:tc>
          <w:tcPr>
            <w:tcW w:type="dxa" w:w="2541"/>
            <w:tcMar>
              <w:top w:w="50" w:type="dxa"/>
              <w:start w:w="58" w:type="dxa"/>
              <w:bottom w:w="50" w:type="dxa"/>
              <w:end w:w="58" w:type="dxa"/>
            </w:tcMar>
            <w:vAlign w:val="top"/>
          </w:tcPr>
          <w:p>
            <w:r>
              <w:t>Navāṣṭakam</w:t>
            </w:r>
          </w:p>
        </w:tc>
        <w:tc>
          <w:tcPr>
            <w:tcW w:type="dxa" w:w="2541"/>
            <w:tcMar>
              <w:top w:w="50" w:type="dxa"/>
              <w:start w:w="58" w:type="dxa"/>
              <w:bottom w:w="50" w:type="dxa"/>
              <w:end w:w="58" w:type="dxa"/>
            </w:tcMar>
            <w:vAlign w:val="top"/>
          </w:tcPr>
          <w:p>
            <w:r>
              <w:t>Eight-verse praise beginning with Rādhā as Goṣṭhavaneśvarī and Kṛṣṇa’s dearest.</w:t>
            </w:r>
          </w:p>
        </w:tc>
        <w:tc>
          <w:tcPr>
            <w:tcW w:type="dxa" w:w="2541"/>
            <w:tcMar>
              <w:top w:w="50" w:type="dxa"/>
              <w:start w:w="58" w:type="dxa"/>
              <w:bottom w:w="50" w:type="dxa"/>
              <w:end w:w="58" w:type="dxa"/>
            </w:tcMar>
            <w:vAlign w:val="top"/>
          </w:tcPr>
          <w:p>
            <w:r>
              <w:t>Praise</w:t>
            </w:r>
          </w:p>
        </w:tc>
      </w:tr>
      <w:tr>
        <w:trPr>
          <w:cantSplit w:val="1"/>
        </w:trPr>
        <w:tc>
          <w:tcPr>
            <w:tcW w:type="dxa" w:w="2541"/>
            <w:tcMar>
              <w:top w:w="50" w:type="dxa"/>
              <w:start w:w="58" w:type="dxa"/>
              <w:bottom w:w="50" w:type="dxa"/>
              <w:end w:w="58" w:type="dxa"/>
            </w:tcMar>
            <w:vAlign w:val="top"/>
          </w:tcPr>
          <w:p>
            <w:r>
              <w:t>21</w:t>
            </w:r>
          </w:p>
        </w:tc>
        <w:tc>
          <w:tcPr>
            <w:tcW w:type="dxa" w:w="2541"/>
            <w:tcMar>
              <w:top w:w="50" w:type="dxa"/>
              <w:start w:w="58" w:type="dxa"/>
              <w:bottom w:w="50" w:type="dxa"/>
              <w:end w:w="58" w:type="dxa"/>
            </w:tcMar>
            <w:vAlign w:val="top"/>
          </w:tcPr>
          <w:p>
            <w:r>
              <w:t>Gopāla-rāja-stotra</w:t>
            </w:r>
          </w:p>
        </w:tc>
        <w:tc>
          <w:tcPr>
            <w:tcW w:type="dxa" w:w="2541"/>
            <w:tcMar>
              <w:top w:w="50" w:type="dxa"/>
              <w:start w:w="58" w:type="dxa"/>
              <w:bottom w:w="50" w:type="dxa"/>
              <w:end w:w="58" w:type="dxa"/>
            </w:tcMar>
            <w:vAlign w:val="top"/>
          </w:tcPr>
          <w:p>
            <w:r>
              <w:t>Praise of Kṛṣṇa in Vraja.</w:t>
            </w:r>
          </w:p>
        </w:tc>
        <w:tc>
          <w:tcPr>
            <w:tcW w:type="dxa" w:w="2541"/>
            <w:tcMar>
              <w:top w:w="50" w:type="dxa"/>
              <w:start w:w="58" w:type="dxa"/>
              <w:bottom w:w="50" w:type="dxa"/>
              <w:end w:w="58" w:type="dxa"/>
            </w:tcMar>
            <w:vAlign w:val="top"/>
          </w:tcPr>
          <w:p>
            <w:r>
              <w:t>Kṛṣṇa praise</w:t>
            </w:r>
          </w:p>
        </w:tc>
      </w:tr>
      <w:tr>
        <w:trPr>
          <w:cantSplit w:val="1"/>
        </w:trPr>
        <w:tc>
          <w:tcPr>
            <w:tcW w:type="dxa" w:w="2541"/>
            <w:tcMar>
              <w:top w:w="50" w:type="dxa"/>
              <w:start w:w="58" w:type="dxa"/>
              <w:bottom w:w="50" w:type="dxa"/>
              <w:end w:w="58" w:type="dxa"/>
            </w:tcMar>
            <w:vAlign w:val="top"/>
          </w:tcPr>
          <w:p>
            <w:r>
              <w:t>22</w:t>
            </w:r>
          </w:p>
        </w:tc>
        <w:tc>
          <w:tcPr>
            <w:tcW w:type="dxa" w:w="2541"/>
            <w:tcMar>
              <w:top w:w="50" w:type="dxa"/>
              <w:start w:w="58" w:type="dxa"/>
              <w:bottom w:w="50" w:type="dxa"/>
              <w:end w:w="58" w:type="dxa"/>
            </w:tcMar>
            <w:vAlign w:val="top"/>
          </w:tcPr>
          <w:p>
            <w:r>
              <w:t>Madana-gopāla-stotram</w:t>
            </w:r>
          </w:p>
        </w:tc>
        <w:tc>
          <w:tcPr>
            <w:tcW w:type="dxa" w:w="2541"/>
            <w:tcMar>
              <w:top w:w="50" w:type="dxa"/>
              <w:start w:w="58" w:type="dxa"/>
              <w:bottom w:w="50" w:type="dxa"/>
              <w:end w:w="58" w:type="dxa"/>
            </w:tcMar>
            <w:vAlign w:val="top"/>
          </w:tcPr>
          <w:p>
            <w:r>
              <w:t>Kṛṣṇa-centered praise in Vraja settings.</w:t>
            </w:r>
          </w:p>
        </w:tc>
        <w:tc>
          <w:tcPr>
            <w:tcW w:type="dxa" w:w="2541"/>
            <w:tcMar>
              <w:top w:w="50" w:type="dxa"/>
              <w:start w:w="58" w:type="dxa"/>
              <w:bottom w:w="50" w:type="dxa"/>
              <w:end w:w="58" w:type="dxa"/>
            </w:tcMar>
            <w:vAlign w:val="top"/>
          </w:tcPr>
          <w:p>
            <w:r>
              <w:t>Kṛṣṇa praise</w:t>
            </w:r>
          </w:p>
        </w:tc>
      </w:tr>
      <w:tr>
        <w:trPr>
          <w:cantSplit w:val="1"/>
        </w:trPr>
        <w:tc>
          <w:tcPr>
            <w:tcW w:type="dxa" w:w="2541"/>
            <w:tcMar>
              <w:top w:w="50" w:type="dxa"/>
              <w:start w:w="58" w:type="dxa"/>
              <w:bottom w:w="50" w:type="dxa"/>
              <w:end w:w="58" w:type="dxa"/>
            </w:tcMar>
            <w:vAlign w:val="top"/>
          </w:tcPr>
          <w:p>
            <w:r>
              <w:t>23</w:t>
            </w:r>
          </w:p>
        </w:tc>
        <w:tc>
          <w:tcPr>
            <w:tcW w:type="dxa" w:w="2541"/>
            <w:tcMar>
              <w:top w:w="50" w:type="dxa"/>
              <w:start w:w="58" w:type="dxa"/>
              <w:bottom w:w="50" w:type="dxa"/>
              <w:end w:w="58" w:type="dxa"/>
            </w:tcMar>
            <w:vAlign w:val="top"/>
          </w:tcPr>
          <w:p>
            <w:r>
              <w:t>Viśākhānandābhidha-stotram</w:t>
            </w:r>
          </w:p>
        </w:tc>
        <w:tc>
          <w:tcPr>
            <w:tcW w:type="dxa" w:w="2541"/>
            <w:tcMar>
              <w:top w:w="50" w:type="dxa"/>
              <w:start w:w="58" w:type="dxa"/>
              <w:bottom w:w="50" w:type="dxa"/>
              <w:end w:w="58" w:type="dxa"/>
            </w:tcMar>
            <w:vAlign w:val="top"/>
          </w:tcPr>
          <w:p>
            <w:r>
              <w:t>Large Rādhā-centered composition with intimate sakhī/service vocabulary.</w:t>
            </w:r>
          </w:p>
        </w:tc>
        <w:tc>
          <w:tcPr>
            <w:tcW w:type="dxa" w:w="2541"/>
            <w:tcMar>
              <w:top w:w="50" w:type="dxa"/>
              <w:start w:w="58" w:type="dxa"/>
              <w:bottom w:w="50" w:type="dxa"/>
              <w:end w:w="58" w:type="dxa"/>
            </w:tcMar>
            <w:vAlign w:val="top"/>
          </w:tcPr>
          <w:p>
            <w:r>
              <w:t>Sakhī-mediated service</w:t>
            </w:r>
          </w:p>
        </w:tc>
      </w:tr>
      <w:tr>
        <w:trPr>
          <w:cantSplit w:val="1"/>
        </w:trPr>
        <w:tc>
          <w:tcPr>
            <w:tcW w:type="dxa" w:w="2541"/>
            <w:tcMar>
              <w:top w:w="50" w:type="dxa"/>
              <w:start w:w="58" w:type="dxa"/>
              <w:bottom w:w="50" w:type="dxa"/>
              <w:end w:w="58" w:type="dxa"/>
            </w:tcMar>
            <w:vAlign w:val="top"/>
          </w:tcPr>
          <w:p>
            <w:r>
              <w:t>24</w:t>
            </w:r>
          </w:p>
        </w:tc>
        <w:tc>
          <w:tcPr>
            <w:tcW w:type="dxa" w:w="2541"/>
            <w:tcMar>
              <w:top w:w="50" w:type="dxa"/>
              <w:start w:w="58" w:type="dxa"/>
              <w:bottom w:w="50" w:type="dxa"/>
              <w:end w:w="58" w:type="dxa"/>
            </w:tcMar>
            <w:vAlign w:val="top"/>
          </w:tcPr>
          <w:p>
            <w:r>
              <w:t>Mukundāṣṭakam</w:t>
            </w:r>
          </w:p>
        </w:tc>
        <w:tc>
          <w:tcPr>
            <w:tcW w:type="dxa" w:w="2541"/>
            <w:tcMar>
              <w:top w:w="50" w:type="dxa"/>
              <w:start w:w="58" w:type="dxa"/>
              <w:bottom w:w="50" w:type="dxa"/>
              <w:end w:w="58" w:type="dxa"/>
            </w:tcMar>
            <w:vAlign w:val="top"/>
          </w:tcPr>
          <w:p>
            <w:r>
              <w:t>Eight-verse praise of Mukunda.</w:t>
            </w:r>
          </w:p>
        </w:tc>
        <w:tc>
          <w:tcPr>
            <w:tcW w:type="dxa" w:w="2541"/>
            <w:tcMar>
              <w:top w:w="50" w:type="dxa"/>
              <w:start w:w="58" w:type="dxa"/>
              <w:bottom w:w="50" w:type="dxa"/>
              <w:end w:w="58" w:type="dxa"/>
            </w:tcMar>
            <w:vAlign w:val="top"/>
          </w:tcPr>
          <w:p>
            <w:r>
              <w:t>Kṛṣṇa praise</w:t>
            </w:r>
          </w:p>
        </w:tc>
      </w:tr>
      <w:tr>
        <w:trPr>
          <w:cantSplit w:val="1"/>
        </w:trPr>
        <w:tc>
          <w:tcPr>
            <w:tcW w:type="dxa" w:w="2541"/>
            <w:tcMar>
              <w:top w:w="50" w:type="dxa"/>
              <w:start w:w="58" w:type="dxa"/>
              <w:bottom w:w="50" w:type="dxa"/>
              <w:end w:w="58" w:type="dxa"/>
            </w:tcMar>
            <w:vAlign w:val="top"/>
          </w:tcPr>
          <w:p>
            <w:r>
              <w:t>25</w:t>
            </w:r>
          </w:p>
        </w:tc>
        <w:tc>
          <w:tcPr>
            <w:tcW w:type="dxa" w:w="2541"/>
            <w:tcMar>
              <w:top w:w="50" w:type="dxa"/>
              <w:start w:w="58" w:type="dxa"/>
              <w:bottom w:w="50" w:type="dxa"/>
              <w:end w:w="58" w:type="dxa"/>
            </w:tcMar>
            <w:vAlign w:val="top"/>
          </w:tcPr>
          <w:p>
            <w:r>
              <w:t>Utkaṇṭhā-daśakam</w:t>
            </w:r>
          </w:p>
        </w:tc>
        <w:tc>
          <w:tcPr>
            <w:tcW w:type="dxa" w:w="2541"/>
            <w:tcMar>
              <w:top w:w="50" w:type="dxa"/>
              <w:start w:w="58" w:type="dxa"/>
              <w:bottom w:w="50" w:type="dxa"/>
              <w:end w:w="58" w:type="dxa"/>
            </w:tcMar>
            <w:vAlign w:val="top"/>
          </w:tcPr>
          <w:p>
            <w:r>
              <w:t>Ten verses of intense longing.</w:t>
            </w:r>
          </w:p>
        </w:tc>
        <w:tc>
          <w:tcPr>
            <w:tcW w:type="dxa" w:w="2541"/>
            <w:tcMar>
              <w:top w:w="50" w:type="dxa"/>
              <w:start w:w="58" w:type="dxa"/>
              <w:bottom w:w="50" w:type="dxa"/>
              <w:end w:w="58" w:type="dxa"/>
            </w:tcMar>
            <w:vAlign w:val="top"/>
          </w:tcPr>
          <w:p>
            <w:r>
              <w:t>Viraha / longing</w:t>
            </w:r>
          </w:p>
        </w:tc>
      </w:tr>
      <w:tr>
        <w:trPr>
          <w:cantSplit w:val="1"/>
        </w:trPr>
        <w:tc>
          <w:tcPr>
            <w:tcW w:type="dxa" w:w="2541"/>
            <w:tcMar>
              <w:top w:w="50" w:type="dxa"/>
              <w:start w:w="58" w:type="dxa"/>
              <w:bottom w:w="50" w:type="dxa"/>
              <w:end w:w="58" w:type="dxa"/>
            </w:tcMar>
            <w:vAlign w:val="top"/>
          </w:tcPr>
          <w:p>
            <w:r>
              <w:t>26</w:t>
            </w:r>
          </w:p>
        </w:tc>
        <w:tc>
          <w:tcPr>
            <w:tcW w:type="dxa" w:w="2541"/>
            <w:tcMar>
              <w:top w:w="50" w:type="dxa"/>
              <w:start w:w="58" w:type="dxa"/>
              <w:bottom w:w="50" w:type="dxa"/>
              <w:end w:w="58" w:type="dxa"/>
            </w:tcMar>
            <w:vAlign w:val="top"/>
          </w:tcPr>
          <w:p>
            <w:r>
              <w:t>Nava-yuva-dvandva-didṛkṣāṣṭakam</w:t>
            </w:r>
          </w:p>
        </w:tc>
        <w:tc>
          <w:tcPr>
            <w:tcW w:type="dxa" w:w="2541"/>
            <w:tcMar>
              <w:top w:w="50" w:type="dxa"/>
              <w:start w:w="58" w:type="dxa"/>
              <w:bottom w:w="50" w:type="dxa"/>
              <w:end w:w="58" w:type="dxa"/>
            </w:tcMar>
            <w:vAlign w:val="top"/>
          </w:tcPr>
          <w:p>
            <w:r>
              <w:t>Longing to behold the ever-young Divine Couple.</w:t>
            </w:r>
          </w:p>
        </w:tc>
        <w:tc>
          <w:tcPr>
            <w:tcW w:type="dxa" w:w="2541"/>
            <w:tcMar>
              <w:top w:w="50" w:type="dxa"/>
              <w:start w:w="58" w:type="dxa"/>
              <w:bottom w:w="50" w:type="dxa"/>
              <w:end w:w="58" w:type="dxa"/>
            </w:tcMar>
            <w:vAlign w:val="top"/>
          </w:tcPr>
          <w:p>
            <w:r>
              <w:t>Darśana longing</w:t>
            </w:r>
          </w:p>
        </w:tc>
      </w:tr>
      <w:tr>
        <w:trPr>
          <w:cantSplit w:val="1"/>
        </w:trPr>
        <w:tc>
          <w:tcPr>
            <w:tcW w:type="dxa" w:w="2541"/>
            <w:tcMar>
              <w:top w:w="50" w:type="dxa"/>
              <w:start w:w="58" w:type="dxa"/>
              <w:bottom w:w="50" w:type="dxa"/>
              <w:end w:w="58" w:type="dxa"/>
            </w:tcMar>
            <w:vAlign w:val="top"/>
          </w:tcPr>
          <w:p>
            <w:r>
              <w:t>27</w:t>
            </w:r>
          </w:p>
        </w:tc>
        <w:tc>
          <w:tcPr>
            <w:tcW w:type="dxa" w:w="2541"/>
            <w:tcMar>
              <w:top w:w="50" w:type="dxa"/>
              <w:start w:w="58" w:type="dxa"/>
              <w:bottom w:w="50" w:type="dxa"/>
              <w:end w:w="58" w:type="dxa"/>
            </w:tcMar>
            <w:vAlign w:val="top"/>
          </w:tcPr>
          <w:p>
            <w:r>
              <w:t>Abhīṣṭa-prārthanāṣṭakam</w:t>
            </w:r>
          </w:p>
        </w:tc>
        <w:tc>
          <w:tcPr>
            <w:tcW w:type="dxa" w:w="2541"/>
            <w:tcMar>
              <w:top w:w="50" w:type="dxa"/>
              <w:start w:w="58" w:type="dxa"/>
              <w:bottom w:w="50" w:type="dxa"/>
              <w:end w:w="58" w:type="dxa"/>
            </w:tcMar>
            <w:vAlign w:val="top"/>
          </w:tcPr>
          <w:p>
            <w:r>
              <w:t>Prayer for desired service and participation in Vraja.</w:t>
            </w:r>
          </w:p>
        </w:tc>
        <w:tc>
          <w:tcPr>
            <w:tcW w:type="dxa" w:w="2541"/>
            <w:tcMar>
              <w:top w:w="50" w:type="dxa"/>
              <w:start w:w="58" w:type="dxa"/>
              <w:bottom w:w="50" w:type="dxa"/>
              <w:end w:w="58" w:type="dxa"/>
            </w:tcMar>
            <w:vAlign w:val="top"/>
          </w:tcPr>
          <w:p>
            <w:r>
              <w:t>Service aspiration</w:t>
            </w:r>
          </w:p>
        </w:tc>
      </w:tr>
      <w:tr>
        <w:trPr>
          <w:cantSplit w:val="1"/>
        </w:trPr>
        <w:tc>
          <w:tcPr>
            <w:tcW w:type="dxa" w:w="2541"/>
            <w:tcMar>
              <w:top w:w="50" w:type="dxa"/>
              <w:start w:w="58" w:type="dxa"/>
              <w:bottom w:w="50" w:type="dxa"/>
              <w:end w:w="58" w:type="dxa"/>
            </w:tcMar>
            <w:vAlign w:val="top"/>
          </w:tcPr>
          <w:p>
            <w:r>
              <w:t>28</w:t>
            </w:r>
          </w:p>
        </w:tc>
        <w:tc>
          <w:tcPr>
            <w:tcW w:type="dxa" w:w="2541"/>
            <w:tcMar>
              <w:top w:w="50" w:type="dxa"/>
              <w:start w:w="58" w:type="dxa"/>
              <w:bottom w:w="50" w:type="dxa"/>
              <w:end w:w="58" w:type="dxa"/>
            </w:tcMar>
            <w:vAlign w:val="top"/>
          </w:tcPr>
          <w:p>
            <w:r>
              <w:t>Dāna-nirvartana-kuṇḍāṣṭakam</w:t>
            </w:r>
          </w:p>
        </w:tc>
        <w:tc>
          <w:tcPr>
            <w:tcW w:type="dxa" w:w="2541"/>
            <w:tcMar>
              <w:top w:w="50" w:type="dxa"/>
              <w:start w:w="58" w:type="dxa"/>
              <w:bottom w:w="50" w:type="dxa"/>
              <w:end w:w="58" w:type="dxa"/>
            </w:tcMar>
            <w:vAlign w:val="top"/>
          </w:tcPr>
          <w:p>
            <w:r>
              <w:t>Praise of Dāna-nirvartana-kuṇḍa and the dāna-līlā landscape.</w:t>
            </w:r>
          </w:p>
        </w:tc>
        <w:tc>
          <w:tcPr>
            <w:tcW w:type="dxa" w:w="2541"/>
            <w:tcMar>
              <w:top w:w="50" w:type="dxa"/>
              <w:start w:w="58" w:type="dxa"/>
              <w:bottom w:w="50" w:type="dxa"/>
              <w:end w:w="58" w:type="dxa"/>
            </w:tcMar>
            <w:vAlign w:val="top"/>
          </w:tcPr>
          <w:p>
            <w:r>
              <w:t>Text-guided sacred geography</w:t>
            </w:r>
          </w:p>
        </w:tc>
      </w:tr>
      <w:tr>
        <w:trPr>
          <w:cantSplit w:val="1"/>
        </w:trPr>
        <w:tc>
          <w:tcPr>
            <w:tcW w:type="dxa" w:w="2541"/>
            <w:tcMar>
              <w:top w:w="50" w:type="dxa"/>
              <w:start w:w="58" w:type="dxa"/>
              <w:bottom w:w="50" w:type="dxa"/>
              <w:end w:w="58" w:type="dxa"/>
            </w:tcMar>
            <w:vAlign w:val="top"/>
          </w:tcPr>
          <w:p>
            <w:r>
              <w:t>29</w:t>
            </w:r>
          </w:p>
        </w:tc>
        <w:tc>
          <w:tcPr>
            <w:tcW w:type="dxa" w:w="2541"/>
            <w:tcMar>
              <w:top w:w="50" w:type="dxa"/>
              <w:start w:w="58" w:type="dxa"/>
              <w:bottom w:w="50" w:type="dxa"/>
              <w:end w:w="58" w:type="dxa"/>
            </w:tcMar>
            <w:vAlign w:val="top"/>
          </w:tcPr>
          <w:p>
            <w:r>
              <w:t>Prārthanāśraya-caturdaśakam</w:t>
            </w:r>
          </w:p>
        </w:tc>
        <w:tc>
          <w:tcPr>
            <w:tcW w:type="dxa" w:w="2541"/>
            <w:tcMar>
              <w:top w:w="50" w:type="dxa"/>
              <w:start w:w="58" w:type="dxa"/>
              <w:bottom w:w="50" w:type="dxa"/>
              <w:end w:w="58" w:type="dxa"/>
            </w:tcMar>
            <w:vAlign w:val="top"/>
          </w:tcPr>
          <w:p>
            <w:r>
              <w:t>Fourteen refuge-prayers tied to Vraja residence and remembrance.</w:t>
            </w:r>
          </w:p>
        </w:tc>
        <w:tc>
          <w:tcPr>
            <w:tcW w:type="dxa" w:w="2541"/>
            <w:tcMar>
              <w:top w:w="50" w:type="dxa"/>
              <w:start w:w="58" w:type="dxa"/>
              <w:bottom w:w="50" w:type="dxa"/>
              <w:end w:w="58" w:type="dxa"/>
            </w:tcMar>
            <w:vAlign w:val="top"/>
          </w:tcPr>
          <w:p>
            <w:r>
              <w:t>Prayer / residence</w:t>
            </w:r>
          </w:p>
        </w:tc>
      </w:tr>
      <w:tr>
        <w:trPr>
          <w:cantSplit w:val="1"/>
        </w:trPr>
        <w:tc>
          <w:tcPr>
            <w:tcW w:type="dxa" w:w="2541"/>
            <w:tcMar>
              <w:top w:w="50" w:type="dxa"/>
              <w:start w:w="58" w:type="dxa"/>
              <w:bottom w:w="50" w:type="dxa"/>
              <w:end w:w="58" w:type="dxa"/>
            </w:tcMar>
            <w:vAlign w:val="top"/>
          </w:tcPr>
          <w:p>
            <w:r>
              <w:t>30</w:t>
            </w:r>
          </w:p>
        </w:tc>
        <w:tc>
          <w:tcPr>
            <w:tcW w:type="dxa" w:w="2541"/>
            <w:tcMar>
              <w:top w:w="50" w:type="dxa"/>
              <w:start w:w="58" w:type="dxa"/>
              <w:bottom w:w="50" w:type="dxa"/>
              <w:end w:w="58" w:type="dxa"/>
            </w:tcMar>
            <w:vAlign w:val="top"/>
          </w:tcPr>
          <w:p>
            <w:r>
              <w:t>Abhīṣṭa-sūcanam</w:t>
            </w:r>
          </w:p>
        </w:tc>
        <w:tc>
          <w:tcPr>
            <w:tcW w:type="dxa" w:w="2541"/>
            <w:tcMar>
              <w:top w:w="50" w:type="dxa"/>
              <w:start w:w="58" w:type="dxa"/>
              <w:bottom w:w="50" w:type="dxa"/>
              <w:end w:w="58" w:type="dxa"/>
            </w:tcMar>
            <w:vAlign w:val="top"/>
          </w:tcPr>
          <w:p>
            <w:r>
              <w:t>Closing disclosure of cherished aspiration, including Rūpa-centered longing.</w:t>
            </w:r>
          </w:p>
        </w:tc>
        <w:tc>
          <w:tcPr>
            <w:tcW w:type="dxa" w:w="2541"/>
            <w:tcMar>
              <w:top w:w="50" w:type="dxa"/>
              <w:start w:w="58" w:type="dxa"/>
              <w:bottom w:w="50" w:type="dxa"/>
              <w:end w:w="58" w:type="dxa"/>
            </w:tcMar>
            <w:vAlign w:val="top"/>
          </w:tcPr>
          <w:p>
            <w:r>
              <w:t>Desired goal</w:t>
            </w:r>
          </w:p>
        </w:tc>
      </w:tr>
    </w:tbl>
    <w:p>
      <w:pPr>
        <w:pStyle w:val="Heading1"/>
        <w:keepNext w:val="1"/>
        <w:keepLines w:val="1"/>
      </w:pPr>
      <w:r>
        <w:t>4. The literary center: six recurring voices</w:t>
      </w:r>
    </w:p>
    <w:p>
      <w:pPr>
        <w:ind w:left="259" w:hanging="173"/>
      </w:pPr>
      <w:r>
        <w:t>• 1. Gaurāṅga remembered in separation — Śacī-sūnv-aṣṭakam and Gaurāṅga-stava-kalpataru preserve concrete memories of Mahāprabhu’s body, dancing, Jagannātha darśana, viraha and ecstatic states.</w:t>
      </w:r>
    </w:p>
    <w:p>
      <w:pPr>
        <w:ind w:left="259" w:hanging="173"/>
      </w:pPr>
      <w:r>
        <w:t>• 2. The disciple who never becomes independent — Manaḥ-śikṣā and Vilāpa-kusumāñjali repeatedly place Svarūpa, Rūpa, Sanātana and Yadunandana inside the speaker’s devotional identity.</w:t>
      </w:r>
    </w:p>
    <w:p>
      <w:pPr>
        <w:ind w:left="259" w:hanging="173"/>
      </w:pPr>
      <w:r>
        <w:t>• 3. Rūpānuga aspiration — Rūpa Mañjarī is not decorative vocabulary. Raghunātha repeatedly places desired service under Śrī Rūpa / Rūpa Mañjarī and closes Dāna-keli-cintāmaṇi with a prayer to become dust of Rūpa’s lotus feet in every birth.</w:t>
      </w:r>
    </w:p>
    <w:p>
      <w:pPr>
        <w:ind w:left="259" w:hanging="173"/>
      </w:pPr>
      <w:r>
        <w:t>• 4. Rādhā-dāsya as the positive goal — Rādhā-kuṇḍāṣṭaka 5, Vilāpa-kusumāñjali, Premāmbhoja-maranda, Gāndharvā-samprārthanā and Sva-saṅkalpa-prakāśa make service to 'my Mistress' the flowering goal.</w:t>
      </w:r>
    </w:p>
    <w:p>
      <w:pPr>
        <w:ind w:left="259" w:hanging="173"/>
      </w:pPr>
      <w:r>
        <w:t>• 5. Residence as theology — Govardhana-vāsa-prārthanā, Sva-niyama, Rādhā-kuṇḍāṣṭaka and Vilāpa-kusumāñjali make Vraja/Govardhana/Rādhā-kuṇḍa residence part of bhajana, not mere geography.</w:t>
      </w:r>
    </w:p>
    <w:p>
      <w:pPr>
        <w:ind w:left="259" w:hanging="173"/>
      </w:pPr>
      <w:r>
        <w:t>• 6. Līlā as service-world — Muktā-carita, Dāna-keli-cintāmaṇi and flower-pastime works show that his imagination is not only lament; it is highly playful, dialogical, topographic and dramatic.</w:t>
      </w:r>
    </w:p>
    <w:p>
      <w:r>
        <w:br w:type="page"/>
      </w:r>
    </w:p>
    <w:p>
      <w:pPr>
        <w:pStyle w:val="Heading1"/>
        <w:keepNext w:val="1"/>
        <w:keepLines w:val="1"/>
      </w:pPr>
      <w:r>
        <w:t>5. Self-authored autobiography: the strongest passages</w:t>
      </w:r>
    </w:p>
    <w:p>
      <w:pPr>
        <w:keepNext w:val="1"/>
        <w:keepLines w:val="1"/>
      </w:pPr>
      <w:r>
        <w:rPr>
          <w:b/>
          <w:color w:val="7B2638"/>
        </w:rPr>
        <w:t>Gaurāṅga-stava-kalpavṛkṣa 11</w:t>
      </w:r>
    </w:p>
    <w:p>
      <w:pPr>
        <w:ind w:left="360" w:right="259"/>
      </w:pPr>
      <w:r>
        <w:rPr>
          <w:i/>
        </w:rPr>
        <w:t>mahā-sampad-dāvād api patitam uddhṛtya kṛpayā</w:t>
        <w:br/>
        <w:t>svarūpe yaḥ svīye kujanam api māṁ nyasya muditaḥ |</w:t>
        <w:br/>
        <w:t>uro-guñjā-hāraṁ priyam api ca govardhana-śilāṁ</w:t>
        <w:br/>
        <w:t>dadau me gaurāṅgo hṛdaya udayan māṁ madayati ||11||</w:t>
      </w:r>
    </w:p>
    <w:p>
      <w:pPr>
        <w:ind w:left="360" w:right="259"/>
      </w:pPr>
      <w:r>
        <w:t>Gaurāṅga mercifully lifted me, fallen as I was, from the forest fire of immense wealth; joyfully He placed even such a low person as me with His own Svarūpa. He gave me the guñjā garland from His chest and the beloved Govardhana-śilā. Rising in my heart, that Gaurāṅga maddens me.</w:t>
      </w:r>
    </w:p>
    <w:p>
      <w:pPr>
        <w:ind w:left="360"/>
      </w:pPr>
      <w:r>
        <w:rPr>
          <w:b/>
          <w:color w:val="7B2638"/>
        </w:rPr>
        <w:t xml:space="preserve">Research use — </w:t>
      </w:r>
      <w:r>
        <w:t>This is the most compact autobiographical summary in Raghunātha’s own surviving voice.</w:t>
      </w:r>
    </w:p>
    <w:p>
      <w:pPr>
        <w:keepNext w:val="1"/>
        <w:keepLines w:val="1"/>
      </w:pPr>
      <w:r>
        <w:rPr>
          <w:b/>
          <w:color w:val="7B2638"/>
        </w:rPr>
        <w:t>Vilāpa-kusumāñjali 4</w:t>
      </w:r>
    </w:p>
    <w:p>
      <w:pPr>
        <w:ind w:left="360" w:right="259"/>
      </w:pPr>
      <w:r>
        <w:rPr>
          <w:i/>
        </w:rPr>
        <w:t>prabhur api yadunandano ca eṣa</w:t>
        <w:br/>
        <w:t>priya-yadunandana unnata-prabhāvaḥ |</w:t>
        <w:br/>
        <w:t>svayam atula-kṛpāmṛtābhiṣekaṁ</w:t>
        <w:br/>
        <w:t>mama kṛtavāṁs tam ahaṁ guruṁ prapadye ||4||</w:t>
      </w:r>
    </w:p>
    <w:p>
      <w:pPr>
        <w:ind w:left="360" w:right="259"/>
      </w:pPr>
      <w:r>
        <w:t>I take shelter of that guru Yadunandana, exalted in influence because he is dear to Yadunandana Kṛṣṇa, who personally bathed me in incomparable nectar of mercy.</w:t>
      </w:r>
    </w:p>
    <w:p>
      <w:pPr>
        <w:ind w:left="360"/>
      </w:pPr>
      <w:r>
        <w:rPr>
          <w:b/>
          <w:color w:val="7B2638"/>
        </w:rPr>
        <w:t xml:space="preserve">Research use — </w:t>
      </w:r>
      <w:r>
        <w:t>Direct self-authored acknowledgement of Yadunandana Ācārya as guru.</w:t>
      </w:r>
    </w:p>
    <w:p>
      <w:pPr>
        <w:keepNext w:val="1"/>
        <w:keepLines w:val="1"/>
      </w:pPr>
      <w:r>
        <w:rPr>
          <w:b/>
          <w:color w:val="7B2638"/>
        </w:rPr>
        <w:t>Vilāpa-kusumāñjali 5</w:t>
      </w:r>
    </w:p>
    <w:p>
      <w:pPr>
        <w:ind w:left="360" w:right="259"/>
      </w:pPr>
      <w:r>
        <w:rPr>
          <w:i/>
        </w:rPr>
        <w:t>yo māṁ dustara-geha-nirjala-mahā-kūpād apāra-klamāt</w:t>
        <w:br/>
        <w:t>sadyaḥ sāndra-dayāmbudhiḥ prakṛtitaḥ svairī kṛpā-rajjubhiḥ |</w:t>
        <w:br/>
        <w:t>uddhṛtyātma-saroja-nindi-caraṇa-prāntaṁ prapādya svayaṁ</w:t>
        <w:br/>
        <w:t>śrī-dāmodara-sāc-cakāra tam ahaṁ caitanya-candraṁ bhaje ||5||</w:t>
      </w:r>
    </w:p>
    <w:p>
      <w:pPr>
        <w:ind w:left="360" w:right="259"/>
      </w:pPr>
      <w:r>
        <w:t>I worship Caitanyacandra, the independent ocean of condensed mercy, who with the ropes of His grace lifted me at once from the exhausting, waterless, difficult-to-cross well of household life, brought me to His lotus feet, and personally made me the companion of Śrī Dāmodara.</w:t>
      </w:r>
    </w:p>
    <w:p>
      <w:pPr>
        <w:ind w:left="360"/>
      </w:pPr>
      <w:r>
        <w:rPr>
          <w:b/>
          <w:color w:val="7B2638"/>
        </w:rPr>
        <w:t xml:space="preserve">Research use — </w:t>
      </w:r>
      <w:r>
        <w:t>Parallels Gaurāṅga-stava 11 and confirms that being given to Svarūpa is central to Raghunātha’s own memory.</w:t>
      </w:r>
    </w:p>
    <w:p>
      <w:pPr>
        <w:keepNext w:val="1"/>
        <w:keepLines w:val="1"/>
      </w:pPr>
      <w:r>
        <w:rPr>
          <w:b/>
          <w:color w:val="7B2638"/>
        </w:rPr>
        <w:t>Vilāpa-kusumāñjali 6</w:t>
      </w:r>
    </w:p>
    <w:p>
      <w:pPr>
        <w:ind w:left="360" w:right="259"/>
      </w:pPr>
      <w:r>
        <w:rPr>
          <w:i/>
        </w:rPr>
        <w:t>vairāgya-yug-bhakti-rasa-prayatnair</w:t>
        <w:br/>
        <w:t>apāyayan mām anabhīpsum andham |</w:t>
        <w:br/>
        <w:t>kṛpāmbudhir yaḥ para-duḥkha-duḥkhī</w:t>
        <w:br/>
        <w:t>sanātanaṁ taṁ prabhum āśrayāmi ||6||</w:t>
      </w:r>
    </w:p>
    <w:p>
      <w:pPr>
        <w:ind w:left="360" w:right="259"/>
      </w:pPr>
      <w:r>
        <w:t>I take shelter of Sanātana Prabhu, an ocean of mercy who suffers at the suffering of others and, by efforts combining vairāgya with bhakti-rasa, made blind and unwilling me drink.</w:t>
      </w:r>
    </w:p>
    <w:p>
      <w:pPr>
        <w:ind w:left="360"/>
      </w:pPr>
      <w:r>
        <w:rPr>
          <w:b/>
          <w:color w:val="7B2638"/>
        </w:rPr>
        <w:t xml:space="preserve">Research use — </w:t>
      </w:r>
      <w:r>
        <w:t>This verse is crucial for interpreting his austerity: Sanātana is remembered as the compassionate one who taught bhakti-rasa joined with vairāgya.</w:t>
      </w:r>
    </w:p>
    <w:p>
      <w:pPr>
        <w:pStyle w:val="Heading1"/>
        <w:keepNext w:val="1"/>
        <w:keepLines w:val="1"/>
      </w:pPr>
      <w:r>
        <w:t>6. Manaḥ-śikṣā: his devotional genealogy in one verse</w:t>
      </w:r>
    </w:p>
    <w:p>
      <w:pPr>
        <w:keepNext w:val="1"/>
        <w:keepLines w:val="1"/>
      </w:pPr>
      <w:r>
        <w:rPr>
          <w:b/>
          <w:color w:val="7B2638"/>
        </w:rPr>
        <w:t>Manaḥ-śikṣā 3</w:t>
      </w:r>
    </w:p>
    <w:p>
      <w:pPr>
        <w:ind w:left="360" w:right="259"/>
      </w:pPr>
      <w:r>
        <w:rPr>
          <w:i/>
        </w:rPr>
        <w:t>yadīccher āvāsaṁ vraja-bhuvi sa-rāgaṁ pratijanur</w:t>
        <w:br/>
        <w:t>yuva-dvandvaṁ tac cet paricartium ārād abhilaṣeḥ |</w:t>
        <w:br/>
        <w:t>svarūpaṁ śrī-rūpaṁ sa-gaṇam iha tasyāgrajam api</w:t>
        <w:br/>
        <w:t>sphuṭaṁ premṇā nityaṁ smara nama tadā tvaṁ śṛṇu manaḥ ||3||</w:t>
      </w:r>
    </w:p>
    <w:p>
      <w:pPr>
        <w:ind w:left="360" w:right="259"/>
      </w:pPr>
      <w:r>
        <w:t>O mind, if you desire birth after birth to reside passionately in Vraja and if you truly long to serve the youthful Couple, then always remember with love and bow to Svarūpa, Śrī Rūpa with his associates, and his elder brother.</w:t>
      </w:r>
    </w:p>
    <w:p>
      <w:pPr>
        <w:ind w:left="360"/>
      </w:pPr>
      <w:r>
        <w:rPr>
          <w:b/>
          <w:color w:val="7B2638"/>
        </w:rPr>
        <w:t xml:space="preserve">Research use — </w:t>
      </w:r>
      <w:r>
        <w:t>Raghunātha’s Vraja aspiration is explicitly mediated through Svarūpa–Rūpa–Sanātana; it is not self-authorized solitary mysticism.</w:t>
      </w:r>
    </w:p>
    <w:p>
      <w:pPr>
        <w:pStyle w:val="Heading1"/>
        <w:keepNext w:val="1"/>
        <w:keepLines w:val="1"/>
      </w:pPr>
      <w:r>
        <w:t>7. Residence is vow, not scenery</w:t>
      </w:r>
    </w:p>
    <w:p>
      <w:pPr>
        <w:keepNext w:val="1"/>
        <w:keepLines w:val="1"/>
      </w:pPr>
      <w:r>
        <w:rPr>
          <w:b/>
          <w:color w:val="7B2638"/>
        </w:rPr>
        <w:t>Govardhana-vāsa-prārthanā-daśaka 10</w:t>
      </w:r>
    </w:p>
    <w:p>
      <w:pPr>
        <w:ind w:left="360" w:right="259"/>
      </w:pPr>
      <w:r>
        <w:rPr>
          <w:i/>
        </w:rPr>
        <w:t>nirupadhi-karuṇena śrī-śacīnandanena</w:t>
        <w:br/>
        <w:t>tvayi kapaṭi-śaṭho 'pi tvat-priyenārpito 'smi |</w:t>
        <w:br/>
        <w:t>iti khalu mama yogyāyogyatāṁ mām agṛhṇan</w:t>
        <w:br/>
        <w:t>nija-nikaṭa-nivāsaṁ dehi govardhana tvam ||10||</w:t>
      </w:r>
    </w:p>
    <w:p>
      <w:pPr>
        <w:ind w:left="360" w:right="259"/>
      </w:pPr>
      <w:r>
        <w:t>By the causelessly merciful son of Śacī, who is dear to you, even I—deceitful and crooked—have been offered to you. Therefore, without considering whether I am qualified or unqualified, O Govardhana, grant me residence near you.</w:t>
      </w:r>
    </w:p>
    <w:p>
      <w:pPr>
        <w:ind w:left="360"/>
      </w:pPr>
      <w:r>
        <w:rPr>
          <w:b/>
          <w:color w:val="7B2638"/>
        </w:rPr>
        <w:t xml:space="preserve">Research use — </w:t>
      </w:r>
      <w:r>
        <w:t>Mahāprabhu’s gift of Govardhana-śilā is transposed into a theology of being personally offered to Girirāja.</w:t>
      </w:r>
    </w:p>
    <w:p>
      <w:pPr>
        <w:keepNext w:val="1"/>
        <w:keepLines w:val="1"/>
      </w:pPr>
      <w:r>
        <w:rPr>
          <w:b/>
          <w:color w:val="7B2638"/>
        </w:rPr>
        <w:t>Vilāpa-kusumāñjali 97</w:t>
      </w:r>
    </w:p>
    <w:p>
      <w:pPr>
        <w:ind w:left="360" w:right="259"/>
      </w:pPr>
      <w:r>
        <w:rPr>
          <w:i/>
        </w:rPr>
        <w:t>sva-kuṇḍaṁ tava lolākṣi</w:t>
        <w:br/>
        <w:t>sa-priyāyāḥ sadāspadam |</w:t>
        <w:br/>
        <w:t>atraiva mama saṁvāsa</w:t>
        <w:br/>
        <w:t>ihaiva mama saṁsthitiḥ ||97||</w:t>
      </w:r>
    </w:p>
    <w:p>
      <w:pPr>
        <w:ind w:left="360" w:right="259"/>
      </w:pPr>
      <w:r>
        <w:t>O restless-eyed one, Your own kuṇḍa is the eternal abode of You together with Your beloved. Here alone shall be my residence; here alone shall be my abiding place.</w:t>
      </w:r>
    </w:p>
    <w:p>
      <w:pPr>
        <w:ind w:left="360"/>
      </w:pPr>
      <w:r>
        <w:rPr>
          <w:b/>
          <w:color w:val="7B2638"/>
        </w:rPr>
        <w:t xml:space="preserve">Research use — </w:t>
      </w:r>
      <w:r>
        <w:t>His final geographic center is inseparable from the Couple’s eternal residence.</w:t>
      </w:r>
    </w:p>
    <w:p>
      <w:pPr>
        <w:pStyle w:val="Heading1"/>
        <w:keepNext w:val="1"/>
        <w:keepLines w:val="1"/>
      </w:pPr>
      <w:r>
        <w:t>8. Sva-niyama-daśakam: autobiographical vow and a death-wish at the kuṇḍa</w:t>
      </w:r>
    </w:p>
    <w:p>
      <w:pPr>
        <w:keepNext w:val="1"/>
        <w:keepLines w:val="1"/>
      </w:pPr>
      <w:r>
        <w:rPr>
          <w:b/>
          <w:color w:val="7B2638"/>
        </w:rPr>
        <w:t>Sva-niyama-daśakam 9</w:t>
      </w:r>
    </w:p>
    <w:p>
      <w:pPr>
        <w:ind w:left="360" w:right="259"/>
      </w:pPr>
      <w:r>
        <w:rPr>
          <w:i/>
        </w:rPr>
        <w:t>vrajotpanna-kṣīrāśana-vasana-pātrādibhir ahaṁ</w:t>
        <w:br/>
        <w:t>padārthair nirvāhya vyavahṛtim adambhaṁ saniyamaḥ |</w:t>
        <w:br/>
        <w:t>vasāmīśā-kuṇḍe giri-kula-vare caiva samaye</w:t>
        <w:br/>
        <w:t>mariṣye tu preṣṭhe sarasi khalu jīvādi-purataḥ ||9||</w:t>
      </w:r>
    </w:p>
    <w:p>
      <w:pPr>
        <w:ind w:left="360" w:right="259"/>
      </w:pPr>
      <w:r>
        <w:t>I shall maintain my simple life, without pretension and under vows, with milk-food, clothing, vessels and other necessities produced in Vraja. I shall live at my Mistress’s kuṇḍa and at the best of mountains; and at the proper time I shall die at the beloved lake, indeed in the presence of Jīva and others.</w:t>
      </w:r>
    </w:p>
    <w:p>
      <w:pPr>
        <w:ind w:left="360"/>
      </w:pPr>
      <w:r>
        <w:rPr>
          <w:b/>
          <w:color w:val="7B2638"/>
        </w:rPr>
        <w:t xml:space="preserve">Research use — </w:t>
      </w:r>
      <w:r>
        <w:t>This is a vow/prayer, not a historical death certificate. It is nevertheless a remarkable self-authored statement joining Vraja economy, Rādhā-kuṇḍa residence, Govardhana and Jīva.</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CHRONOLOGY BOUNDARY  </w:t>
            </w:r>
            <w:r>
              <w:t>Do not use Sva-niyama 9 to prove the actual circumstances of Raghunātha’s death. It tells us what he vowed or desired, not necessarily what happened. Its value is biographical theology and intended community: he imagines his final life at Rādhā-kuṇḍa before Jīva and others.</w:t>
            </w:r>
          </w:p>
        </w:tc>
      </w:tr>
    </w:tbl>
    <w:p>
      <w:pPr>
        <w:pStyle w:val="Heading1"/>
        <w:keepNext w:val="1"/>
        <w:keepLines w:val="1"/>
      </w:pPr>
      <w:r>
        <w:t>9. Rūpa-anugatya in his own corpus</w:t>
      </w:r>
    </w:p>
    <w:p>
      <w:r>
        <w:t>Rūpa appears in Raghunātha’s corpus on several levels: historical Gosvāmī, Rūpa Mañjarī, literary authority and desired guide of service. This is stronger than the generic statement that later Gauḍīyas call themselves rūpānugas.</w:t>
      </w:r>
    </w:p>
    <w:p>
      <w:pPr>
        <w:keepNext w:val="1"/>
        <w:keepLines w:val="1"/>
      </w:pPr>
      <w:r>
        <w:rPr>
          <w:b/>
          <w:color w:val="7B2638"/>
        </w:rPr>
        <w:t>Vraja-vilāsa-stava 106</w:t>
      </w:r>
    </w:p>
    <w:p>
      <w:pPr>
        <w:ind w:left="360" w:right="259"/>
      </w:pPr>
      <w:r>
        <w:rPr>
          <w:i/>
        </w:rPr>
        <w:t>rāgeṇa rūpa-mañjary-āraktīkṛta-muradviṣaḥ |</w:t>
        <w:br/>
        <w:t>guṇārādhita-rādhāyāḥ pāda-yugme ratir mama ||106||</w:t>
      </w:r>
    </w:p>
    <w:p>
      <w:pPr>
        <w:ind w:left="360" w:right="259"/>
      </w:pPr>
      <w:r>
        <w:t>May I have loving attachment to the two feet of Rādhā, whose qualities are worshiped and who has been deeply colored by the love of Rūpa Mañjarī.</w:t>
      </w:r>
    </w:p>
    <w:p>
      <w:pPr>
        <w:ind w:left="360"/>
      </w:pPr>
      <w:r>
        <w:rPr>
          <w:b/>
          <w:color w:val="7B2638"/>
        </w:rPr>
        <w:t xml:space="preserve">Research use — </w:t>
      </w:r>
      <w:r>
        <w:t>Textual witness for the privileged position of Rūpa Mañjarī in Raghunātha’s service-world.</w:t>
      </w:r>
    </w:p>
    <w:p>
      <w:pPr>
        <w:keepNext w:val="1"/>
        <w:keepLines w:val="1"/>
      </w:pPr>
      <w:r>
        <w:rPr>
          <w:b/>
          <w:color w:val="7B2638"/>
        </w:rPr>
        <w:t>Prārthanāmṛta-stotra 1</w:t>
      </w:r>
    </w:p>
    <w:p>
      <w:pPr>
        <w:ind w:left="360" w:right="259"/>
      </w:pPr>
      <w:r>
        <w:rPr>
          <w:i/>
        </w:rPr>
        <w:t>śrī-rūpa-rati-mañjaryor aṅghri-sevaika-gṛdhnunā |</w:t>
        <w:br/>
        <w:t>asaṅkhyenāpi januṣā vraje vāso’stu me’niśam ||1||</w:t>
      </w:r>
    </w:p>
    <w:p>
      <w:pPr>
        <w:ind w:left="360" w:right="259"/>
      </w:pPr>
      <w:r>
        <w:t>May I reside in Vraja always, even through countless births, with service to the feet of Śrī Rūpa and Rati Mañjarīs as my sole longing.</w:t>
      </w:r>
    </w:p>
    <w:p>
      <w:pPr>
        <w:ind w:left="360"/>
      </w:pPr>
      <w:r>
        <w:rPr>
          <w:b/>
          <w:color w:val="7B2638"/>
        </w:rPr>
        <w:t xml:space="preserve">Research use — </w:t>
      </w:r>
      <w:r>
        <w:t>This verse is important for the identity question below: Rati Mañjarī appears as an object of desired service, which cautions against simplistic autobiographical equations based on a single name occurrence.</w:t>
      </w:r>
    </w:p>
    <w:p>
      <w:r>
        <w:br w:type="page"/>
      </w:r>
    </w:p>
    <w:p>
      <w:pPr>
        <w:pStyle w:val="Heading1"/>
        <w:keepNext w:val="1"/>
        <w:keepLines w:val="1"/>
      </w:pPr>
      <w:r>
        <w:t>10. Muktā-carita: authorship and literary genealogy</w:t>
      </w:r>
    </w:p>
    <w:p>
      <w:r>
        <w:t>The project edition’s title page explicitly names Śrīla Raghunāthadāsa Gosvāmin as author. The work is a sustained pearl-pastime narrative and therefore shows a literary range very different from the austere image created by later biographical summaries.</w:t>
      </w:r>
    </w:p>
    <w:p>
      <w:r>
        <w:t>Its invocation bows to Rādhā-Giridhārī, Gaurāṅga, guru, the holy name, Svarūpa, Rūpa, Sanātana, Mathurā/Vraja, Rādhā-Kṛṣṇa and Govardhana. The closing verses also bind the work to Rūpa, Jīva and Kṛṣṇadāsa. Later Sādhanadīpikā quotes its final verse praying for association with 'Kṛṣṇa-kavi-bhūpati' in Vraja.</w:t>
      </w:r>
    </w:p>
    <w:p>
      <w:pPr>
        <w:keepNext w:val="1"/>
        <w:keepLines w:val="1"/>
      </w:pPr>
      <w:r>
        <w:rPr>
          <w:b/>
          <w:color w:val="7B2638"/>
        </w:rPr>
        <w:t>Muktā-carita, concluding verse 4 as cited in Sādhanadīpikā</w:t>
      </w:r>
    </w:p>
    <w:p>
      <w:pPr>
        <w:ind w:left="360" w:right="259"/>
      </w:pPr>
      <w:r>
        <w:rPr>
          <w:i/>
        </w:rPr>
        <w:t>yasya saṅga-balato'dbhutā mayā</w:t>
        <w:br/>
        <w:t>mauktikottama-kathā pracāritā |</w:t>
        <w:br/>
        <w:t>tasya kṛṣṇa-kavi-bhūpater vraje</w:t>
        <w:br/>
        <w:t>saṅgatir bhavatu me bhave bhave ||4||</w:t>
      </w:r>
    </w:p>
    <w:p>
      <w:pPr>
        <w:ind w:left="360" w:right="259"/>
      </w:pPr>
      <w:r>
        <w:t>By the strength of whose association this wondrous account of the finest pearls was spread by me—may I have the association in Vraja, birth after birth, of that king among poets named Kṛṣṇa.</w:t>
      </w:r>
    </w:p>
    <w:p>
      <w:pPr>
        <w:ind w:left="360"/>
      </w:pPr>
      <w:r>
        <w:rPr>
          <w:b/>
          <w:color w:val="7B2638"/>
        </w:rPr>
        <w:t xml:space="preserve">Research use — </w:t>
      </w:r>
      <w:r>
        <w:t>An important literary-network witness; the identification of 'Kṛṣṇa-kavi-bhūpati' with Kṛṣṇadāsa Kavirāja is the natural later reading but should be stated as interpretation unless the work itself identifies him more fully.</w:t>
      </w:r>
    </w:p>
    <w:p>
      <w:r>
        <w:t>Bhakti-ratnākara 5.585–586 explicitly directs Śrīnivāsa to Mālyahāri and says Raghunātha described those matters in Muktā-carita. Thus the work is not merely literature: early Vraja pilgrimage tradition used it as a guide for sacred geography.</w:t>
      </w:r>
    </w:p>
    <w:p>
      <w:pPr>
        <w:pStyle w:val="Heading1"/>
        <w:keepNext w:val="1"/>
        <w:keepLines w:val="1"/>
      </w:pPr>
      <w:r>
        <w:t>11. Dāna-carita and the surviving Dāna-keli-cintāmaṇi</w:t>
      </w:r>
    </w:p>
    <w:p>
      <w:r>
        <w:t>The older bibliographic shorthand Dāna-carita can now be tied with high confidence to the surviving Dāna-keli-cintāmaṇi. The Jīva Institute Grantha Mandira catalog attributes Dāna-keli-cintāmaṇi to Raghunātha dāsa Gosvāmin and describes 175 verses in varied metres on dāna-līlā, based on Haridāsa Dāsa’s 1937 edition and a later Advaita Dāsa edition. Modern printed editions likewise publish the work under Raghunātha’s name.</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BIBLIOGRAPHIC RULING  </w:t>
            </w:r>
            <w:r>
              <w:t>For the biography write: “The work called Dāna-carita in older bibliographic summaries is very probably the surviving Dāna-keli-cintāmaṇi.” Use 'very probably' until an early catalog or colophon explicitly equating the two titles is recovered.</w:t>
            </w:r>
          </w:p>
        </w:tc>
      </w:tr>
    </w:tbl>
    <w:p>
      <w:pPr>
        <w:keepNext w:val="1"/>
        <w:keepLines w:val="1"/>
      </w:pPr>
      <w:r>
        <w:rPr>
          <w:b/>
          <w:color w:val="7B2638"/>
        </w:rPr>
        <w:t>Dāna-keli-cintāmaṇi 2</w:t>
      </w:r>
    </w:p>
    <w:p>
      <w:pPr>
        <w:ind w:left="360" w:right="259"/>
      </w:pPr>
      <w:r>
        <w:rPr>
          <w:i/>
        </w:rPr>
        <w:t>uddāma-narma-rasa-raṅga-taraṅga-kānta-</w:t>
        <w:br/>
        <w:t>rādhā-sarid-giridharārṇava-saṅgamottham |</w:t>
        <w:br/>
        <w:t>śrī-rūpa-cāru-caraṇābja-rajaḥ-prabhāvād</w:t>
        <w:br/>
        <w:t>andho ’pi dāna-nava-keli-maṇiṁ cinomi ||2||</w:t>
      </w:r>
    </w:p>
    <w:p>
      <w:pPr>
        <w:ind w:left="360" w:right="259"/>
      </w:pPr>
      <w:r>
        <w:t>Although blind, by the power of the pollen of Śrī Rūpa’s beautiful lotus feet I gather the ever-new jewel of the dāna pastime, born from the meeting of the river Rādhā and the ocean Giridhārī amid beautiful waves of exalted joking rasa.</w:t>
      </w:r>
    </w:p>
    <w:p>
      <w:pPr>
        <w:ind w:left="360"/>
      </w:pPr>
      <w:r>
        <w:rPr>
          <w:b/>
          <w:color w:val="7B2638"/>
        </w:rPr>
        <w:t xml:space="preserve">Research use — </w:t>
      </w:r>
      <w:r>
        <w:t>An explicit authorial posture: blindness/humility, Rūpa’s foot-dust as literary power, and playful Rādhā-Kṛṣṇa līlā as the content.</w:t>
      </w:r>
    </w:p>
    <w:p>
      <w:pPr>
        <w:keepNext w:val="1"/>
        <w:keepLines w:val="1"/>
      </w:pPr>
      <w:r>
        <w:rPr>
          <w:b/>
          <w:color w:val="7B2638"/>
        </w:rPr>
        <w:t>Dāna-keli-cintāmaṇi 175</w:t>
      </w:r>
    </w:p>
    <w:p>
      <w:pPr>
        <w:ind w:left="360" w:right="259"/>
      </w:pPr>
      <w:r>
        <w:rPr>
          <w:i/>
        </w:rPr>
        <w:t>ādadhānas tṛṇaṁ dantair idaṁ yāce punaḥ punaḥ |</w:t>
        <w:br/>
        <w:t>śrīmad-rūpa-padāmbhoja-dhūliḥ syāṁ janma-janmani ||175||</w:t>
      </w:r>
    </w:p>
    <w:p>
      <w:pPr>
        <w:ind w:left="360" w:right="259"/>
      </w:pPr>
      <w:r>
        <w:t>Taking straw between my teeth, I ask this again and again: birth after birth, may I become dust at the lotus feet of Śrī Rūpa.</w:t>
      </w:r>
    </w:p>
    <w:p>
      <w:pPr>
        <w:ind w:left="360"/>
      </w:pPr>
      <w:r>
        <w:rPr>
          <w:b/>
          <w:color w:val="7B2638"/>
        </w:rPr>
        <w:t xml:space="preserve">Research use — </w:t>
      </w:r>
      <w:r>
        <w:t>The work closes where its literary authority began: under Rūpa.</w:t>
      </w:r>
    </w:p>
    <w:p>
      <w:pPr>
        <w:pStyle w:val="Heading1"/>
        <w:keepNext w:val="1"/>
        <w:keepLines w:val="1"/>
      </w:pPr>
      <w:r>
        <w:t>12. His literary voice is playful as well as ascetic</w:t>
      </w:r>
    </w:p>
    <w:p>
      <w:r>
        <w:t>Dāna-keli-cintāmaṇi, Muktā-carita and Rādhā-Kṛṣṇojjvala-kusuma-keli prevent a distorted biography in which Raghunātha appears only as a fasting old renunciant. His surviving literary world is full of wit, teasing, beauty-description, bargaining, messenger-work, landscape, ornamentation and intimate service.</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BIOGRAPHICAL CONSEQUENCE  </w:t>
            </w:r>
            <w:r>
              <w:t>The biography should let the reader meet two apparently opposite but actually integrated Raghunāthas: the person of almost impossible external austerity and the poet of exquisitely playful, sensuous, service-centered Vraja līlā. The texts themselves show that these are not contradictory identities.</w:t>
            </w:r>
          </w:p>
        </w:tc>
      </w:tr>
    </w:tbl>
    <w:p>
      <w:pPr>
        <w:pStyle w:val="Heading1"/>
        <w:keepNext w:val="1"/>
        <w:keepLines w:val="1"/>
      </w:pPr>
      <w:r>
        <w:t>13. Inner identity: Gaura-gaṇoddeśa-dīpikā 186</w:t>
      </w:r>
    </w:p>
    <w:p>
      <w:r>
        <w:t>The clean Sanskrit of Kavi Karṇapūra’s verse 186 has now been recovered from a digital Sanskrit edition and agrees in substance with the project English witness. It is more nuanced than the common one-line statement 'Raghunātha was Rati Mañjarī.'</w:t>
      </w:r>
    </w:p>
    <w:p>
      <w:pPr>
        <w:keepNext w:val="1"/>
        <w:keepLines w:val="1"/>
      </w:pPr>
      <w:r>
        <w:rPr>
          <w:b/>
          <w:color w:val="7B2638"/>
        </w:rPr>
        <w:t>Gaura-gaṇoddeśa-dīpikā 186</w:t>
      </w:r>
    </w:p>
    <w:p>
      <w:pPr>
        <w:ind w:left="360" w:right="259"/>
      </w:pPr>
      <w:r>
        <w:rPr>
          <w:i/>
        </w:rPr>
        <w:t>dāsa-śrī-raghunāthasya pūrvākhyā rasa-mañjarī |</w:t>
        <w:br/>
        <w:t>amuṁ kecit prabhāṣante śrīmatīṁ rati-mañjarīm |</w:t>
        <w:br/>
        <w:t>bhānumaty-ākhyayā kecid āhus taṁ nāma-bhedataḥ ||186||</w:t>
      </w:r>
    </w:p>
    <w:p>
      <w:pPr>
        <w:ind w:left="360" w:right="259"/>
      </w:pPr>
      <w:r>
        <w:t>The former name/identity of Śrī Raghunātha dāsa was Rasa Mañjarī. Some describe him as Śrīmatī Rati Mañjarī; others say that, by a difference of name, he is called Bhānumatī.</w:t>
      </w:r>
    </w:p>
    <w:p>
      <w:pPr>
        <w:ind w:left="360"/>
      </w:pPr>
      <w:r>
        <w:rPr>
          <w:b/>
          <w:color w:val="7B2638"/>
        </w:rPr>
        <w:t xml:space="preserve">Research use — </w:t>
      </w:r>
      <w:r>
        <w:t>Primary early identity witness. Rasa Mañjarī is the verse’s first identification; Rati Mañjarī and Bhānumatī are explicitly reported alternatives.</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PUBLICATION RULE  </w:t>
            </w:r>
            <w:r>
              <w:t>Do not write simply “Raghunātha dāsa = Rati Mañjarī” without qualification. The strongest early witness says Rasa Mañjarī first and then records alternative Rati Mañjarī and Bhānumatī traditions.</w:t>
            </w:r>
          </w:p>
        </w:tc>
      </w:tr>
    </w:tbl>
    <w:p>
      <w:pPr>
        <w:pStyle w:val="Heading1"/>
        <w:keepNext w:val="1"/>
        <w:keepLines w:val="1"/>
      </w:pPr>
      <w:r>
        <w:t>14. Why Vilāpa-kusumāñjali 3 does not by itself settle the identity question</w:t>
      </w:r>
    </w:p>
    <w:p>
      <w:pPr>
        <w:keepNext w:val="1"/>
        <w:keepLines w:val="1"/>
      </w:pPr>
      <w:r>
        <w:rPr>
          <w:b/>
          <w:color w:val="7B2638"/>
        </w:rPr>
        <w:t>Vilāpa-kusumāñjali 3</w:t>
      </w:r>
    </w:p>
    <w:p>
      <w:pPr>
        <w:ind w:left="360" w:right="259"/>
      </w:pPr>
      <w:r>
        <w:rPr>
          <w:i/>
        </w:rPr>
        <w:t>vrajendra-vasati-sthale vividha-vallavī-saṅkule</w:t>
        <w:br/>
        <w:t>tvam eva rati-mañjari pracura-puṇya-puñjodayā |</w:t>
        <w:br/>
        <w:t>vilāsa-bhara-vismṛta-praṇayi-mekhalā-mārgaṇe</w:t>
        <w:br/>
        <w:t>yad adya nija-nāthayā vrajati nāthitā kandaram ||3||</w:t>
      </w:r>
    </w:p>
    <w:p>
      <w:pPr>
        <w:ind w:left="360" w:right="259"/>
      </w:pPr>
      <w:r>
        <w:t>O Rati Mañjarī, in the abode of the king of Vraja crowded with many cowherd girls, you alone are the rise of a great accumulation of good fortune, for today your own Mistress has asked you to go to the cave to search for Her beloved sash forgotten amid abundant pastimes.</w:t>
      </w:r>
    </w:p>
    <w:p>
      <w:pPr>
        <w:ind w:left="360"/>
      </w:pPr>
      <w:r>
        <w:rPr>
          <w:b/>
          <w:color w:val="7B2638"/>
        </w:rPr>
        <w:t xml:space="preserve">Research use — </w:t>
      </w:r>
      <w:r>
        <w:t>Rati Mañjarī is directly addressed in the poem. But the Sanskrit does not say 'I, Raghunātha, am Rati Mañjarī.'</w:t>
      </w:r>
    </w:p>
    <w:p>
      <w:r>
        <w:t>Later lineages commonly read the opening dramatic exchange as revealing Raghunātha’s siddha identity: Rati Mañjarī speaks to Rūpa Mañjarī in verses 1–2 and is addressed in verse 3. That is a legitimate and influential commentarial reading, but it remains an interpretation of the poem’s dramatic voice rather than an explicit grammatical self-identification.</w:t>
      </w:r>
    </w:p>
    <w:p>
      <w:r>
        <w:t>The textual situation is made still more interesting by Prārthanāmṛta-stotra 1, where the speaker longs to serve the feet of both Śrī Rūpa and Rati Mañjarīs. That verse does not disprove the Rati-mañjarī tradition, but it warns us not to force all poetic personae into a single flat autobiographical register.</w:t>
      </w:r>
    </w:p>
    <w:p>
      <w:pPr>
        <w:pStyle w:val="Heading1"/>
        <w:keepNext w:val="1"/>
        <w:keepLines w:val="1"/>
      </w:pPr>
      <w:r>
        <w:t>15. Rasa Mañjarī, Rati Mañjarī, Bhānumatī: how to present the traditions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Mar>
              <w:top w:w="55" w:type="dxa"/>
              <w:start w:w="60" w:type="dxa"/>
              <w:bottom w:w="55" w:type="dxa"/>
              <w:end w:w="60" w:type="dxa"/>
            </w:tcMar>
          </w:tcPr>
          <w:p>
            <w:r>
              <w:rPr>
                <w:b/>
                <w:color w:val="FFFFFF"/>
              </w:rPr>
              <w:t>Identity</w:t>
            </w:r>
          </w:p>
        </w:tc>
        <w:tc>
          <w:tcPr>
            <w:tcW w:type="dxa" w:w="3389"/>
            <w:shd w:fill="7B2638"/>
            <w:tcMar>
              <w:top w:w="55" w:type="dxa"/>
              <w:start w:w="60" w:type="dxa"/>
              <w:bottom w:w="55" w:type="dxa"/>
              <w:end w:w="60" w:type="dxa"/>
            </w:tcMar>
          </w:tcPr>
          <w:p>
            <w:r>
              <w:rPr>
                <w:b/>
                <w:color w:val="FFFFFF"/>
              </w:rPr>
              <w:t>Earliest controlled evidence in this project</w:t>
            </w:r>
          </w:p>
        </w:tc>
        <w:tc>
          <w:tcPr>
            <w:tcW w:type="dxa" w:w="3389"/>
            <w:shd w:fill="7B2638"/>
            <w:tcMar>
              <w:top w:w="55" w:type="dxa"/>
              <w:start w:w="60" w:type="dxa"/>
              <w:bottom w:w="55" w:type="dxa"/>
              <w:end w:w="60" w:type="dxa"/>
            </w:tcMar>
          </w:tcPr>
          <w:p>
            <w:r>
              <w:rPr>
                <w:b/>
                <w:color w:val="FFFFFF"/>
              </w:rPr>
              <w:t>How to state it</w:t>
            </w:r>
          </w:p>
        </w:tc>
      </w:tr>
      <w:tr>
        <w:trPr>
          <w:cantSplit w:val="1"/>
        </w:trPr>
        <w:tc>
          <w:tcPr>
            <w:tcW w:type="dxa" w:w="3389"/>
            <w:tcMar>
              <w:top w:w="50" w:type="dxa"/>
              <w:start w:w="58" w:type="dxa"/>
              <w:bottom w:w="50" w:type="dxa"/>
              <w:end w:w="58" w:type="dxa"/>
            </w:tcMar>
            <w:vAlign w:val="top"/>
          </w:tcPr>
          <w:p>
            <w:r>
              <w:t>Rasa Mañjarī</w:t>
            </w:r>
          </w:p>
        </w:tc>
        <w:tc>
          <w:tcPr>
            <w:tcW w:type="dxa" w:w="3389"/>
            <w:tcMar>
              <w:top w:w="50" w:type="dxa"/>
              <w:start w:w="58" w:type="dxa"/>
              <w:bottom w:w="50" w:type="dxa"/>
              <w:end w:w="58" w:type="dxa"/>
            </w:tcMar>
            <w:vAlign w:val="top"/>
          </w:tcPr>
          <w:p>
            <w:r>
              <w:t>Gaura-gaṇoddeśa-dīpikā 186: pūrvākhyā rasa-mañjarī.</w:t>
            </w:r>
          </w:p>
        </w:tc>
        <w:tc>
          <w:tcPr>
            <w:tcW w:type="dxa" w:w="3389"/>
            <w:tcMar>
              <w:top w:w="50" w:type="dxa"/>
              <w:start w:w="58" w:type="dxa"/>
              <w:bottom w:w="50" w:type="dxa"/>
              <w:end w:w="58" w:type="dxa"/>
            </w:tcMar>
            <w:vAlign w:val="top"/>
          </w:tcPr>
          <w:p>
            <w:r>
              <w:t>Primary identification in Karṇapūra’s verse.</w:t>
            </w:r>
          </w:p>
        </w:tc>
      </w:tr>
      <w:tr>
        <w:trPr>
          <w:cantSplit w:val="1"/>
        </w:trPr>
        <w:tc>
          <w:tcPr>
            <w:tcW w:type="dxa" w:w="3389"/>
            <w:tcMar>
              <w:top w:w="50" w:type="dxa"/>
              <w:start w:w="58" w:type="dxa"/>
              <w:bottom w:w="50" w:type="dxa"/>
              <w:end w:w="58" w:type="dxa"/>
            </w:tcMar>
            <w:vAlign w:val="top"/>
          </w:tcPr>
          <w:p>
            <w:r>
              <w:t>Rati Mañjarī</w:t>
            </w:r>
          </w:p>
        </w:tc>
        <w:tc>
          <w:tcPr>
            <w:tcW w:type="dxa" w:w="3389"/>
            <w:tcMar>
              <w:top w:w="50" w:type="dxa"/>
              <w:start w:w="58" w:type="dxa"/>
              <w:bottom w:w="50" w:type="dxa"/>
              <w:end w:w="58" w:type="dxa"/>
            </w:tcMar>
            <w:vAlign w:val="top"/>
          </w:tcPr>
          <w:p>
            <w:r>
              <w:t>Same verse: kecit — 'some say'; also Rati Mañjarī is a named figure in Vilāpa-kusumāñjali 3 and later lineage interpretation strongly favors this identity.</w:t>
            </w:r>
          </w:p>
        </w:tc>
        <w:tc>
          <w:tcPr>
            <w:tcW w:type="dxa" w:w="3389"/>
            <w:tcMar>
              <w:top w:w="50" w:type="dxa"/>
              <w:start w:w="58" w:type="dxa"/>
              <w:bottom w:w="50" w:type="dxa"/>
              <w:end w:w="58" w:type="dxa"/>
            </w:tcMar>
            <w:vAlign w:val="top"/>
          </w:tcPr>
          <w:p>
            <w:r>
              <w:t>Explicit early alternative, later very influential.</w:t>
            </w:r>
          </w:p>
        </w:tc>
      </w:tr>
      <w:tr>
        <w:trPr>
          <w:cantSplit w:val="1"/>
        </w:trPr>
        <w:tc>
          <w:tcPr>
            <w:tcW w:type="dxa" w:w="3389"/>
            <w:tcMar>
              <w:top w:w="50" w:type="dxa"/>
              <w:start w:w="58" w:type="dxa"/>
              <w:bottom w:w="50" w:type="dxa"/>
              <w:end w:w="58" w:type="dxa"/>
            </w:tcMar>
            <w:vAlign w:val="top"/>
          </w:tcPr>
          <w:p>
            <w:r>
              <w:t>Bhānumatī</w:t>
            </w:r>
          </w:p>
        </w:tc>
        <w:tc>
          <w:tcPr>
            <w:tcW w:type="dxa" w:w="3389"/>
            <w:tcMar>
              <w:top w:w="50" w:type="dxa"/>
              <w:start w:w="58" w:type="dxa"/>
              <w:bottom w:w="50" w:type="dxa"/>
              <w:end w:w="58" w:type="dxa"/>
            </w:tcMar>
            <w:vAlign w:val="top"/>
          </w:tcPr>
          <w:p>
            <w:r>
              <w:t>Same verse: kecid āhus ... nāma-bhedataḥ.</w:t>
            </w:r>
          </w:p>
        </w:tc>
        <w:tc>
          <w:tcPr>
            <w:tcW w:type="dxa" w:w="3389"/>
            <w:tcMar>
              <w:top w:w="50" w:type="dxa"/>
              <w:start w:w="58" w:type="dxa"/>
              <w:bottom w:w="50" w:type="dxa"/>
              <w:end w:w="58" w:type="dxa"/>
            </w:tcMar>
            <w:vAlign w:val="top"/>
          </w:tcPr>
          <w:p>
            <w:r>
              <w:t>Explicit early alternative; preserve even if less prominent later.</w:t>
            </w:r>
          </w:p>
        </w:tc>
      </w:tr>
      <w:tr>
        <w:trPr>
          <w:cantSplit w:val="1"/>
        </w:trPr>
        <w:tc>
          <w:tcPr>
            <w:tcW w:type="dxa" w:w="3389"/>
            <w:tcMar>
              <w:top w:w="50" w:type="dxa"/>
              <w:start w:w="58" w:type="dxa"/>
              <w:bottom w:w="50" w:type="dxa"/>
              <w:end w:w="58" w:type="dxa"/>
            </w:tcMar>
            <w:vAlign w:val="top"/>
          </w:tcPr>
          <w:p>
            <w:r>
              <w:t>Tulasī Mañjarī</w:t>
            </w:r>
          </w:p>
        </w:tc>
        <w:tc>
          <w:tcPr>
            <w:tcW w:type="dxa" w:w="3389"/>
            <w:tcMar>
              <w:top w:w="50" w:type="dxa"/>
              <w:start w:w="58" w:type="dxa"/>
              <w:bottom w:w="50" w:type="dxa"/>
              <w:end w:w="58" w:type="dxa"/>
            </w:tcMar>
            <w:vAlign w:val="top"/>
          </w:tcPr>
          <w:p>
            <w:r>
              <w:t>Appears in some later/local retellings.</w:t>
            </w:r>
          </w:p>
        </w:tc>
        <w:tc>
          <w:tcPr>
            <w:tcW w:type="dxa" w:w="3389"/>
            <w:tcMar>
              <w:top w:w="50" w:type="dxa"/>
              <w:start w:w="58" w:type="dxa"/>
              <w:bottom w:w="50" w:type="dxa"/>
              <w:end w:w="58" w:type="dxa"/>
            </w:tcMar>
            <w:vAlign w:val="top"/>
          </w:tcPr>
          <w:p>
            <w:r>
              <w:t>C-level unless a stronger early source is recovered; do not place on same evidentiary level as GGD 186.</w:t>
            </w:r>
          </w:p>
        </w:tc>
      </w:tr>
    </w:tbl>
    <w:p>
      <w:r>
        <w:t>The final biography should allow a devotional sentence such as: “Later Gauḍīya lineages often remember Raghunātha especially as Rati Mañjarī.” But it should immediately add the scholarly note that Kavi Karṇapūra’s verse 186 names Rasa Mañjarī first and explicitly records Rati Mañjarī and Bhānumatī as variant traditions.</w:t>
      </w:r>
    </w:p>
    <w:p>
      <w:r>
        <w:br w:type="page"/>
      </w:r>
    </w:p>
    <w:p>
      <w:pPr>
        <w:pStyle w:val="Heading1"/>
        <w:keepNext w:val="1"/>
        <w:keepLines w:val="1"/>
      </w:pPr>
      <w:r>
        <w:t>16. Rūpa and Rati Mañjarī in Prārthanāmṛta: a useful textual tension</w:t>
      </w:r>
    </w:p>
    <w:p>
      <w:pPr>
        <w:keepNext w:val="1"/>
        <w:keepLines w:val="1"/>
      </w:pPr>
      <w:r>
        <w:t>Prārthanāmṛta-stotra opens with a striking double object of service: Śrī Rūpa and Rati Mañjarī. Later writers quote this verse to demonstrate Raghunātha’s commitment to mañjarī-sevā and Vraja residence.</w:t>
      </w:r>
    </w:p>
    <w:p>
      <w:r>
        <w:t>For source-critical biography, however, it should be treated as a productive tension. If Rati Mañjarī is simply assumed to be the author’s own eternal self, why does the first-person speaker pray for service to Rati Mañjarī’s feet? Possible explanations include dramatic voice, another Rati Mañjarī, fluid devotional persona, or transmission/commentarial complexity. None should be asserted without a secure old commentary.</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METHOD RULE  </w:t>
            </w:r>
            <w:r>
              <w:t>Where the early sources themselves preserve multiple voices or identifications, preserve the complexity. The goal is not to solve a living siddha-pranālī question for the reader; it is to report accurately what each text says.</w:t>
            </w:r>
          </w:p>
        </w:tc>
      </w:tr>
    </w:tbl>
    <w:p>
      <w:pPr>
        <w:pStyle w:val="Heading1"/>
        <w:keepNext w:val="1"/>
        <w:keepLines w:val="1"/>
      </w:pPr>
      <w:r>
        <w:t>17. Rādhā-dāsya is clearer than the exact mañjarī name</w:t>
      </w:r>
    </w:p>
    <w:p>
      <w:r>
        <w:t>Whatever one concludes about Rasa/Rati/Bhānumatī nomenclature, Raghunātha’s desired devotional position is textually unmistakable: service to Rādhā under Her intimate associates.</w:t>
      </w:r>
    </w:p>
    <w:p>
      <w:pPr>
        <w:keepNext w:val="1"/>
        <w:keepLines w:val="1"/>
      </w:pPr>
      <w:r>
        <w:rPr>
          <w:b/>
          <w:color w:val="7B2638"/>
        </w:rPr>
        <w:t>Rādhā-kuṇḍāṣṭaka 5</w:t>
      </w:r>
    </w:p>
    <w:p>
      <w:pPr>
        <w:ind w:left="360" w:right="259"/>
      </w:pPr>
      <w:r>
        <w:rPr>
          <w:i/>
        </w:rPr>
        <w:t>api jana iha kaścid yasya sevā-prasādaiḥ</w:t>
        <w:br/>
        <w:t>praṇaya-sura-latā syāt tasya goṣṭhendra-sūnoḥ |</w:t>
        <w:br/>
        <w:t>sapadi kila mad-īśā-dāsya-puṣpa-praśasyā</w:t>
        <w:br/>
        <w:t>tad ati-surabhi rādhā-kuṇḍam evāśrayo me ||5||</w:t>
      </w:r>
    </w:p>
    <w:p>
      <w:pPr>
        <w:ind w:left="360" w:right="259"/>
      </w:pPr>
      <w:r>
        <w:t>For anyone who receives the grace of serving it, the divine creeper of affection for the son of the lord of the cowherds may arise and is immediately adorned with the celebrated blossom of service to my Mistress. May that exquisitely fragrant Rādhā-kuṇḍa be my shelter.</w:t>
      </w:r>
    </w:p>
    <w:p>
      <w:pPr>
        <w:ind w:left="360"/>
      </w:pPr>
      <w:r>
        <w:rPr>
          <w:b/>
          <w:color w:val="7B2638"/>
        </w:rPr>
        <w:t xml:space="preserve">Research use — </w:t>
      </w:r>
      <w:r>
        <w:t>The goal is explicit: mad-īśā-dāsya, service to 'my Mistress.' This is firmer than any attempt to force one variant siddha-name.</w:t>
      </w:r>
    </w:p>
    <w:p>
      <w:r>
        <w:t>Likewise Sva-saṅkalpa-prakāśa is a service charter: the speaker longs to learn cooking, music, ornamentation, message-carrying, games and kuñja-services from the sakhīs. His literary identity is therefore functional and relational before it is nominal.</w:t>
      </w:r>
    </w:p>
    <w:p>
      <w:pPr>
        <w:pStyle w:val="Heading1"/>
        <w:keepNext w:val="1"/>
        <w:keepLines w:val="1"/>
      </w:pPr>
      <w:r>
        <w:t>18. Theological biography: what his books reveal that later life-sketches miss</w:t>
      </w:r>
    </w:p>
    <w:p>
      <w:pPr>
        <w:ind w:left="259" w:hanging="173"/>
      </w:pPr>
      <w:r>
        <w:rPr>
          <w:b/>
        </w:rPr>
        <w:t xml:space="preserve">• </w:t>
      </w:r>
      <w:r>
        <w:t>Mahāprabhu remains emotionally present in Raghunātha’s Vraja years; Gaurāṅga is not a discarded earlier stage.</w:t>
      </w:r>
    </w:p>
    <w:p>
      <w:pPr>
        <w:ind w:left="259" w:hanging="173"/>
      </w:pPr>
      <w:r>
        <w:rPr>
          <w:b/>
        </w:rPr>
        <w:t xml:space="preserve">• </w:t>
      </w:r>
      <w:r>
        <w:t>Svarūpa Dāmodara is part of the inner architecture of his devotion, not merely the person who supervised him in Purī.</w:t>
      </w:r>
    </w:p>
    <w:p>
      <w:pPr>
        <w:ind w:left="259" w:hanging="173"/>
      </w:pPr>
      <w:r>
        <w:rPr>
          <w:b/>
        </w:rPr>
        <w:t xml:space="preserve">• </w:t>
      </w:r>
      <w:r>
        <w:t>Rūpa is both historical guide and internal service-reference; Rūpānuga identity is encoded in the poetry itself.</w:t>
      </w:r>
    </w:p>
    <w:p>
      <w:pPr>
        <w:ind w:left="259" w:hanging="173"/>
      </w:pPr>
      <w:r>
        <w:rPr>
          <w:b/>
        </w:rPr>
        <w:t xml:space="preserve">• </w:t>
      </w:r>
      <w:r>
        <w:t>Sanātana is remembered as the merciful teacher who made him drink bhakti-rasa joined with vairāgya.</w:t>
      </w:r>
    </w:p>
    <w:p>
      <w:pPr>
        <w:ind w:left="259" w:hanging="173"/>
      </w:pPr>
      <w:r>
        <w:rPr>
          <w:b/>
        </w:rPr>
        <w:t xml:space="preserve">• </w:t>
      </w:r>
      <w:r>
        <w:t>Govardhana and Rādhā-kuṇḍa are not merely places where he happened to retire; he repeatedly prays to belong there.</w:t>
      </w:r>
    </w:p>
    <w:p>
      <w:pPr>
        <w:ind w:left="259" w:hanging="173"/>
      </w:pPr>
      <w:r>
        <w:rPr>
          <w:b/>
        </w:rPr>
        <w:t xml:space="preserve">• </w:t>
      </w:r>
      <w:r>
        <w:t>His desired life is concrete service: cooking, decorating, carrying messages, arranging kuñjas, witnessing and facilitating the Divine Couple’s play.</w:t>
      </w:r>
    </w:p>
    <w:p>
      <w:pPr>
        <w:ind w:left="259" w:hanging="173"/>
      </w:pPr>
      <w:r>
        <w:rPr>
          <w:b/>
        </w:rPr>
        <w:t xml:space="preserve">• </w:t>
      </w:r>
      <w:r>
        <w:t>His severe bodily renunciation should therefore be written as the negative space created by overwhelming positive absorption in this service-world.</w:t>
      </w:r>
    </w:p>
    <w:p>
      <w:pPr>
        <w:pStyle w:val="Heading1"/>
        <w:keepNext w:val="1"/>
        <w:keepLines w:val="1"/>
      </w:pPr>
      <w:r>
        <w:t>19. Literature and pilgrimage geography</w:t>
      </w:r>
    </w:p>
    <w:p>
      <w:r>
        <w:t>Raghunātha’s works were not only read in libraries. Bhakti-ratnākara shows them being used to interpret Vraja on the ground. Mālyahāri-kuṇḍa is explained through Muktā-carita, while Stavāvalī texts name kuṇḍas, ghāṭ-like settings, dāna sites, Govardhana caves, kuñjas and sacred waters.</w:t>
      </w:r>
    </w:p>
    <w:p>
      <w:r>
        <w:t>This will matter directly when the project moves into Rādhā-kuṇḍa parikramā. Some locations around the kuṇḍa are not merely local memorials of Raghunātha; they are places his own literature helped make legible to later pilgrims.</w:t>
      </w:r>
    </w:p>
    <w:p>
      <w:pPr>
        <w:pStyle w:val="Heading1"/>
        <w:keepNext w:val="1"/>
        <w:keepLines w:val="1"/>
      </w:pPr>
      <w:r>
        <w:t>20. Bibliographic ruling: Dāna-carita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Mar>
              <w:top w:w="55" w:type="dxa"/>
              <w:start w:w="60" w:type="dxa"/>
              <w:bottom w:w="55" w:type="dxa"/>
              <w:end w:w="60" w:type="dxa"/>
            </w:tcMar>
          </w:tcPr>
          <w:p>
            <w:r>
              <w:rPr>
                <w:b/>
                <w:color w:val="FFFFFF"/>
              </w:rPr>
              <w:t>Claim</w:t>
            </w:r>
          </w:p>
        </w:tc>
        <w:tc>
          <w:tcPr>
            <w:tcW w:type="dxa" w:w="3389"/>
            <w:shd w:fill="7B2638"/>
            <w:tcMar>
              <w:top w:w="55" w:type="dxa"/>
              <w:start w:w="60" w:type="dxa"/>
              <w:bottom w:w="55" w:type="dxa"/>
              <w:end w:w="60" w:type="dxa"/>
            </w:tcMar>
          </w:tcPr>
          <w:p>
            <w:r>
              <w:rPr>
                <w:b/>
                <w:color w:val="FFFFFF"/>
              </w:rPr>
              <w:t>Evidence</w:t>
            </w:r>
          </w:p>
        </w:tc>
        <w:tc>
          <w:tcPr>
            <w:tcW w:type="dxa" w:w="3389"/>
            <w:shd w:fill="7B2638"/>
            <w:tcMar>
              <w:top w:w="55" w:type="dxa"/>
              <w:start w:w="60" w:type="dxa"/>
              <w:bottom w:w="55" w:type="dxa"/>
              <w:end w:w="60" w:type="dxa"/>
            </w:tcMar>
          </w:tcPr>
          <w:p>
            <w:r>
              <w:rPr>
                <w:b/>
                <w:color w:val="FFFFFF"/>
              </w:rPr>
              <w:t>Ruling</w:t>
            </w:r>
          </w:p>
        </w:tc>
      </w:tr>
      <w:tr>
        <w:trPr>
          <w:cantSplit w:val="1"/>
        </w:trPr>
        <w:tc>
          <w:tcPr>
            <w:tcW w:type="dxa" w:w="3389"/>
            <w:tcMar>
              <w:top w:w="50" w:type="dxa"/>
              <w:start w:w="58" w:type="dxa"/>
              <w:bottom w:w="50" w:type="dxa"/>
              <w:end w:w="58" w:type="dxa"/>
            </w:tcMar>
            <w:vAlign w:val="top"/>
          </w:tcPr>
          <w:p>
            <w:r>
              <w:t>Raghunātha wrote a Dāna-carita.</w:t>
            </w:r>
          </w:p>
        </w:tc>
        <w:tc>
          <w:tcPr>
            <w:tcW w:type="dxa" w:w="3389"/>
            <w:tcMar>
              <w:top w:w="50" w:type="dxa"/>
              <w:start w:w="58" w:type="dxa"/>
              <w:bottom w:w="50" w:type="dxa"/>
              <w:end w:w="58" w:type="dxa"/>
            </w:tcMar>
            <w:vAlign w:val="top"/>
          </w:tcPr>
          <w:p>
            <w:r>
              <w:t>Bhakti-ratnākara book list; later Gauḍīya biographical tradition.</w:t>
            </w:r>
          </w:p>
        </w:tc>
        <w:tc>
          <w:tcPr>
            <w:tcW w:type="dxa" w:w="3389"/>
            <w:tcMar>
              <w:top w:w="50" w:type="dxa"/>
              <w:start w:w="58" w:type="dxa"/>
              <w:bottom w:w="50" w:type="dxa"/>
              <w:end w:w="58" w:type="dxa"/>
            </w:tcMar>
            <w:vAlign w:val="top"/>
          </w:tcPr>
          <w:p>
            <w:r>
              <w:t>Strong B/C bibliographic memory.</w:t>
            </w:r>
          </w:p>
        </w:tc>
      </w:tr>
      <w:tr>
        <w:trPr>
          <w:cantSplit w:val="1"/>
        </w:trPr>
        <w:tc>
          <w:tcPr>
            <w:tcW w:type="dxa" w:w="3389"/>
            <w:tcMar>
              <w:top w:w="50" w:type="dxa"/>
              <w:start w:w="58" w:type="dxa"/>
              <w:bottom w:w="50" w:type="dxa"/>
              <w:end w:w="58" w:type="dxa"/>
            </w:tcMar>
            <w:vAlign w:val="top"/>
          </w:tcPr>
          <w:p>
            <w:r>
              <w:t>A surviving Raghunātha text called Dāna-keli-cintāmaṇi exists.</w:t>
            </w:r>
          </w:p>
        </w:tc>
        <w:tc>
          <w:tcPr>
            <w:tcW w:type="dxa" w:w="3389"/>
            <w:tcMar>
              <w:top w:w="50" w:type="dxa"/>
              <w:start w:w="58" w:type="dxa"/>
              <w:bottom w:w="50" w:type="dxa"/>
              <w:end w:w="58" w:type="dxa"/>
            </w:tcMar>
            <w:vAlign w:val="top"/>
          </w:tcPr>
          <w:p>
            <w:r>
              <w:t>Jīva Institute catalog; Haridāsa Dāsa 1937 edition tradition; multiple later editions; text itself invokes Rūpa and Raghunātha’s voice.</w:t>
            </w:r>
          </w:p>
        </w:tc>
        <w:tc>
          <w:tcPr>
            <w:tcW w:type="dxa" w:w="3389"/>
            <w:tcMar>
              <w:top w:w="50" w:type="dxa"/>
              <w:start w:w="58" w:type="dxa"/>
              <w:bottom w:w="50" w:type="dxa"/>
              <w:end w:w="58" w:type="dxa"/>
            </w:tcMar>
            <w:vAlign w:val="top"/>
          </w:tcPr>
          <w:p>
            <w:r>
              <w:t>A1 text securely attributed in modern critical/editorial tradition.</w:t>
            </w:r>
          </w:p>
        </w:tc>
      </w:tr>
      <w:tr>
        <w:trPr>
          <w:cantSplit w:val="1"/>
        </w:trPr>
        <w:tc>
          <w:tcPr>
            <w:tcW w:type="dxa" w:w="3389"/>
            <w:tcMar>
              <w:top w:w="50" w:type="dxa"/>
              <w:start w:w="58" w:type="dxa"/>
              <w:bottom w:w="50" w:type="dxa"/>
              <w:end w:w="58" w:type="dxa"/>
            </w:tcMar>
            <w:vAlign w:val="top"/>
          </w:tcPr>
          <w:p>
            <w:r>
              <w:t>Dāna-carita = Dāna-keli-cintāmaṇi.</w:t>
            </w:r>
          </w:p>
        </w:tc>
        <w:tc>
          <w:tcPr>
            <w:tcW w:type="dxa" w:w="3389"/>
            <w:tcMar>
              <w:top w:w="50" w:type="dxa"/>
              <w:start w:w="58" w:type="dxa"/>
              <w:bottom w:w="50" w:type="dxa"/>
              <w:end w:w="58" w:type="dxa"/>
            </w:tcMar>
            <w:vAlign w:val="top"/>
          </w:tcPr>
          <w:p>
            <w:r>
              <w:t>Title/theme continuity plus later explicit equivalence in Gauḍīya publishing.</w:t>
            </w:r>
          </w:p>
        </w:tc>
        <w:tc>
          <w:tcPr>
            <w:tcW w:type="dxa" w:w="3389"/>
            <w:tcMar>
              <w:top w:w="50" w:type="dxa"/>
              <w:start w:w="58" w:type="dxa"/>
              <w:bottom w:w="50" w:type="dxa"/>
              <w:end w:w="58" w:type="dxa"/>
            </w:tcMar>
            <w:vAlign w:val="top"/>
          </w:tcPr>
          <w:p>
            <w:r>
              <w:t>High probability; retain small bibliographic qualification until an early explicit equivalence is found.</w:t>
            </w:r>
          </w:p>
        </w:tc>
      </w:tr>
      <w:tr>
        <w:trPr>
          <w:cantSplit w:val="1"/>
        </w:trPr>
        <w:tc>
          <w:tcPr>
            <w:tcW w:type="dxa" w:w="3389"/>
            <w:tcMar>
              <w:top w:w="50" w:type="dxa"/>
              <w:start w:w="58" w:type="dxa"/>
              <w:bottom w:w="50" w:type="dxa"/>
              <w:end w:w="58" w:type="dxa"/>
            </w:tcMar>
            <w:vAlign w:val="top"/>
          </w:tcPr>
          <w:p>
            <w:r>
              <w:t>Rūpa’s Dāna-keli-kaumudī is Raghunātha’s Dāna-carita.</w:t>
            </w:r>
          </w:p>
        </w:tc>
        <w:tc>
          <w:tcPr>
            <w:tcW w:type="dxa" w:w="3389"/>
            <w:tcMar>
              <w:top w:w="50" w:type="dxa"/>
              <w:start w:w="58" w:type="dxa"/>
              <w:bottom w:w="50" w:type="dxa"/>
              <w:end w:w="58" w:type="dxa"/>
            </w:tcMar>
            <w:vAlign w:val="top"/>
          </w:tcPr>
          <w:p>
            <w:r>
              <w:t>Different author and work.</w:t>
            </w:r>
          </w:p>
        </w:tc>
        <w:tc>
          <w:tcPr>
            <w:tcW w:type="dxa" w:w="3389"/>
            <w:tcMar>
              <w:top w:w="50" w:type="dxa"/>
              <w:start w:w="58" w:type="dxa"/>
              <w:bottom w:w="50" w:type="dxa"/>
              <w:end w:w="58" w:type="dxa"/>
            </w:tcMar>
            <w:vAlign w:val="top"/>
          </w:tcPr>
          <w:p>
            <w:r>
              <w:t>False; never conflate.</w:t>
            </w:r>
          </w:p>
        </w:tc>
      </w:tr>
    </w:tbl>
    <w:p>
      <w:pPr>
        <w:pStyle w:val="Heading1"/>
        <w:keepNext w:val="1"/>
        <w:keepLines w:val="1"/>
      </w:pPr>
      <w:r>
        <w:t>21. Source register</w:t>
      </w:r>
    </w:p>
    <w:p>
      <w:pPr>
        <w:pStyle w:val="Heading2"/>
        <w:keepNext w:val="1"/>
        <w:keepLines w:val="1"/>
      </w:pPr>
      <w:r>
        <w:t>Project primary witnesses</w:t>
      </w:r>
    </w:p>
    <w:p>
      <w:pPr>
        <w:ind w:left="259" w:hanging="173"/>
      </w:pPr>
      <w:r>
        <w:rPr>
          <w:b/>
        </w:rPr>
        <w:t xml:space="preserve">• </w:t>
      </w:r>
      <w:r>
        <w:t>Stavāvalī of Raghunātha dāsa Gosvāmin — project PDF; thirty numbered compositions; Sanskrit text entered from various sources.</w:t>
      </w:r>
    </w:p>
    <w:p>
      <w:pPr>
        <w:ind w:left="259" w:hanging="173"/>
      </w:pPr>
      <w:r>
        <w:rPr>
          <w:b/>
        </w:rPr>
        <w:t xml:space="preserve">• </w:t>
      </w:r>
      <w:r>
        <w:t>Muktā-carita — project English/annotated PDF whose title page names Śrīla Raghunāthadāsa Gosvāmin; separate Sanskrit DOC also present.</w:t>
      </w:r>
    </w:p>
    <w:p>
      <w:pPr>
        <w:ind w:left="259" w:hanging="173"/>
      </w:pPr>
      <w:r>
        <w:rPr>
          <w:b/>
        </w:rPr>
        <w:t xml:space="preserve">• </w:t>
      </w:r>
      <w:r>
        <w:t>Gaura-gaṇoddeśa-dīpikā — project English DOC; verse 186 gives Rasa Mañjarī with Rati Mañjarī and Bhānumatī alternatives.</w:t>
      </w:r>
    </w:p>
    <w:p>
      <w:pPr>
        <w:ind w:left="259" w:hanging="173"/>
      </w:pPr>
      <w:r>
        <w:rPr>
          <w:b/>
        </w:rPr>
        <w:t xml:space="preserve">• </w:t>
      </w:r>
      <w:r>
        <w:t>Bhakti-ratnākara — project text; book-list memory and Muktā-carita-guided Mālyahāri pilgrimage.</w:t>
      </w:r>
    </w:p>
    <w:p>
      <w:pPr>
        <w:pStyle w:val="Heading2"/>
        <w:keepNext w:val="1"/>
        <w:keepLines w:val="1"/>
      </w:pPr>
      <w:r>
        <w:t>Externally checked textual/bibliographic witnesses</w:t>
      </w:r>
    </w:p>
    <w:p>
      <w:pPr>
        <w:ind w:left="259" w:hanging="173"/>
      </w:pPr>
      <w:r>
        <w:rPr>
          <w:b/>
        </w:rPr>
        <w:t xml:space="preserve">• </w:t>
      </w:r>
      <w:r>
        <w:t>Kavi Karṇapūra, Gaura-gaṇoddeśa-dīpikā 186 — Sanskrit checked against a current digital Sanskrit edition; exact verse entered in this ledger.</w:t>
      </w:r>
    </w:p>
    <w:p>
      <w:pPr>
        <w:ind w:left="259" w:hanging="173"/>
      </w:pPr>
      <w:r>
        <w:rPr>
          <w:b/>
        </w:rPr>
        <w:t xml:space="preserve">• </w:t>
      </w:r>
      <w:r>
        <w:t>Jīva Institute Grantha Mandira, entry 694, Dāna-keli-cintāmaṇi — attributes 175-verse work to Raghunātha dāsa Gosvāmin and notes Haridāsa Dāsa’s 1937 edition lineage.</w:t>
      </w:r>
    </w:p>
    <w:p>
      <w:pPr>
        <w:ind w:left="259" w:hanging="173"/>
      </w:pPr>
      <w:r>
        <w:rPr>
          <w:b/>
        </w:rPr>
        <w:t xml:space="preserve">• </w:t>
      </w:r>
      <w:r>
        <w:t>Rādhākṛṣṇadāsa Gosvāmin, Sādhanadīpikā — digital Sanskrit witness quotes Muktā-carita 4 and Prārthanāmṛta 1; useful for later reception.</w:t>
      </w:r>
    </w:p>
    <w:p>
      <w:pPr>
        <w:ind w:left="259" w:hanging="173"/>
      </w:pPr>
      <w:r>
        <w:rPr>
          <w:b/>
        </w:rPr>
        <w:t xml:space="preserve">• </w:t>
      </w:r>
      <w:r>
        <w:t>Modern Dāna-keli-cintāmaṇi text editions preserve verse 2 (Rūpa’s foot-dust as literary power) and verse 175 (birth-after-birth prayer to become Rūpa’s foot-dust).</w:t>
      </w:r>
    </w:p>
    <w:p>
      <w:pPr>
        <w:pStyle w:val="Heading1"/>
        <w:keepNext w:val="1"/>
        <w:keepLines w:val="1"/>
      </w:pPr>
      <w:r>
        <w:t>22. Remaining open items before RDG-R03 Final v1.0</w:t>
      </w:r>
    </w:p>
    <w:p>
      <w:pPr>
        <w:ind w:left="259" w:hanging="173"/>
      </w:pPr>
      <w:r>
        <w:rPr>
          <w:b/>
        </w:rPr>
        <w:t xml:space="preserve">• </w:t>
      </w:r>
      <w:r>
        <w:t>Find an early catalog, manuscript colophon or premodern bibliography explicitly stating that Dāna-carita and Dāna-keli-cintāmaṇi are the same work.</w:t>
      </w:r>
    </w:p>
    <w:p>
      <w:pPr>
        <w:ind w:left="259" w:hanging="173"/>
      </w:pPr>
      <w:r>
        <w:rPr>
          <w:b/>
        </w:rPr>
        <w:t xml:space="preserve">• </w:t>
      </w:r>
      <w:r>
        <w:t>Recover the best available Sanskrit critical edition/manuscript history of Gaura-gaṇoddeśa-dīpikā 186 and note textual variants.</w:t>
      </w:r>
    </w:p>
    <w:p>
      <w:pPr>
        <w:ind w:left="259" w:hanging="173"/>
      </w:pPr>
      <w:r>
        <w:rPr>
          <w:b/>
        </w:rPr>
        <w:t xml:space="preserve">• </w:t>
      </w:r>
      <w:r>
        <w:t>Compare old commentaries on Vilāpa-kusumāñjali 1–3, especially the identity of the speaker in verse 3, before making any lineage-specific interpretation normative.</w:t>
      </w:r>
    </w:p>
    <w:p>
      <w:pPr>
        <w:ind w:left="259" w:hanging="173"/>
      </w:pPr>
      <w:r>
        <w:rPr>
          <w:b/>
        </w:rPr>
        <w:t xml:space="preserve">• </w:t>
      </w:r>
      <w:r>
        <w:t>Check whether Prārthanāmṛta-stotra 1 has textual variants in manuscripts/editions that affect 'Rūpa-Rati-Mañjaryor.'</w:t>
      </w:r>
    </w:p>
    <w:p>
      <w:pPr>
        <w:ind w:left="259" w:hanging="173"/>
      </w:pPr>
      <w:r>
        <w:rPr>
          <w:b/>
        </w:rPr>
        <w:t xml:space="preserve">• </w:t>
      </w:r>
      <w:r>
        <w:t>Create a compact quotation packet from Muktā-carita’s opening and closing Sanskrit using a clean Unicode witness rather than the legacy-encoded DOC.</w:t>
      </w:r>
    </w:p>
    <w:p>
      <w:pPr>
        <w:ind w:left="259" w:hanging="173"/>
      </w:pPr>
      <w:r>
        <w:rPr>
          <w:b/>
        </w:rPr>
        <w:t xml:space="preserve">• </w:t>
      </w:r>
      <w:r>
        <w:t>Determine whether the thirty-item Stavāvalī order is stable across major editions or specific to the current digital compilation.</w:t>
      </w:r>
    </w:p>
    <w:p>
      <w:pPr>
        <w:pStyle w:val="Heading1"/>
        <w:keepNext w:val="1"/>
        <w:keepLines w:val="1"/>
      </w:pPr>
      <w:r>
        <w:t>23. Completion ruling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RDG-R03 v0.1 READY  </w:t>
            </w:r>
            <w:r>
              <w:t>The literary foundation is now strong enough for biography writing. Raghunātha’s own voice can control the chapters on guru-relationship, Gaurāṅga memory, Rūpānuga identity, Govardhana/Rādhā-kuṇḍa residence and Rādhā-dāsya. The exact mañjarī-name should remain pluralized according to Gaura-gaṇoddeśa-dīpikā 186, while later Rati-mañjarī emphasis is presented as lineage reception. Dāna-carita can now be linked with high confidence—but still not absolute title-critical certainty—to Dāna-keli-cintāmaṇi.</w:t>
            </w:r>
          </w:p>
        </w:tc>
      </w:tr>
    </w:tbl>
    <w:sectPr w:rsidR="00FC693F" w:rsidRPr="0006063C" w:rsidSect="00034616">
      <w:headerReference w:type="default" r:id="rId9"/>
      <w:footerReference w:type="default" r:id="rId10"/>
      <w:pgSz w:w="12240" w:h="15840"/>
      <w:pgMar w:top="893"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RDG-R03 • Works, Literary Voice &amp; Inner Identity v0.1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RAGHUNĀTHA DĀSA GOSVĀMĪ LITERARY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4A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RDG-R03 — Raghunātha dāsa Gosvāmī Works, Literary Voice, and Inner Identity Research Ledger v0.1</dc:title>
  <dc:subject>Govardhana Pilgrimage — Raghunātha dāsa Gosvāmī literary research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