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RDGB-01</w:t>
      </w:r>
    </w:p>
    <w:p>
      <w:pPr>
        <w:pStyle w:val="Title"/>
        <w:jc w:val="center"/>
      </w:pPr>
      <w:r>
        <w:t>A Child in the House of Twelve Lakhs</w:t>
      </w:r>
    </w:p>
    <w:p>
      <w:pPr>
        <w:pStyle w:val="Subtitle"/>
        <w:jc w:val="center"/>
      </w:pPr>
      <w:r>
        <w:t>Wealth, inheritance, Haridāsa Ṭhākura, and the first quiet movement toward Śrī Caitanya</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DRAFT STATUS  </w:t>
            </w:r>
            <w:r>
              <w:t>Reader-facing Chapter 1 draft. The narrative is controlled chiefly by Caitanya-caritāmṛta Madhya 16.217–219 and Antya 3.165–170, with Bhaktisiddhānta Sarasvatī’s Anubhāṣya used only for later biographical localization and chronology. Raghunātha’s own Gaurāṅga-stava-kalpavṛkṣa 11 supplies the retrospective devotional frame.</w:t>
            </w:r>
          </w:p>
        </w:tc>
      </w:tr>
    </w:tbl>
    <w:p>
      <w:r>
        <w:br w:type="page"/>
      </w:r>
    </w:p>
    <w:p>
      <w:pPr>
        <w:pStyle w:val="Heading1"/>
        <w:keepNext w:val="1"/>
        <w:keepLines w:val="1"/>
      </w:pPr>
      <w:r>
        <w:t>A Child in the House of Twelve Lakhs</w:t>
      </w:r>
    </w:p>
    <w:p>
      <w:pPr>
        <w:ind w:firstLine="317"/>
      </w:pPr>
      <w:r>
        <w:t>Raghunātha dāsa Gosvāmī entered the world inside a house of almost unimaginable abundance. Long before he became the gaunt ascetic of Rādhā-kuṇḍa, living on almost nothing and measuring his days in nāma, remembrance, service and tears, he was the son of Govardhana Majumadāra and the nephew of Hiraṇya Majumadāra, two brothers whose wealth and influence were famous in the Saptagrāma region of Bengal. Kṛṣṇadāsa Kavirāja introduces them without embarrassment: they were men of great aiśvarya, social standing and religious reputation. The future renunciant did not grow up at the margins of society. He grew up at its prosperous center.</w:t>
      </w:r>
    </w:p>
    <w:p>
      <w:pPr>
        <w:ind w:firstLine="317"/>
      </w:pPr>
      <w:r>
        <w:t>The figure Kṛṣṇadāsa gives is deliberately memorable: Hiraṇya and Govardhana were “masters of twelve lakhs of coins” at Saptagrāma. In the translation tradition this is explained as an annual revenue or income of 1,200,000 rupees. Whatever exact economic comparison one might make with a later age, the literary point is unmistakable. Raghunātha was the heir of a household in which wealth was not occasional comfort but an organizing fact of life—land, revenue, dependents, servants, political responsibilities, religious patronage and the expectations attached to a powerful family.</w:t>
      </w:r>
    </w:p>
    <w:p>
      <w:pPr>
        <w:ind w:firstLine="317"/>
      </w:pPr>
      <w:r>
        <w:t>Yet Kṛṣṇadāsa does not paint that household as simply worldly or corrupt. The two brothers are described as generous, respectful of brāhmaṇical culture, well behaved, aristocratic and prominent among religious men. They supported brāhmaṇas of Nadia with money, land and even villages. This matters. Raghunātha’s later renunciation was not a flight from a caricature of wicked parents into holiness. He was born into a family that could recognize saintliness, give in charity and maintain respected Vaiṣṇava teachers. His struggle would be subtler: how does someone whose heart belongs elsewhere live faithfully inside a world that is not merely evil, but good in many recognizable ways and yet cannot hold him?</w:t>
      </w:r>
    </w:p>
    <w:p>
      <w:pPr>
        <w:ind w:firstLine="317"/>
      </w:pPr>
      <w:r>
        <w:t>Later Gauḍīya biographical tradition locates the family home at Śrī-Kṛṣṇapura near Ādi-Saptagrāma and places Raghunātha’s birth approximately in 1416 Śaka, around 1494–1495 CE. That dating is a reconstruction, not a date stated by Kṛṣṇadāsa Kavirāja. More secure than the exact year is the social world preserved in the early narrative: Govardhana was his father; Hiraṇya his powerful uncle; Balarāma Ācārya served as priest in the household circle; Yadunandana Ācārya would become Raghunātha’s spiritual guide. The boy who would one day abandon estates, guards, prestige and inheritance did not first meet devotion after leaving home. It was already woven through the life he inherited.</w:t>
      </w:r>
    </w:p>
    <w:p>
      <w:pPr>
        <w:ind w:firstLine="317"/>
      </w:pPr>
      <w:r>
        <w:t>One of the earliest scenes in which we can actually see the young Raghunātha takes place not in his family mansion but nearby, in Cāndapura. Haridāsa Ṭhākura came there and stayed under the care of Balarāma Ācārya. Kṛṣṇadāsa says that Haridāsa lived in a solitary leaf-thatched cottage, absorbed in kīrtana, while accepting his alms or prasāda through Balarāma’s household. It is a small scene, almost hidden inside the much larger life of Haridāsa. But for Raghunātha’s biography it is decisive.</w:t>
      </w:r>
    </w:p>
    <w:p>
      <w:pPr>
        <w:ind w:firstLine="317"/>
      </w:pPr>
      <w:r>
        <w:t>At that time Raghunātha was still a bālaka—a boy—and was engaged in study. The text does not yet present him as a runaway, a fasting renunciant or a public servant of Caitanya. He is simply a student who goes to see Haridāsa Ṭhākura. The distance between the two worlds could hardly be greater. On one side stood a family whose wealth was measured in lakhs, whose influence extended through land and revenue. On the other sat Haridāsa in a solitary cottage, chanting. And the boy kept going to him.</w:t>
      </w:r>
    </w:p>
    <w:p>
      <w:pPr>
        <w:ind w:firstLine="317"/>
      </w:pPr>
      <w:r>
        <w:t>Kṛṣṇadāsa does not tell us the details of their conversations. We are not given a remembered sermon, a secret mantra or an elaborate initiation scene. Instead he gives something more restrained and, in a way, more powerful: Haridāsa showed mercy to the boy. Then Kṛṣṇadāsa adds an interpretive sentence that reaches across Raghunātha’s entire life—“that mercy became a cause of his attaining Caitanya.” The seed of the later story is thus not Raghunātha’s own heroism. It is kṛpā.</w:t>
      </w:r>
    </w:p>
    <w:p>
      <w:pPr>
        <w:ind w:firstLine="317"/>
      </w:pPr>
      <w:r>
        <w:t>This changes how his biography should be read. It is easy to admire Raghunātha as the man who repeatedly escaped from guards, crossed Bengal almost without food, gave up dependence on his wealthy family, stood at the Siṁha-dvāra, ate rejected rice, worshiped the Govardhana-śilā and finally settled at Rādhā-kuṇḍa. But the earliest narrative logic places mercy before achievement. Before he renounced anything, someone had shown him grace. Before he reached Śrī Caitanya, Haridāsa’s mercy had already become one of the causes leading him there.</w:t>
      </w:r>
    </w:p>
    <w:p>
      <w:pPr>
        <w:ind w:firstLine="317"/>
      </w:pPr>
      <w:r>
        <w:t>There is also a quiet continuity between the young boy at Haridāsa’s cottage and the old Gosvāmī at Rādhā-kuṇḍa. Haridāsa’s life was organized around the holy name; Raghunātha’s mature life would become almost unimaginably concentrated around nāma, remembrance and service. Haridāsa lived with very little; Raghunātha would eventually reduce his own dependence on possessions and food far beyond ordinary measure. Yet the point is not that Raghunātha copied Haridāsa outwardly. His later renunciation would have its own history, and Mahāprabhu Himself would first forbid him from making a show of premature vairāgya. The deeper inheritance was another one: devotion can become so central that the ordinary measures of security, prestige and possession begin to lose their final authority.</w:t>
      </w:r>
    </w:p>
    <w:p>
      <w:pPr>
        <w:ind w:firstLine="317"/>
      </w:pPr>
      <w:r>
        <w:t>Years later, when Raghunātha looked back upon his life in his own Gaurāṅga-stava-kalpavṛkṣa, he described the wealth of his youth with startling language. Gaurāṅga, he said, had lifted him from the “forest fire of immense wealth,” placed him with Svarūpa Dāmodara, and given him the guñjā garland and Govardhana-śilā. The phrase does not mean that money itself was simply evil. It tells us what that world had become to Raghunātha from the inside: something enormous, blazing, difficult to escape, and incapable of giving what his heart required.</w:t>
      </w:r>
    </w:p>
    <w:p>
      <w:pPr>
        <w:ind w:firstLine="317"/>
      </w:pPr>
      <w:r>
        <w:t>But that insight belongs to the man at the far end of the story. The child could not yet see all that would follow. He did not yet know Pānihāṭi, the twelve-day road to Purī, Svarūpa Dāmodara’s embrace, the touch of Mahāprabhu’s hands on Govardhana-śilā, or the banks of Rādhā-kuṇḍa. He knew a prosperous household, his studies, the religious world of his family—and nearby, a solitary Vaiṣṇava whose life was given to the holy name.</w:t>
      </w:r>
    </w:p>
    <w:p>
      <w:pPr>
        <w:ind w:firstLine="317"/>
      </w:pPr>
      <w:r>
        <w:t>So the first movement of Raghunātha’s life is not an escape. It is an attraction. Before he runs from home, he goes toward Haridāsa. Before the gates, guards and roads enter the story, there is darśana. Before the spectacular renunciation for which the world remembers him, there is the almost invisible mercy of a Vaiṣṇava falling upon a boy.</w:t>
      </w:r>
    </w:p>
    <w:p>
      <w:pPr>
        <w:ind w:firstLine="317"/>
      </w:pPr>
      <w:r>
        <w:t>The house of twelve lakhs gave Raghunātha one inheritance. Haridāsa Ṭhākura quietly opened the way to another.</w:t>
      </w:r>
    </w:p>
    <w:p>
      <w:r>
        <w:br w:type="page"/>
      </w:r>
    </w:p>
    <w:p>
      <w:pPr>
        <w:pStyle w:val="Heading1"/>
        <w:keepNext w:val="1"/>
        <w:keepLines w:val="1"/>
      </w:pPr>
      <w:r>
        <w:t>INTERNAL CONTROL APPARATUS • WORKING DRAFT</w:t>
      </w:r>
    </w:p>
    <w:p>
      <w:pPr>
        <w:pStyle w:val="Heading2"/>
        <w:keepNext w:val="1"/>
        <w:keepLines w:val="1"/>
      </w:pPr>
      <w:r>
        <w:t>1. Evidence-layer map</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2513"/>
            <w:shd w:fill="7B2638"/>
            <w:tcMar>
              <w:top w:w="55" w:type="dxa"/>
              <w:start w:w="65" w:type="dxa"/>
              <w:bottom w:w="55" w:type="dxa"/>
              <w:end w:w="65" w:type="dxa"/>
            </w:tcMar>
          </w:tcPr>
          <w:p>
            <w:r>
              <w:rPr>
                <w:b/>
                <w:color w:val="FFFFFF"/>
              </w:rPr>
              <w:t>Claim</w:t>
            </w:r>
          </w:p>
        </w:tc>
        <w:tc>
          <w:tcPr>
            <w:tcW w:type="dxa" w:w="2513"/>
            <w:shd w:fill="7B2638"/>
            <w:tcMar>
              <w:top w:w="55" w:type="dxa"/>
              <w:start w:w="65" w:type="dxa"/>
              <w:bottom w:w="55" w:type="dxa"/>
              <w:end w:w="65" w:type="dxa"/>
            </w:tcMar>
          </w:tcPr>
          <w:p>
            <w:r>
              <w:rPr>
                <w:b/>
                <w:color w:val="FFFFFF"/>
              </w:rPr>
              <w:t>Layer</w:t>
            </w:r>
          </w:p>
        </w:tc>
        <w:tc>
          <w:tcPr>
            <w:tcW w:type="dxa" w:w="2513"/>
            <w:shd w:fill="7B2638"/>
            <w:tcMar>
              <w:top w:w="55" w:type="dxa"/>
              <w:start w:w="65" w:type="dxa"/>
              <w:bottom w:w="55" w:type="dxa"/>
              <w:end w:w="65" w:type="dxa"/>
            </w:tcMar>
          </w:tcPr>
          <w:p>
            <w:r>
              <w:rPr>
                <w:b/>
                <w:color w:val="FFFFFF"/>
              </w:rPr>
              <w:t>Controlling source</w:t>
            </w:r>
          </w:p>
        </w:tc>
        <w:tc>
          <w:tcPr>
            <w:tcW w:type="dxa" w:w="2513"/>
            <w:shd w:fill="7B2638"/>
            <w:tcMar>
              <w:top w:w="55" w:type="dxa"/>
              <w:start w:w="65" w:type="dxa"/>
              <w:bottom w:w="55" w:type="dxa"/>
              <w:end w:w="65" w:type="dxa"/>
            </w:tcMar>
          </w:tcPr>
          <w:p>
            <w:r>
              <w:rPr>
                <w:b/>
                <w:color w:val="FFFFFF"/>
              </w:rPr>
              <w:t>Draft treatment</w:t>
            </w:r>
          </w:p>
        </w:tc>
      </w:tr>
      <w:tr>
        <w:trPr>
          <w:cantSplit w:val="1"/>
        </w:trPr>
        <w:tc>
          <w:tcPr>
            <w:tcW w:type="dxa" w:w="2513"/>
            <w:tcMar>
              <w:top w:w="50" w:type="dxa"/>
              <w:start w:w="60" w:type="dxa"/>
              <w:bottom w:w="50" w:type="dxa"/>
              <w:end w:w="60" w:type="dxa"/>
            </w:tcMar>
            <w:vAlign w:val="top"/>
          </w:tcPr>
          <w:p>
            <w:r>
              <w:t>Hiraṇya and Govardhana were extraordinarily wealthy in Saptagrāma.</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CC Madhya 16.217–219</w:t>
            </w:r>
          </w:p>
        </w:tc>
        <w:tc>
          <w:tcPr>
            <w:tcW w:type="dxa" w:w="2513"/>
            <w:tcMar>
              <w:top w:w="50" w:type="dxa"/>
              <w:start w:w="60" w:type="dxa"/>
              <w:bottom w:w="50" w:type="dxa"/>
              <w:end w:w="60" w:type="dxa"/>
            </w:tcMar>
            <w:vAlign w:val="top"/>
          </w:tcPr>
          <w:p>
            <w:r>
              <w:t>Reader-facing fact; retain Kṛṣṇadāsa’s own scale and adjectives.</w:t>
            </w:r>
          </w:p>
        </w:tc>
      </w:tr>
      <w:tr>
        <w:trPr>
          <w:cantSplit w:val="1"/>
        </w:trPr>
        <w:tc>
          <w:tcPr>
            <w:tcW w:type="dxa" w:w="2513"/>
            <w:tcMar>
              <w:top w:w="50" w:type="dxa"/>
              <w:start w:w="60" w:type="dxa"/>
              <w:bottom w:w="50" w:type="dxa"/>
              <w:end w:w="60" w:type="dxa"/>
            </w:tcMar>
            <w:vAlign w:val="top"/>
          </w:tcPr>
          <w:p>
            <w:r>
              <w:t>Govardhana was Raghunātha’s father; Hiraṇya his uncle.</w:t>
            </w:r>
          </w:p>
        </w:tc>
        <w:tc>
          <w:tcPr>
            <w:tcW w:type="dxa" w:w="2513"/>
            <w:tcMar>
              <w:top w:w="50" w:type="dxa"/>
              <w:start w:w="60" w:type="dxa"/>
              <w:bottom w:w="50" w:type="dxa"/>
              <w:end w:w="60" w:type="dxa"/>
            </w:tcMar>
            <w:vAlign w:val="top"/>
          </w:tcPr>
          <w:p>
            <w:r>
              <w:t>A2 + later explanatory tradition</w:t>
            </w:r>
          </w:p>
        </w:tc>
        <w:tc>
          <w:tcPr>
            <w:tcW w:type="dxa" w:w="2513"/>
            <w:tcMar>
              <w:top w:w="50" w:type="dxa"/>
              <w:start w:w="60" w:type="dxa"/>
              <w:bottom w:w="50" w:type="dxa"/>
              <w:end w:w="60" w:type="dxa"/>
            </w:tcMar>
            <w:vAlign w:val="top"/>
          </w:tcPr>
          <w:p>
            <w:r>
              <w:t>CC context; Madhya 16.217 purport; Ādi 10.91 purport</w:t>
            </w:r>
          </w:p>
        </w:tc>
        <w:tc>
          <w:tcPr>
            <w:tcW w:type="dxa" w:w="2513"/>
            <w:tcMar>
              <w:top w:w="50" w:type="dxa"/>
              <w:start w:w="60" w:type="dxa"/>
              <w:bottom w:w="50" w:type="dxa"/>
              <w:end w:w="60" w:type="dxa"/>
            </w:tcMar>
            <w:vAlign w:val="top"/>
          </w:tcPr>
          <w:p>
            <w:r>
              <w:t>Secure for biography.</w:t>
            </w:r>
          </w:p>
        </w:tc>
      </w:tr>
      <w:tr>
        <w:trPr>
          <w:cantSplit w:val="1"/>
        </w:trPr>
        <w:tc>
          <w:tcPr>
            <w:tcW w:type="dxa" w:w="2513"/>
            <w:tcMar>
              <w:top w:w="50" w:type="dxa"/>
              <w:start w:w="60" w:type="dxa"/>
              <w:bottom w:w="50" w:type="dxa"/>
              <w:end w:w="60" w:type="dxa"/>
            </w:tcMar>
            <w:vAlign w:val="top"/>
          </w:tcPr>
          <w:p>
            <w:r>
              <w:t>Family home at Śrī-Kṛṣṇapura near Ādi-Saptagrāma.</w:t>
            </w:r>
          </w:p>
        </w:tc>
        <w:tc>
          <w:tcPr>
            <w:tcW w:type="dxa" w:w="2513"/>
            <w:tcMar>
              <w:top w:w="50" w:type="dxa"/>
              <w:start w:w="60" w:type="dxa"/>
              <w:bottom w:w="50" w:type="dxa"/>
              <w:end w:w="60" w:type="dxa"/>
            </w:tcMar>
            <w:vAlign w:val="top"/>
          </w:tcPr>
          <w:p>
            <w:r>
              <w:t>Later Gauḍīya biographical localization</w:t>
            </w:r>
          </w:p>
        </w:tc>
        <w:tc>
          <w:tcPr>
            <w:tcW w:type="dxa" w:w="2513"/>
            <w:tcMar>
              <w:top w:w="50" w:type="dxa"/>
              <w:start w:w="60" w:type="dxa"/>
              <w:bottom w:w="50" w:type="dxa"/>
              <w:end w:w="60" w:type="dxa"/>
            </w:tcMar>
            <w:vAlign w:val="top"/>
          </w:tcPr>
          <w:p>
            <w:r>
              <w:t>Bhaktisiddhānta Sarasvatī, Anubhāṣya, quoted in CC Ādi 10.91 purport</w:t>
            </w:r>
          </w:p>
        </w:tc>
        <w:tc>
          <w:tcPr>
            <w:tcW w:type="dxa" w:w="2513"/>
            <w:tcMar>
              <w:top w:w="50" w:type="dxa"/>
              <w:start w:w="60" w:type="dxa"/>
              <w:bottom w:w="50" w:type="dxa"/>
              <w:end w:w="60" w:type="dxa"/>
            </w:tcMar>
            <w:vAlign w:val="top"/>
          </w:tcPr>
          <w:p>
            <w:r>
              <w:t>Explicitly qualified as later biographical tradition.</w:t>
            </w:r>
          </w:p>
        </w:tc>
      </w:tr>
      <w:tr>
        <w:trPr>
          <w:cantSplit w:val="1"/>
        </w:trPr>
        <w:tc>
          <w:tcPr>
            <w:tcW w:type="dxa" w:w="2513"/>
            <w:tcMar>
              <w:top w:w="50" w:type="dxa"/>
              <w:start w:w="60" w:type="dxa"/>
              <w:bottom w:w="50" w:type="dxa"/>
              <w:end w:w="60" w:type="dxa"/>
            </w:tcMar>
            <w:vAlign w:val="top"/>
          </w:tcPr>
          <w:p>
            <w:r>
              <w:t>Birth c.1494–1495.</w:t>
            </w:r>
          </w:p>
        </w:tc>
        <w:tc>
          <w:tcPr>
            <w:tcW w:type="dxa" w:w="2513"/>
            <w:tcMar>
              <w:top w:w="50" w:type="dxa"/>
              <w:start w:w="60" w:type="dxa"/>
              <w:bottom w:w="50" w:type="dxa"/>
              <w:end w:w="60" w:type="dxa"/>
            </w:tcMar>
            <w:vAlign w:val="top"/>
          </w:tcPr>
          <w:p>
            <w:r>
              <w:t>Later chronological reconstruction</w:t>
            </w:r>
          </w:p>
        </w:tc>
        <w:tc>
          <w:tcPr>
            <w:tcW w:type="dxa" w:w="2513"/>
            <w:tcMar>
              <w:top w:w="50" w:type="dxa"/>
              <w:start w:w="60" w:type="dxa"/>
              <w:bottom w:w="50" w:type="dxa"/>
              <w:end w:w="60" w:type="dxa"/>
            </w:tcMar>
            <w:vAlign w:val="top"/>
          </w:tcPr>
          <w:p>
            <w:r>
              <w:t>Anubhāṣya: 'most probably' 1416 Śaka; RDG-R02</w:t>
            </w:r>
          </w:p>
        </w:tc>
        <w:tc>
          <w:tcPr>
            <w:tcW w:type="dxa" w:w="2513"/>
            <w:tcMar>
              <w:top w:w="50" w:type="dxa"/>
              <w:start w:w="60" w:type="dxa"/>
              <w:bottom w:w="50" w:type="dxa"/>
              <w:end w:w="60" w:type="dxa"/>
            </w:tcMar>
            <w:vAlign w:val="top"/>
          </w:tcPr>
          <w:p>
            <w:r>
              <w:t>Never presented as an exact primary-text birth date.</w:t>
            </w:r>
          </w:p>
        </w:tc>
      </w:tr>
      <w:tr>
        <w:trPr>
          <w:cantSplit w:val="1"/>
        </w:trPr>
        <w:tc>
          <w:tcPr>
            <w:tcW w:type="dxa" w:w="2513"/>
            <w:tcMar>
              <w:top w:w="50" w:type="dxa"/>
              <w:start w:w="60" w:type="dxa"/>
              <w:bottom w:w="50" w:type="dxa"/>
              <w:end w:w="60" w:type="dxa"/>
            </w:tcMar>
            <w:vAlign w:val="top"/>
          </w:tcPr>
          <w:p>
            <w:r>
              <w:t>Balarāma Ācārya cared for Haridāsa at Cāndapura.</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CC Antya 3.165–168</w:t>
            </w:r>
          </w:p>
        </w:tc>
        <w:tc>
          <w:tcPr>
            <w:tcW w:type="dxa" w:w="2513"/>
            <w:tcMar>
              <w:top w:w="50" w:type="dxa"/>
              <w:start w:w="60" w:type="dxa"/>
              <w:bottom w:w="50" w:type="dxa"/>
              <w:end w:w="60" w:type="dxa"/>
            </w:tcMar>
            <w:vAlign w:val="top"/>
          </w:tcPr>
          <w:p>
            <w:r>
              <w:t>Reader-facing.</w:t>
            </w:r>
          </w:p>
        </w:tc>
      </w:tr>
      <w:tr>
        <w:trPr>
          <w:cantSplit w:val="1"/>
        </w:trPr>
        <w:tc>
          <w:tcPr>
            <w:tcW w:type="dxa" w:w="2513"/>
            <w:tcMar>
              <w:top w:w="50" w:type="dxa"/>
              <w:start w:w="60" w:type="dxa"/>
              <w:bottom w:w="50" w:type="dxa"/>
              <w:end w:w="60" w:type="dxa"/>
            </w:tcMar>
            <w:vAlign w:val="top"/>
          </w:tcPr>
          <w:p>
            <w:r>
              <w:t>Raghunātha was a boy engaged in study and went to see Haridāsa.</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CC Antya 3.169</w:t>
            </w:r>
          </w:p>
        </w:tc>
        <w:tc>
          <w:tcPr>
            <w:tcW w:type="dxa" w:w="2513"/>
            <w:tcMar>
              <w:top w:w="50" w:type="dxa"/>
              <w:start w:w="60" w:type="dxa"/>
              <w:bottom w:w="50" w:type="dxa"/>
              <w:end w:w="60" w:type="dxa"/>
            </w:tcMar>
            <w:vAlign w:val="top"/>
          </w:tcPr>
          <w:p>
            <w:r>
              <w:t>Reader-facing.</w:t>
            </w:r>
          </w:p>
        </w:tc>
      </w:tr>
      <w:tr>
        <w:trPr>
          <w:cantSplit w:val="1"/>
        </w:trPr>
        <w:tc>
          <w:tcPr>
            <w:tcW w:type="dxa" w:w="2513"/>
            <w:tcMar>
              <w:top w:w="50" w:type="dxa"/>
              <w:start w:w="60" w:type="dxa"/>
              <w:bottom w:w="50" w:type="dxa"/>
              <w:end w:w="60" w:type="dxa"/>
            </w:tcMar>
            <w:vAlign w:val="top"/>
          </w:tcPr>
          <w:p>
            <w:r>
              <w:t>Haridāsa’s mercy became a cause of Raghunātha attaining Caitanya.</w:t>
            </w:r>
          </w:p>
        </w:tc>
        <w:tc>
          <w:tcPr>
            <w:tcW w:type="dxa" w:w="2513"/>
            <w:tcMar>
              <w:top w:w="50" w:type="dxa"/>
              <w:start w:w="60" w:type="dxa"/>
              <w:bottom w:w="50" w:type="dxa"/>
              <w:end w:w="60" w:type="dxa"/>
            </w:tcMar>
            <w:vAlign w:val="top"/>
          </w:tcPr>
          <w:p>
            <w:r>
              <w:t>A2 explicit authorial interpretation</w:t>
            </w:r>
          </w:p>
        </w:tc>
        <w:tc>
          <w:tcPr>
            <w:tcW w:type="dxa" w:w="2513"/>
            <w:tcMar>
              <w:top w:w="50" w:type="dxa"/>
              <w:start w:w="60" w:type="dxa"/>
              <w:bottom w:w="50" w:type="dxa"/>
              <w:end w:w="60" w:type="dxa"/>
            </w:tcMar>
            <w:vAlign w:val="top"/>
          </w:tcPr>
          <w:p>
            <w:r>
              <w:t>CC Antya 3.170</w:t>
            </w:r>
          </w:p>
        </w:tc>
        <w:tc>
          <w:tcPr>
            <w:tcW w:type="dxa" w:w="2513"/>
            <w:tcMar>
              <w:top w:w="50" w:type="dxa"/>
              <w:start w:w="60" w:type="dxa"/>
              <w:bottom w:w="50" w:type="dxa"/>
              <w:end w:w="60" w:type="dxa"/>
            </w:tcMar>
            <w:vAlign w:val="top"/>
          </w:tcPr>
          <w:p>
            <w:r>
              <w:t>The theological hinge of the chapter.</w:t>
            </w:r>
          </w:p>
        </w:tc>
      </w:tr>
      <w:tr>
        <w:trPr>
          <w:cantSplit w:val="1"/>
        </w:trPr>
        <w:tc>
          <w:tcPr>
            <w:tcW w:type="dxa" w:w="2513"/>
            <w:tcMar>
              <w:top w:w="50" w:type="dxa"/>
              <w:start w:w="60" w:type="dxa"/>
              <w:bottom w:w="50" w:type="dxa"/>
              <w:end w:w="60" w:type="dxa"/>
            </w:tcMar>
            <w:vAlign w:val="top"/>
          </w:tcPr>
          <w:p>
            <w:r>
              <w:t>Raghunātha later viewed immense wealth as a forest fire.</w:t>
            </w:r>
          </w:p>
        </w:tc>
        <w:tc>
          <w:tcPr>
            <w:tcW w:type="dxa" w:w="2513"/>
            <w:tcMar>
              <w:top w:w="50" w:type="dxa"/>
              <w:start w:w="60" w:type="dxa"/>
              <w:bottom w:w="50" w:type="dxa"/>
              <w:end w:w="60" w:type="dxa"/>
            </w:tcMar>
            <w:vAlign w:val="top"/>
          </w:tcPr>
          <w:p>
            <w:r>
              <w:t>A1 self-authored</w:t>
            </w:r>
          </w:p>
        </w:tc>
        <w:tc>
          <w:tcPr>
            <w:tcW w:type="dxa" w:w="2513"/>
            <w:tcMar>
              <w:top w:w="50" w:type="dxa"/>
              <w:start w:w="60" w:type="dxa"/>
              <w:bottom w:w="50" w:type="dxa"/>
              <w:end w:w="60" w:type="dxa"/>
            </w:tcMar>
            <w:vAlign w:val="top"/>
          </w:tcPr>
          <w:p>
            <w:r>
              <w:t>Gaurāṅga-stava-kalpavṛkṣa 11</w:t>
            </w:r>
          </w:p>
        </w:tc>
        <w:tc>
          <w:tcPr>
            <w:tcW w:type="dxa" w:w="2513"/>
            <w:tcMar>
              <w:top w:w="50" w:type="dxa"/>
              <w:start w:w="60" w:type="dxa"/>
              <w:bottom w:w="50" w:type="dxa"/>
              <w:end w:w="60" w:type="dxa"/>
            </w:tcMar>
            <w:vAlign w:val="top"/>
          </w:tcPr>
          <w:p>
            <w:r>
              <w:t>Used retrospectively, clearly marked as later self-understanding.</w:t>
            </w:r>
          </w:p>
        </w:tc>
      </w:tr>
    </w:tbl>
    <w:p>
      <w:pPr>
        <w:pStyle w:val="Heading2"/>
        <w:keepNext w:val="1"/>
        <w:keepLines w:val="1"/>
      </w:pPr>
      <w:r>
        <w:t>2. Primary quotation ledger</w:t>
      </w:r>
    </w:p>
    <w:p>
      <w:r>
        <w:rPr>
          <w:b/>
          <w:color w:val="7B2638"/>
        </w:rPr>
        <w:t>Caitanya-caritāmṛta, Madhya 16.217</w:t>
      </w:r>
    </w:p>
    <w:p>
      <w:pPr>
        <w:ind w:left="389" w:right="259"/>
      </w:pPr>
      <w:r>
        <w:rPr>
          <w:i/>
        </w:rPr>
        <w:t>‘hiraṇya’, ‘govardhana’, — dui sahodara</w:t>
        <w:br/>
        <w:t>saptagrāme bāra-lakṣa mudrāra īśvara ||217||</w:t>
      </w:r>
    </w:p>
    <w:p>
      <w:pPr>
        <w:ind w:left="389" w:right="259"/>
      </w:pPr>
      <w:r>
        <w:t>Hiraṇya and Govardhana, two brothers at Saptagrāma, were masters of twelve lakhs of coins.</w:t>
      </w:r>
    </w:p>
    <w:p>
      <w:pPr>
        <w:ind w:left="389"/>
      </w:pPr>
      <w:r>
        <w:rPr>
          <w:b/>
          <w:color w:val="7B2638"/>
        </w:rPr>
        <w:t xml:space="preserve">Research use — </w:t>
      </w:r>
      <w:r>
        <w:t>The BBT translation interprets the figure as annual income of 1,200,000 rupees. The reader prose keeps the Bengali image and avoids modern purchasing-power conversion.</w:t>
      </w:r>
    </w:p>
    <w:p>
      <w:r>
        <w:rPr>
          <w:b/>
          <w:color w:val="7B2638"/>
        </w:rPr>
        <w:t>Caitanya-caritāmṛta, Madhya 16.218</w:t>
      </w:r>
    </w:p>
    <w:p>
      <w:pPr>
        <w:ind w:left="389" w:right="259"/>
      </w:pPr>
      <w:r>
        <w:rPr>
          <w:i/>
        </w:rPr>
        <w:t>mahaiśvarya-yukta duṅhe — vadānya, brahmaṇya</w:t>
        <w:br/>
        <w:t>sadācārī, satkulīna, dhārmikāgra-gaṇya ||218||</w:t>
      </w:r>
    </w:p>
    <w:p>
      <w:pPr>
        <w:ind w:left="389" w:right="259"/>
      </w:pPr>
      <w:r>
        <w:t>Both were possessed of great wealth, generous, respectful of brāhmaṇical culture, well behaved, of good family, and prominent among religious men.</w:t>
      </w:r>
    </w:p>
    <w:p>
      <w:pPr>
        <w:ind w:left="389"/>
      </w:pPr>
      <w:r>
        <w:rPr>
          <w:b/>
          <w:color w:val="7B2638"/>
        </w:rPr>
        <w:t xml:space="preserve">Research use — </w:t>
      </w:r>
      <w:r>
        <w:t>Controls the refusal to caricature Raghunātha’s family as simply irreligious materialists.</w:t>
      </w:r>
    </w:p>
    <w:p>
      <w:r>
        <w:rPr>
          <w:b/>
          <w:color w:val="7B2638"/>
        </w:rPr>
        <w:t>Caitanya-caritāmṛta, Madhya 16.219</w:t>
      </w:r>
    </w:p>
    <w:p>
      <w:pPr>
        <w:ind w:left="389" w:right="259"/>
      </w:pPr>
      <w:r>
        <w:rPr>
          <w:i/>
        </w:rPr>
        <w:t>nadīyā-vāsī, brāhmaṇera upajīvya-prāya</w:t>
        <w:br/>
        <w:t>artha, bhūmi, grāma diyā karena sahāya ||219||</w:t>
      </w:r>
    </w:p>
    <w:p>
      <w:pPr>
        <w:ind w:left="389" w:right="259"/>
      </w:pPr>
      <w:r>
        <w:t>They were almost a source of livelihood for the brāhmaṇas residing in Nadia, assisting them by giving money, land and villages.</w:t>
      </w:r>
    </w:p>
    <w:p>
      <w:pPr>
        <w:ind w:left="389"/>
      </w:pPr>
      <w:r>
        <w:rPr>
          <w:b/>
          <w:color w:val="7B2638"/>
        </w:rPr>
        <w:t xml:space="preserve">Research use — </w:t>
      </w:r>
      <w:r>
        <w:t>Supports the family’s patronage role.</w:t>
      </w:r>
    </w:p>
    <w:p>
      <w:r>
        <w:rPr>
          <w:b/>
          <w:color w:val="7B2638"/>
        </w:rPr>
        <w:t>Caitanya-caritāmṛta, Antya 3.165–168</w:t>
      </w:r>
    </w:p>
    <w:p>
      <w:pPr>
        <w:ind w:left="389" w:right="259"/>
      </w:pPr>
      <w:r>
        <w:rPr>
          <w:i/>
        </w:rPr>
        <w:t>haridāsa-ṭhākura cali’ āilā cāndapure</w:t>
        <w:br/>
        <w:t>āsiyā rahilā balarāma-ācāryera ghare ||165||</w:t>
        <w:br/>
        <w:br/>
        <w:t>hiraṇya, govardhana — dui mulukera majumadāra</w:t>
        <w:br/>
        <w:t>tāra purohita — ‘balarāma’ nāma tāṅra ||166||</w:t>
        <w:br/>
        <w:br/>
        <w:t>haridāsera kṛpā-pātra, tāte bhakti-māne</w:t>
        <w:br/>
        <w:t>yatna kari’ ṭhākurere rākhilā sei grāme ||167||</w:t>
        <w:br/>
        <w:br/>
        <w:t>nirjana parṇa-śālāya karena kīrtana</w:t>
        <w:br/>
        <w:t>balarāma-ācārya-gṛhe bhikṣā-nirvāhaṇa ||168||</w:t>
      </w:r>
    </w:p>
    <w:p>
      <w:pPr>
        <w:ind w:left="389" w:right="259"/>
      </w:pPr>
      <w:r>
        <w:t>Haridāsa Ṭhākura came to Cāndapura and remained under Balarāma Ācārya’s care. Hiraṇya and Govardhana were the local majumadāras, and Balarāma was their priest. Favored by Haridāsa and devoted to him, Balarāma carefully arranged his stay. Haridāsa performed kīrtana in a solitary leaf-thatched cottage and maintained himself through alms from Balarāma Ācārya’s house.</w:t>
      </w:r>
    </w:p>
    <w:p>
      <w:pPr>
        <w:ind w:left="389"/>
      </w:pPr>
      <w:r>
        <w:rPr>
          <w:b/>
          <w:color w:val="7B2638"/>
        </w:rPr>
        <w:t xml:space="preserve">Research use — </w:t>
      </w:r>
      <w:r>
        <w:t>Provides the physical devotional setting in which young Raghunātha encounters Haridāsa.</w:t>
      </w:r>
    </w:p>
    <w:p>
      <w:r>
        <w:rPr>
          <w:b/>
          <w:color w:val="7B2638"/>
        </w:rPr>
        <w:t>Caitanya-caritāmṛta, Antya 3.169–170</w:t>
      </w:r>
    </w:p>
    <w:p>
      <w:pPr>
        <w:ind w:left="389" w:right="259"/>
      </w:pPr>
      <w:r>
        <w:rPr>
          <w:i/>
        </w:rPr>
        <w:t>raghunātha-dāsa bālaka karena adhyayana</w:t>
        <w:br/>
        <w:t>haridāsa-ṭhākurere yāi’ karena darśana ||169||</w:t>
        <w:br/>
        <w:br/>
        <w:t>haridāsa kṛpā kare tāṅhāra upare</w:t>
        <w:br/>
        <w:t>sei kṛpā ‘kāraṇa’ haila caitanya pāibāre ||170||</w:t>
      </w:r>
    </w:p>
    <w:p>
      <w:pPr>
        <w:ind w:left="389" w:right="259"/>
      </w:pPr>
      <w:r>
        <w:t>Raghunātha dāsa, then a boy engaged in study, went to see Haridāsa Ṭhākura. Haridāsa bestowed mercy upon him, and that mercy became a cause of his attaining Caitanya.</w:t>
      </w:r>
    </w:p>
    <w:p>
      <w:pPr>
        <w:ind w:left="389"/>
      </w:pPr>
      <w:r>
        <w:rPr>
          <w:b/>
          <w:color w:val="7B2638"/>
        </w:rPr>
        <w:t xml:space="preserve">Research use — </w:t>
      </w:r>
      <w:r>
        <w:t>The chapter’s decisive early-life anchor. The Bengali is habitual but does not itself contain a separate word meaning 'daily'; the prose therefore avoids making frequency the theological point.</w:t>
      </w:r>
    </w:p>
    <w:p>
      <w:r>
        <w:rPr>
          <w:b/>
          <w:color w:val="7B2638"/>
        </w:rPr>
        <w:t>Raghunātha dāsa Gosvāmī, Gaurāṅga-stava-kalpavṛkṣa 11</w:t>
      </w:r>
    </w:p>
    <w:p>
      <w:pPr>
        <w:ind w:left="389" w:right="259"/>
      </w:pPr>
      <w:r>
        <w:rPr>
          <w:i/>
        </w:rPr>
        <w:t>mahā-sampad-dāvād api patitam uddhṛtya kṛpayā</w:t>
        <w:br/>
        <w:t>svarūpe yaḥ svīye kujanam api māṁ nyasya muditaḥ |</w:t>
        <w:br/>
        <w:t>uro-guñjā-hāraṁ priyam api ca govardhana-śilāṁ</w:t>
        <w:br/>
        <w:t>dadau me gaurāṅgo hṛdaya udayan māṁ madayati ||11||</w:t>
      </w:r>
    </w:p>
    <w:p>
      <w:pPr>
        <w:ind w:left="389" w:right="259"/>
      </w:pPr>
      <w:r>
        <w:t>Gaurāṅga mercifully lifted me, fallen as I was, from the forest fire of immense wealth; joyfully He placed even such a low person as me with His own Svarūpa. He gave me the guñjā garland from His chest and the beloved Govardhana-śilā. Rising in my heart, that Gaurāṅga maddens me.</w:t>
      </w:r>
    </w:p>
    <w:p>
      <w:pPr>
        <w:ind w:left="389"/>
      </w:pPr>
      <w:r>
        <w:rPr>
          <w:b/>
          <w:color w:val="7B2638"/>
        </w:rPr>
        <w:t xml:space="preserve">Research use — </w:t>
      </w:r>
      <w:r>
        <w:t>Self-authored retrospective lens; not used to retroject mature self-understanding into every detail of childhood.</w:t>
      </w:r>
    </w:p>
    <w:p>
      <w:pPr>
        <w:pStyle w:val="Heading2"/>
        <w:keepNext w:val="1"/>
        <w:keepLines w:val="1"/>
      </w:pPr>
      <w:r>
        <w:t>3. Claims deliberately omitted or qualified</w:t>
      </w:r>
    </w:p>
    <w:p>
      <w:pPr>
        <w:ind w:left="259" w:hanging="173"/>
      </w:pPr>
      <w:r>
        <w:rPr>
          <w:b/>
        </w:rPr>
        <w:t xml:space="preserve">• </w:t>
      </w:r>
      <w:r>
        <w:t>No exact Gregorian birth date is given. RDG-R02 controls the c.1494–1495 reconstruction.</w:t>
      </w:r>
    </w:p>
    <w:p>
      <w:pPr>
        <w:ind w:left="259" w:hanging="173"/>
      </w:pPr>
      <w:r>
        <w:rPr>
          <w:b/>
        </w:rPr>
        <w:t xml:space="preserve">• </w:t>
      </w:r>
      <w:r>
        <w:t>No claim is made that 'twelve lakhs' can be responsibly converted into a modern dollar value.</w:t>
      </w:r>
    </w:p>
    <w:p>
      <w:pPr>
        <w:ind w:left="259" w:hanging="173"/>
      </w:pPr>
      <w:r>
        <w:rPr>
          <w:b/>
        </w:rPr>
        <w:t xml:space="preserve">• </w:t>
      </w:r>
      <w:r>
        <w:t>No claim is made that the family was spiritually hostile. CC explicitly praises the brothers’ generosity and religious standing.</w:t>
      </w:r>
    </w:p>
    <w:p>
      <w:pPr>
        <w:ind w:left="259" w:hanging="173"/>
      </w:pPr>
      <w:r>
        <w:rPr>
          <w:b/>
        </w:rPr>
        <w:t xml:space="preserve">• </w:t>
      </w:r>
      <w:r>
        <w:t>No detailed dialogue between young Raghunātha and Haridāsa is invented; CC gives darśana and mercy, not a transcript of instruction.</w:t>
      </w:r>
    </w:p>
    <w:p>
      <w:pPr>
        <w:ind w:left="259" w:hanging="173"/>
      </w:pPr>
      <w:r>
        <w:rPr>
          <w:b/>
        </w:rPr>
        <w:t xml:space="preserve">• </w:t>
      </w:r>
      <w:r>
        <w:t>No claim is made that the boy was already practicing the mature austerities later associated with him.</w:t>
      </w:r>
    </w:p>
    <w:p>
      <w:pPr>
        <w:ind w:left="259" w:hanging="173"/>
      </w:pPr>
      <w:r>
        <w:rPr>
          <w:b/>
        </w:rPr>
        <w:t xml:space="preserve">• </w:t>
      </w:r>
      <w:r>
        <w:t>The wording 'day after day' is avoided as a literal quotation. Antya 3.169 has habitual verbal force; the standard BBT translation says 'daily.'</w:t>
      </w:r>
    </w:p>
    <w:p>
      <w:pPr>
        <w:ind w:left="259" w:hanging="173"/>
      </w:pPr>
      <w:r>
        <w:rPr>
          <w:b/>
        </w:rPr>
        <w:t xml:space="preserve">• </w:t>
      </w:r>
      <w:r>
        <w:t>Śrī-Kṛṣṇapura localization and the 1416 Śaka birth estimate are later Gauḍīya biographical reconstruction, not root CC wording.</w:t>
      </w:r>
    </w:p>
    <w:p>
      <w:pPr>
        <w:pStyle w:val="Heading2"/>
        <w:keepNext w:val="1"/>
        <w:keepLines w:val="1"/>
      </w:pPr>
      <w:r>
        <w:t>4. Continuity handoff to Chapter 2</w:t>
      </w:r>
    </w:p>
    <w:p>
      <w:r>
        <w:t>Chapter 2 should begin with the young Raghunātha’s growing attraction to Mahāprabhu and the first Śāntipura encounter after the Lord’s sannyāsa. It should preserve the distinction between this early attraction and the later Śāntipura instruction against markaṭa-vairāgya. The narrative movement should be: mercy received → longing intensifies → first direct contact with Mahāprabhu → repeated desire to leave → Mahāprabhu teaches him to remain steady.</w:t>
      </w:r>
    </w:p>
    <w:p>
      <w:pPr>
        <w:pStyle w:val="Heading2"/>
        <w:keepNext w:val="1"/>
        <w:keepLines w:val="1"/>
      </w:pPr>
      <w:r>
        <w:t>5. Finalization checklist for RDGB-01</w:t>
      </w:r>
    </w:p>
    <w:p>
      <w:pPr>
        <w:ind w:left="259" w:hanging="173"/>
      </w:pPr>
      <w:r>
        <w:rPr>
          <w:b/>
        </w:rPr>
        <w:t xml:space="preserve">• </w:t>
      </w:r>
      <w:r>
        <w:t>Verify every Bengali quotation once more against the controlling online CC witness before Final v1.0.</w:t>
      </w:r>
    </w:p>
    <w:p>
      <w:pPr>
        <w:ind w:left="259" w:hanging="173"/>
      </w:pPr>
      <w:r>
        <w:rPr>
          <w:b/>
        </w:rPr>
        <w:t xml:space="preserve">• </w:t>
      </w:r>
      <w:r>
        <w:t>Re-read RDG-R01–R03 to ensure the prose does not anticipate later chronology too heavily.</w:t>
      </w:r>
    </w:p>
    <w:p>
      <w:pPr>
        <w:ind w:left="259" w:hanging="173"/>
      </w:pPr>
      <w:r>
        <w:rPr>
          <w:b/>
        </w:rPr>
        <w:t xml:space="preserve">• </w:t>
      </w:r>
      <w:r>
        <w:t>Decide whether the final chapter should retain the phrase 'House of Twelve Lakhs' as title or use it only as a subtitle.</w:t>
      </w:r>
    </w:p>
    <w:p>
      <w:pPr>
        <w:ind w:left="259" w:hanging="173"/>
      </w:pPr>
      <w:r>
        <w:rPr>
          <w:b/>
        </w:rPr>
        <w:t xml:space="preserve">• </w:t>
      </w:r>
      <w:r>
        <w:t>Literary pass: keep the opening contrast strong without romanticizing poverty or demonizing wealth.</w:t>
      </w:r>
    </w:p>
    <w:p>
      <w:pPr>
        <w:ind w:left="259" w:hanging="173"/>
      </w:pPr>
      <w:r>
        <w:rPr>
          <w:b/>
        </w:rPr>
        <w:t xml:space="preserve">• </w:t>
      </w:r>
      <w:r>
        <w:t>User approval required before Final v1.0.</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RDGB-01 • Draft v0.1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55555"/>
        <w:sz w:val="16"/>
      </w:rP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RDGB-01 — A Child in the House of Twelve Lakhs — Draft v0.1</dc:title>
  <dc:subject>Govardhana Pilgrimage — Raghunātha dāsa Gosvāmī biography</dc:subject>
  <dc:creator>python-docx</dc:creator>
  <cp:keywords>Raghunatha dasa Gosvami, Haridasa Thakura, Saptagrama, Caitanya-caritamrta, biography</cp:keywords>
  <dc:description>generated by python-docx</dc:description>
  <cp:lastModifiedBy/>
  <cp:revision>1</cp:revision>
  <dcterms:created xsi:type="dcterms:W3CDTF">2013-12-23T23:15:00Z</dcterms:created>
  <dcterms:modified xsi:type="dcterms:W3CDTF">2013-12-23T23:15:00Z</dcterms:modified>
  <cp:category/>
</cp:coreProperties>
</file>