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RDGB-02</w:t>
      </w:r>
    </w:p>
    <w:p>
      <w:pPr>
        <w:pStyle w:val="Title"/>
        <w:jc w:val="center"/>
      </w:pPr>
      <w:r>
        <w:t>At Śāntipura</w:t>
      </w:r>
    </w:p>
    <w:p>
      <w:pPr>
        <w:pStyle w:val="Subtitle"/>
        <w:jc w:val="center"/>
      </w:pPr>
      <w:r>
        <w:t>Longing, restraint, and the education of renunciation</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DRAFT STATUS  </w:t>
            </w:r>
            <w:r>
              <w:t>Reader-facing Chapter 2 draft. The controlling source is Caitanya-caritāmṛta Madhya 16.222–243, cross-checked against Antya 6.14–15. A critical distinction is preserved between Raghunātha’s first Śāntipura meeting with Mahāprabhu after sannyāsa and the later Śāntipura meeting at which Mahāprabhu instructed him against premature external renunciation.</w:t>
            </w:r>
          </w:p>
        </w:tc>
      </w:tr>
    </w:tbl>
    <w:p>
      <w:r>
        <w:br w:type="page"/>
      </w:r>
    </w:p>
    <w:p>
      <w:pPr>
        <w:pStyle w:val="Heading1"/>
        <w:keepNext w:val="1"/>
        <w:keepLines w:val="1"/>
      </w:pPr>
      <w:r>
        <w:t>At Śāntipura</w:t>
      </w:r>
    </w:p>
    <w:p>
      <w:pPr>
        <w:ind w:firstLine="317"/>
      </w:pPr>
      <w:r>
        <w:t>The mercy of Haridāsa Ṭhākura did not make Raghunātha’s outward life simpler. It made his inward life harder to ignore. Kṛṣṇadāsa Kavirāja says plainly that from childhood Raghunātha was udāsa toward viṣaya—indifferent to material enjoyment. Yet he remained the son of Govardhana Majumadāra, heir to a household that could surround him with every comfort, every responsibility and every reason to remain. His longing did not arise because there was nothing for him at home. It arose despite there being almost everything.</w:t>
      </w:r>
    </w:p>
    <w:p>
      <w:pPr>
        <w:ind w:firstLine="317"/>
      </w:pPr>
      <w:r>
        <w:t>The first direct meeting with Śrī Caitanya came after the Lord accepted sannyāsa and returned for a time to Śāntipura. Raghunātha came there and fell at Mahāprabhu’s feet, overwhelmed with love. Kṛṣṇadāsa describes the Lord responding not with a discourse but with touch: out of mercy, Mahāprabhu touched Raghunātha with His feet. The family connection mattered here too. Govardhana had long served Advaita Ācārya, and through Advaita’s favor Raghunātha received Mahāprabhu’s remnants and remained near the Lord for several days.</w:t>
      </w:r>
    </w:p>
    <w:p>
      <w:pPr>
        <w:ind w:firstLine="317"/>
      </w:pPr>
      <w:r>
        <w:t>For five or seven days, Kṛṣṇadāsa says, he had the sight and service of those feet. Then Mahāprabhu departed for Nīlācala. Raghunātha went home—and something in him no longer knew how to live as before. The text says he became premete pāgala, “mad in love.” Again and again he tried to leave for Jagannātha Purī. Again and again his father had him brought back.</w:t>
      </w:r>
    </w:p>
    <w:p>
      <w:pPr>
        <w:ind w:firstLine="317"/>
      </w:pPr>
      <w:r>
        <w:t>The household responded as powerful households respond when an only heir begins disappearing down the road. Five watchmen guarded him day and night. Four personal servants remained with him. Two brāhmaṇas attended to his food. Eleven people in all were assigned to keep him continuously under control. The arrangement tells us two things at once. His family was determined not to lose him. And his longing was serious enough that ordinary persuasion had failed.</w:t>
      </w:r>
    </w:p>
    <w:p>
      <w:pPr>
        <w:ind w:firstLine="317"/>
      </w:pPr>
      <w:r>
        <w:t>This is the first place where the later image of Raghunātha as an unstoppable renunciant can mislead us. He did not immediately succeed. He wanted to go. He tried. He was caught. He was guarded. He was unhappy. For a long stretch of his early life, devotion did not appear as triumphant freedom but as frustrated longing.</w:t>
      </w:r>
    </w:p>
    <w:p>
      <w:pPr>
        <w:ind w:firstLine="317"/>
      </w:pPr>
      <w:r>
        <w:t>Then Mahāprabhu came again to Śāntipura. This was a later visit, after the Lord had set out toward Vṛndāvana with a vast following and then turned back. When Raghunātha heard that He was nearby, he pleaded with his father for permission to go: “Let me see the Lord’s feet; otherwise life will not remain in my body.” Govardhana relented, but not without precautions. He sent his son with servants and provisions and told him to return quickly.</w:t>
      </w:r>
    </w:p>
    <w:p>
      <w:pPr>
        <w:ind w:firstLine="317"/>
      </w:pPr>
      <w:r>
        <w:t>Raghunātha remained with Mahāprabhu at Śāntipura for seven days. Day and night his mind circled around one question: how could he escape the hands of the guards and go with the Lord to Nīlācala? He was standing in the presence of the person for whom he had tried repeatedly to abandon home, and yet even there he was thinking in terms of flight—how to break free, how to make the decisive move, how to end the contradiction all at once.</w:t>
      </w:r>
    </w:p>
    <w:p>
      <w:pPr>
        <w:ind w:firstLine="317"/>
      </w:pPr>
      <w:r>
        <w:t>Mahāprabhu answered the desire beneath the words before Raghunātha spoke it aloud. Kṛṣṇadāsa introduces the instruction as āśvāsa-vacana—words of reassurance. That is important. The Lord was not rejecting his longing. He was disciplining it.</w:t>
      </w:r>
    </w:p>
    <w:p>
      <w:pPr>
        <w:ind w:firstLine="317"/>
      </w:pPr>
      <w:r>
        <w:t>“Be steady and go home,” Mahāprabhu told him. “Do not become vātula—wild, frantic, unbalanced. Gradually a person reaches the far shore of the ocean of material existence.” Then came the sentence that would govern the next stage of Raghunātha’s life: “Do not practice markaṭa-vairāgya for people to see. Accept what is appropriate in the material sphere without attachment.”</w:t>
      </w:r>
    </w:p>
    <w:p>
      <w:pPr>
        <w:ind w:firstLine="317"/>
      </w:pPr>
      <w:r>
        <w:t>Markaṭa-vairāgya literally evokes the renunciation of a monkey: outwardly naked, apparently possessing nothing, while inwardly the life of appetite continues. In later Gauḍīya explanation the expression becomes a warning against renunciation that is external, theatrical or premature. Mahāprabhu did not tell Raghunātha that vairāgya was unnecessary. He told the future emblem of vairāgya that renunciation had to become true before it became visible.</w:t>
      </w:r>
    </w:p>
    <w:p>
      <w:pPr>
        <w:ind w:firstLine="317"/>
      </w:pPr>
      <w:r>
        <w:t>The next instruction is even more exact: antare niṣṭhā kara, bāhye loka-vyavahāra—“make firmness within; outwardly conduct yourself in ordinary human dealings.” The sentence divides Raghunātha’s life into an inner and outer discipline. Inside: niṣṭhā, unwavering orientation. Outside: loka-vyavahāra, the conduct required to live among people. The two are not hypocrisy. They are obedience.</w:t>
      </w:r>
    </w:p>
    <w:p>
      <w:pPr>
        <w:ind w:firstLine="317"/>
      </w:pPr>
      <w:r>
        <w:t>Mahāprabhu also gave him hope. After returning from Vṛndāvana to Nīlācala, the Lord said, Raghunātha could come by some pretext. But even the means of escape was not to be manufactured by force. “At that time Kṛṣṇa will reveal the means to you. If Kṛṣṇa bestows mercy upon someone, who can keep him back?” The timing of liberation was placed not in Raghunātha’s ingenuity but in grace.</w:t>
      </w:r>
    </w:p>
    <w:p>
      <w:pPr>
        <w:ind w:firstLine="317"/>
      </w:pPr>
      <w:r>
        <w:t>This is one of the decisive reversals in his biography. Until now, Raghunātha had interpreted sincerity largely as leaving. Mahāprabhu now asked him to prove sincerity by staying. The boy who had repeatedly run toward Purī was told to walk back into the same household, the same wealth, the same expectations, the same family eyes—and not pretend that inner freedom depended upon changing his clothes or his address.</w:t>
      </w:r>
    </w:p>
    <w:p>
      <w:pPr>
        <w:ind w:firstLine="317"/>
      </w:pPr>
      <w:r>
        <w:t>Kṛṣṇadāsa is explicit that Raghunātha obeyed. He returned home and practiced Mahāprabhu’s instruction. He abandoned bāhya-vairāgya, external renunciation, and the frantic behavior that had accompanied it. He performed the duties appropriate to his position without attachment. Antya-līlā later summarizes the transformation in an almost paradoxical phrase: he became viṣayi-prāya—he looked almost like a worldly man. Inside, however, vairāgya remained.</w:t>
      </w:r>
    </w:p>
    <w:p>
      <w:pPr>
        <w:ind w:firstLine="317"/>
      </w:pPr>
      <w:r>
        <w:t>His parents were relieved. From the outside it appeared that the crisis had passed. Their son was functioning. He carried out responsibilities. He no longer continually staged his desire to flee. The guards could loosen their fear. The wealthy heir seemed to have returned to the world that belonged to him.</w:t>
      </w:r>
    </w:p>
    <w:p>
      <w:pPr>
        <w:ind w:firstLine="317"/>
      </w:pPr>
      <w:r>
        <w:t>But Mahāprabhu had not taught him to forget. He had taught him how to wait.</w:t>
      </w:r>
    </w:p>
    <w:p>
      <w:pPr>
        <w:ind w:firstLine="317"/>
      </w:pPr>
      <w:r>
        <w:t>That waiting would become its own sādhana. Before Raghunātha learned how to leave everything, he had to learn how not to be owned by the things he had not yet left. Before the outer renunciation came the inner separation. Before the road opened, he had to become steady enough that when Kṛṣṇa finally revealed the way, he could walk it without looking back.</w:t>
      </w:r>
    </w:p>
    <w:p>
      <w:r>
        <w:br w:type="page"/>
      </w:r>
    </w:p>
    <w:p>
      <w:pPr>
        <w:pStyle w:val="Heading1"/>
        <w:keepNext w:val="1"/>
        <w:keepLines w:val="1"/>
      </w:pPr>
      <w:r>
        <w:t>INTERNAL CONTROL APPARATUS • WORKING DRAFT</w:t>
      </w:r>
    </w:p>
    <w:p>
      <w:pPr>
        <w:pStyle w:val="Heading2"/>
        <w:keepNext w:val="1"/>
        <w:keepLines w:val="1"/>
      </w:pPr>
      <w:r>
        <w:t>1. Narrative structure and source chronology</w:t>
      </w:r>
    </w:p>
    <w:tbl>
      <w:tblPr>
        <w:tblStyle w:val="TableGrid"/>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2232"/>
            <w:shd w:fill="7B2638"/>
            <w:tcMar>
              <w:top w:w="55" w:type="dxa"/>
              <w:start w:w="65" w:type="dxa"/>
              <w:bottom w:w="55" w:type="dxa"/>
              <w:end w:w="65" w:type="dxa"/>
            </w:tcMar>
          </w:tcPr>
          <w:p>
            <w:r>
              <w:rPr>
                <w:b/>
                <w:color w:val="FFFFFF"/>
                <w:sz w:val="18"/>
              </w:rPr>
              <w:t>Narrative unit</w:t>
            </w:r>
          </w:p>
        </w:tc>
        <w:tc>
          <w:tcPr>
            <w:tcW w:type="dxa" w:w="2232"/>
            <w:shd w:fill="7B2638"/>
            <w:tcMar>
              <w:top w:w="55" w:type="dxa"/>
              <w:start w:w="65" w:type="dxa"/>
              <w:bottom w:w="55" w:type="dxa"/>
              <w:end w:w="65" w:type="dxa"/>
            </w:tcMar>
          </w:tcPr>
          <w:p>
            <w:r>
              <w:rPr>
                <w:b/>
                <w:color w:val="FFFFFF"/>
                <w:sz w:val="18"/>
              </w:rPr>
              <w:t>Locus</w:t>
            </w:r>
          </w:p>
        </w:tc>
        <w:tc>
          <w:tcPr>
            <w:tcW w:type="dxa" w:w="2088"/>
            <w:shd w:fill="7B2638"/>
            <w:tcMar>
              <w:top w:w="55" w:type="dxa"/>
              <w:start w:w="65" w:type="dxa"/>
              <w:bottom w:w="55" w:type="dxa"/>
              <w:end w:w="65" w:type="dxa"/>
            </w:tcMar>
          </w:tcPr>
          <w:p>
            <w:r>
              <w:rPr>
                <w:b/>
                <w:color w:val="FFFFFF"/>
                <w:sz w:val="18"/>
              </w:rPr>
              <w:t>Source ruling</w:t>
            </w:r>
          </w:p>
        </w:tc>
        <w:tc>
          <w:tcPr>
            <w:tcW w:type="dxa" w:w="3384"/>
            <w:shd w:fill="7B2638"/>
            <w:tcMar>
              <w:top w:w="55" w:type="dxa"/>
              <w:start w:w="65" w:type="dxa"/>
              <w:bottom w:w="55" w:type="dxa"/>
              <w:end w:w="65" w:type="dxa"/>
            </w:tcMar>
          </w:tcPr>
          <w:p>
            <w:r>
              <w:rPr>
                <w:b/>
                <w:color w:val="FFFFFF"/>
                <w:sz w:val="18"/>
              </w:rPr>
              <w:t>Control</w:t>
            </w:r>
          </w:p>
        </w:tc>
      </w:tr>
      <w:tr>
        <w:trPr>
          <w:cantSplit w:val="1"/>
        </w:trPr>
        <w:tc>
          <w:tcPr>
            <w:tcW w:type="dxa" w:w="2232"/>
            <w:tcMar>
              <w:top w:w="50" w:type="dxa"/>
              <w:start w:w="60" w:type="dxa"/>
              <w:bottom w:w="50" w:type="dxa"/>
              <w:end w:w="60" w:type="dxa"/>
            </w:tcMar>
            <w:vAlign w:val="top"/>
          </w:tcPr>
          <w:p>
            <w:r>
              <w:rPr>
                <w:sz w:val="18"/>
              </w:rPr>
              <w:t>Childhood detachment</w:t>
            </w:r>
          </w:p>
        </w:tc>
        <w:tc>
          <w:tcPr>
            <w:tcW w:type="dxa" w:w="2232"/>
            <w:tcMar>
              <w:top w:w="50" w:type="dxa"/>
              <w:start w:w="60" w:type="dxa"/>
              <w:bottom w:w="50" w:type="dxa"/>
              <w:end w:w="60" w:type="dxa"/>
            </w:tcMar>
            <w:vAlign w:val="top"/>
          </w:tcPr>
          <w:p>
            <w:r>
              <w:rPr>
                <w:sz w:val="18"/>
              </w:rPr>
              <w:t>CC Madhya 16.222</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viṣaye udāsa = uninterested/indifferent toward material enjoyment; do not over-psychologize.</w:t>
            </w:r>
          </w:p>
        </w:tc>
      </w:tr>
      <w:tr>
        <w:trPr>
          <w:cantSplit w:val="1"/>
        </w:trPr>
        <w:tc>
          <w:tcPr>
            <w:tcW w:type="dxa" w:w="2232"/>
            <w:tcMar>
              <w:top w:w="50" w:type="dxa"/>
              <w:start w:w="60" w:type="dxa"/>
              <w:bottom w:w="50" w:type="dxa"/>
              <w:end w:w="60" w:type="dxa"/>
            </w:tcMar>
            <w:vAlign w:val="top"/>
          </w:tcPr>
          <w:p>
            <w:r>
              <w:rPr>
                <w:sz w:val="18"/>
              </w:rPr>
              <w:t>First Śāntipura meeting after sannyāsa</w:t>
            </w:r>
          </w:p>
        </w:tc>
        <w:tc>
          <w:tcPr>
            <w:tcW w:type="dxa" w:w="2232"/>
            <w:tcMar>
              <w:top w:w="50" w:type="dxa"/>
              <w:start w:w="60" w:type="dxa"/>
              <w:bottom w:w="50" w:type="dxa"/>
              <w:end w:w="60" w:type="dxa"/>
            </w:tcMar>
            <w:vAlign w:val="top"/>
          </w:tcPr>
          <w:p>
            <w:r>
              <w:rPr>
                <w:sz w:val="18"/>
              </w:rPr>
              <w:t>CC Madhya 16.223–226</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Distinct from the later Śāntipura instruction episode.</w:t>
            </w:r>
          </w:p>
        </w:tc>
      </w:tr>
      <w:tr>
        <w:trPr>
          <w:cantSplit w:val="1"/>
        </w:trPr>
        <w:tc>
          <w:tcPr>
            <w:tcW w:type="dxa" w:w="2232"/>
            <w:tcMar>
              <w:top w:w="50" w:type="dxa"/>
              <w:start w:w="60" w:type="dxa"/>
              <w:bottom w:w="50" w:type="dxa"/>
              <w:end w:w="60" w:type="dxa"/>
            </w:tcMar>
            <w:vAlign w:val="top"/>
          </w:tcPr>
          <w:p>
            <w:r>
              <w:rPr>
                <w:sz w:val="18"/>
              </w:rPr>
              <w:t>Return home and repeated escape attempts</w:t>
            </w:r>
          </w:p>
        </w:tc>
        <w:tc>
          <w:tcPr>
            <w:tcW w:type="dxa" w:w="2232"/>
            <w:tcMar>
              <w:top w:w="50" w:type="dxa"/>
              <w:start w:w="60" w:type="dxa"/>
              <w:bottom w:w="50" w:type="dxa"/>
              <w:end w:w="60" w:type="dxa"/>
            </w:tcMar>
            <w:vAlign w:val="top"/>
          </w:tcPr>
          <w:p>
            <w:r>
              <w:rPr>
                <w:sz w:val="18"/>
              </w:rPr>
              <w:t>CC Madhya 16.227–230</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Five guards + four servants + two brāhmaṇas = eleven attendants/controllers.</w:t>
            </w:r>
          </w:p>
        </w:tc>
      </w:tr>
      <w:tr>
        <w:trPr>
          <w:cantSplit w:val="1"/>
        </w:trPr>
        <w:tc>
          <w:tcPr>
            <w:tcW w:type="dxa" w:w="2232"/>
            <w:tcMar>
              <w:top w:w="50" w:type="dxa"/>
              <w:start w:w="60" w:type="dxa"/>
              <w:bottom w:w="50" w:type="dxa"/>
              <w:end w:w="60" w:type="dxa"/>
            </w:tcMar>
            <w:vAlign w:val="top"/>
          </w:tcPr>
          <w:p>
            <w:r>
              <w:rPr>
                <w:sz w:val="18"/>
              </w:rPr>
              <w:t>Later Śāntipura meeting</w:t>
            </w:r>
          </w:p>
        </w:tc>
        <w:tc>
          <w:tcPr>
            <w:tcW w:type="dxa" w:w="2232"/>
            <w:tcMar>
              <w:top w:w="50" w:type="dxa"/>
              <w:start w:w="60" w:type="dxa"/>
              <w:bottom w:w="50" w:type="dxa"/>
              <w:end w:w="60" w:type="dxa"/>
            </w:tcMar>
            <w:vAlign w:val="top"/>
          </w:tcPr>
          <w:p>
            <w:r>
              <w:rPr>
                <w:sz w:val="18"/>
              </w:rPr>
              <w:t>CC Madhya 16.231–241</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This is where the major renunciation instruction occurs.</w:t>
            </w:r>
          </w:p>
        </w:tc>
      </w:tr>
      <w:tr>
        <w:trPr>
          <w:cantSplit w:val="1"/>
        </w:trPr>
        <w:tc>
          <w:tcPr>
            <w:tcW w:type="dxa" w:w="2232"/>
            <w:tcMar>
              <w:top w:w="50" w:type="dxa"/>
              <w:start w:w="60" w:type="dxa"/>
              <w:bottom w:w="50" w:type="dxa"/>
              <w:end w:w="60" w:type="dxa"/>
            </w:tcMar>
            <w:vAlign w:val="top"/>
          </w:tcPr>
          <w:p>
            <w:r>
              <w:rPr>
                <w:sz w:val="18"/>
              </w:rPr>
              <w:t>Obedient return</w:t>
            </w:r>
          </w:p>
        </w:tc>
        <w:tc>
          <w:tcPr>
            <w:tcW w:type="dxa" w:w="2232"/>
            <w:tcMar>
              <w:top w:w="50" w:type="dxa"/>
              <w:start w:w="60" w:type="dxa"/>
              <w:bottom w:w="50" w:type="dxa"/>
              <w:end w:w="60" w:type="dxa"/>
            </w:tcMar>
            <w:vAlign w:val="top"/>
          </w:tcPr>
          <w:p>
            <w:r>
              <w:rPr>
                <w:sz w:val="18"/>
              </w:rPr>
              <w:t>CC Madhya 16.242–243; Antya 6.14–15</w:t>
            </w:r>
          </w:p>
        </w:tc>
        <w:tc>
          <w:tcPr>
            <w:tcW w:type="dxa" w:w="2088"/>
            <w:tcMar>
              <w:top w:w="50" w:type="dxa"/>
              <w:start w:w="60" w:type="dxa"/>
              <w:bottom w:w="50" w:type="dxa"/>
              <w:end w:w="60" w:type="dxa"/>
            </w:tcMar>
            <w:vAlign w:val="top"/>
          </w:tcPr>
          <w:p>
            <w:r>
              <w:rPr>
                <w:sz w:val="18"/>
              </w:rPr>
              <w:t>A2 explicit</w:t>
            </w:r>
          </w:p>
        </w:tc>
        <w:tc>
          <w:tcPr>
            <w:tcW w:type="dxa" w:w="3384"/>
            <w:tcMar>
              <w:top w:w="50" w:type="dxa"/>
              <w:start w:w="60" w:type="dxa"/>
              <w:bottom w:w="50" w:type="dxa"/>
              <w:end w:w="60" w:type="dxa"/>
            </w:tcMar>
            <w:vAlign w:val="top"/>
          </w:tcPr>
          <w:p>
            <w:r>
              <w:rPr>
                <w:sz w:val="18"/>
              </w:rPr>
              <w:t>Raghunātha outwardly performs duties while inwardly renounced.</w:t>
            </w:r>
          </w:p>
        </w:tc>
      </w:tr>
      <w:tr>
        <w:trPr>
          <w:cantSplit w:val="1"/>
        </w:trPr>
        <w:tc>
          <w:tcPr>
            <w:tcW w:type="dxa" w:w="2232"/>
            <w:tcMar>
              <w:top w:w="50" w:type="dxa"/>
              <w:start w:w="60" w:type="dxa"/>
              <w:bottom w:w="50" w:type="dxa"/>
              <w:end w:w="60" w:type="dxa"/>
            </w:tcMar>
            <w:vAlign w:val="top"/>
          </w:tcPr>
          <w:p>
            <w:r>
              <w:rPr>
                <w:sz w:val="18"/>
              </w:rPr>
              <w:t>Meaning of markaṭa-vairāgya</w:t>
            </w:r>
          </w:p>
        </w:tc>
        <w:tc>
          <w:tcPr>
            <w:tcW w:type="dxa" w:w="2232"/>
            <w:tcMar>
              <w:top w:w="50" w:type="dxa"/>
              <w:start w:w="60" w:type="dxa"/>
              <w:bottom w:w="50" w:type="dxa"/>
              <w:end w:w="60" w:type="dxa"/>
            </w:tcMar>
            <w:vAlign w:val="top"/>
          </w:tcPr>
          <w:p>
            <w:r>
              <w:rPr>
                <w:sz w:val="18"/>
              </w:rPr>
              <w:t>CC Madhya 16.238 + later Gauḍīya purport tradition</w:t>
            </w:r>
          </w:p>
        </w:tc>
        <w:tc>
          <w:tcPr>
            <w:tcW w:type="dxa" w:w="2088"/>
            <w:tcMar>
              <w:top w:w="50" w:type="dxa"/>
              <w:start w:w="60" w:type="dxa"/>
              <w:bottom w:w="50" w:type="dxa"/>
              <w:end w:w="60" w:type="dxa"/>
            </w:tcMar>
            <w:vAlign w:val="top"/>
          </w:tcPr>
          <w:p>
            <w:r>
              <w:rPr>
                <w:sz w:val="18"/>
              </w:rPr>
              <w:t>Root term A2; explanatory monkey imagery/pseudo-renunciation elaborated in commentary</w:t>
            </w:r>
          </w:p>
        </w:tc>
        <w:tc>
          <w:tcPr>
            <w:tcW w:type="dxa" w:w="3384"/>
            <w:tcMar>
              <w:top w:w="50" w:type="dxa"/>
              <w:start w:w="60" w:type="dxa"/>
              <w:bottom w:w="50" w:type="dxa"/>
              <w:end w:w="60" w:type="dxa"/>
            </w:tcMar>
            <w:vAlign w:val="top"/>
          </w:tcPr>
          <w:p>
            <w:r>
              <w:rPr>
                <w:sz w:val="18"/>
              </w:rPr>
              <w:t>Keep distinction between verse and later explanatory theology.</w:t>
            </w:r>
          </w:p>
        </w:tc>
      </w:tr>
    </w:tbl>
    <w:p>
      <w:pPr>
        <w:pStyle w:val="Heading2"/>
        <w:keepNext w:val="1"/>
        <w:keepLines w:val="1"/>
      </w:pPr>
      <w:r>
        <w:t>2. Primary quotation ledger</w:t>
      </w:r>
    </w:p>
    <w:p>
      <w:r>
        <w:rPr>
          <w:b/>
          <w:color w:val="7B2638"/>
        </w:rPr>
        <w:t>Caitanya-caritāmṛta, Madhya 16.222</w:t>
      </w:r>
    </w:p>
    <w:p>
      <w:pPr>
        <w:ind w:left="389" w:right="259"/>
      </w:pPr>
      <w:r>
        <w:rPr>
          <w:i/>
        </w:rPr>
        <w:t>sei govardhanera putra — raghunātha dāsa</w:t>
        <w:br/>
        <w:t>bālya-kāla haite teṅho viṣaye udāsa ||222||</w:t>
      </w:r>
    </w:p>
    <w:p>
      <w:pPr>
        <w:ind w:left="389" w:right="259"/>
      </w:pPr>
      <w:r>
        <w:t>That Govardhana’s son was Raghunātha dāsa. From childhood he was indifferent to material enjoyment.</w:t>
      </w:r>
    </w:p>
    <w:p>
      <w:pPr>
        <w:ind w:left="389"/>
      </w:pPr>
      <w:r>
        <w:rPr>
          <w:b/>
          <w:color w:val="7B2638"/>
        </w:rPr>
        <w:t xml:space="preserve">Research use — </w:t>
      </w:r>
      <w:r>
        <w:t>Controls the chapter’s opening. 'From childhood' is explicit; the exact form and degree of childhood austerity are not.</w:t>
      </w:r>
    </w:p>
    <w:p>
      <w:r>
        <w:rPr>
          <w:b/>
          <w:color w:val="7B2638"/>
        </w:rPr>
        <w:t>Caitanya-caritāmṛta, Madhya 16.223–224</w:t>
      </w:r>
    </w:p>
    <w:p>
      <w:pPr>
        <w:ind w:left="389" w:right="259"/>
      </w:pPr>
      <w:r>
        <w:rPr>
          <w:i/>
        </w:rPr>
        <w:t>sannyāsa kari’ prabhu yabe śāntipura āilā</w:t>
        <w:br/>
        <w:t>tabe āsi’ raghunātha prabhure mililā ||223||</w:t>
        <w:br/>
        <w:br/>
        <w:t>prabhura caraṇe paḍe premāviṣṭa hañā</w:t>
        <w:br/>
        <w:t>prabhu pāda-sparśa kaila karuṇā kariyā ||224||</w:t>
      </w:r>
    </w:p>
    <w:p>
      <w:pPr>
        <w:ind w:left="389" w:right="259"/>
      </w:pPr>
      <w:r>
        <w:t>When the Lord came to Śāntipura after accepting sannyāsa, Raghunātha came and met Him. Overwhelmed with love he fell at the Lord’s feet, and the Lord mercifully touched him with His feet.</w:t>
      </w:r>
    </w:p>
    <w:p>
      <w:pPr>
        <w:ind w:left="389"/>
      </w:pPr>
      <w:r>
        <w:rPr>
          <w:b/>
          <w:color w:val="7B2638"/>
        </w:rPr>
        <w:t xml:space="preserve">Research use — </w:t>
      </w:r>
      <w:r>
        <w:t>First direct meeting in this controlled narrative.</w:t>
      </w:r>
    </w:p>
    <w:p>
      <w:r>
        <w:rPr>
          <w:b/>
          <w:color w:val="7B2638"/>
        </w:rPr>
        <w:t>Caitanya-caritāmṛta, Madhya 16.225–226</w:t>
      </w:r>
    </w:p>
    <w:p>
      <w:pPr>
        <w:ind w:left="389" w:right="259"/>
      </w:pPr>
      <w:r>
        <w:rPr>
          <w:i/>
        </w:rPr>
        <w:t>tāṅra pitā sadā kare ācārya-sevana</w:t>
        <w:br/>
        <w:t>ataeva ācārya tāṅre hailā parasanna ||225||</w:t>
        <w:br/>
        <w:br/>
        <w:t>ācārya-prasāde pāila prabhura ucchiṣṭa-pāta</w:t>
        <w:br/>
        <w:t>prabhura caraṇa dekhe dina pāṅca-sāta ||226||</w:t>
      </w:r>
    </w:p>
    <w:p>
      <w:pPr>
        <w:ind w:left="389" w:right="259"/>
      </w:pPr>
      <w:r>
        <w:t>His father always served Advaita Ācārya, and therefore the Ācārya was pleased with him. By Advaita’s mercy Raghunātha received the Lord’s food remnants and remained in the sight/service of the Lord’s feet for five or seven days.</w:t>
      </w:r>
    </w:p>
    <w:p>
      <w:pPr>
        <w:ind w:left="389"/>
      </w:pPr>
      <w:r>
        <w:rPr>
          <w:b/>
          <w:color w:val="7B2638"/>
        </w:rPr>
        <w:t xml:space="preserve">Research use — </w:t>
      </w:r>
      <w:r>
        <w:t>Shows that the family’s devotional network actively facilitated Raghunātha’s access to Mahāprabhu.</w:t>
      </w:r>
    </w:p>
    <w:p>
      <w:r>
        <w:rPr>
          <w:b/>
          <w:color w:val="7B2638"/>
        </w:rPr>
        <w:t>Caitanya-caritāmṛta, Madhya 16.227–230</w:t>
      </w:r>
    </w:p>
    <w:p>
      <w:pPr>
        <w:ind w:left="389" w:right="259"/>
      </w:pPr>
      <w:r>
        <w:rPr>
          <w:i/>
        </w:rPr>
        <w:t>prabhu tāṅre vidāya diyā gelā nīlācala</w:t>
        <w:br/>
        <w:t>teṅho ghare āsi’ hailā premete pāgala ||227||</w:t>
        <w:br/>
        <w:br/>
        <w:t>bāra bāra palāya teṅho nīlādri yāite</w:t>
        <w:br/>
        <w:t>pitā tāṅre bāndhi’ rākhe āni’ patha haite ||228||</w:t>
        <w:br/>
        <w:br/>
        <w:t>pañca pāika tāṅre rākhe rātri-dine</w:t>
        <w:br/>
        <w:t>cāri sevaka, dui brāhmaṇa rahe tāṅra sane ||229||</w:t>
        <w:br/>
        <w:br/>
        <w:t>ekādaśa jana tāṅre rākhe nirantara</w:t>
        <w:br/>
        <w:t>nīlācale yāite nā pāya, duḥkhita antara ||230||</w:t>
      </w:r>
    </w:p>
    <w:p>
      <w:pPr>
        <w:ind w:left="389" w:right="259"/>
      </w:pPr>
      <w:r>
        <w:t>Mahāprabhu returned to Nīlācala; Raghunātha came home and became mad with love. Again and again he tried to leave for Nīlācala, but his father brought him back and restrained him. Five watchmen, four servants and two brāhmaṇas—eleven persons—kept him continuously, so he could not go and remained unhappy within.</w:t>
      </w:r>
    </w:p>
    <w:p>
      <w:pPr>
        <w:ind w:left="389"/>
      </w:pPr>
      <w:r>
        <w:rPr>
          <w:b/>
          <w:color w:val="7B2638"/>
        </w:rPr>
        <w:t xml:space="preserve">Research use — </w:t>
      </w:r>
      <w:r>
        <w:t>The chapter keeps the numerical detail because it is explicit in the root text.</w:t>
      </w:r>
    </w:p>
    <w:p>
      <w:r>
        <w:rPr>
          <w:b/>
          <w:color w:val="7B2638"/>
        </w:rPr>
        <w:t>Caitanya-caritāmṛta, Madhya 16.231–235</w:t>
      </w:r>
    </w:p>
    <w:p>
      <w:pPr>
        <w:ind w:left="389" w:right="259"/>
      </w:pPr>
      <w:r>
        <w:rPr>
          <w:i/>
        </w:rPr>
        <w:t>ebe yadi mahāprabhu ‘śāntipura’ āilā</w:t>
        <w:br/>
        <w:t>śuniyā pitāre raghunātha nivedilā ||231||</w:t>
        <w:br/>
        <w:br/>
        <w:t>“ājñā deha’, yāñā dekhi prabhura caraṇa</w:t>
        <w:br/>
        <w:t>anyathā, nā rahe mora śarīre jīvana” ||232||</w:t>
        <w:br/>
        <w:br/>
        <w:t>śuni’ tāṅra pitā bahu loka-dravya diyā</w:t>
        <w:br/>
        <w:t>pāṭhāila bali’ ‘śīghra āsiha phiriyā’ ||233||</w:t>
        <w:br/>
        <w:br/>
        <w:t>sāta dina śāntipure prabhu-saṅge rahe</w:t>
        <w:br/>
        <w:t>rātri-divase ei manaḥ-kathā kahe ||234||</w:t>
        <w:br/>
        <w:br/>
        <w:t>‘rakṣakera hāte muñi kemane chuṭiba!</w:t>
        <w:br/>
        <w:t>kemane prabhura saṅge nīlācale yāba?’ ||235||</w:t>
      </w:r>
    </w:p>
    <w:p>
      <w:pPr>
        <w:ind w:left="389" w:right="259"/>
      </w:pPr>
      <w:r>
        <w:t>When Mahāprabhu later came to Śāntipura, Raghunātha asked his father for permission to see the Lord’s feet, saying that otherwise life would not remain in his body. His father sent him with servants and supplies and told him to return quickly. He stayed with the Lord for seven days, thinking day and night: 'How shall I escape the guards? How shall I go with the Lord to Nīlācala?'</w:t>
      </w:r>
    </w:p>
    <w:p>
      <w:pPr>
        <w:ind w:left="389"/>
      </w:pPr>
      <w:r>
        <w:rPr>
          <w:b/>
          <w:color w:val="7B2638"/>
        </w:rPr>
        <w:t xml:space="preserve">Research use — </w:t>
      </w:r>
      <w:r>
        <w:t>This is the second Śāntipura unit. Do not merge it with 16.223–226.</w:t>
      </w:r>
    </w:p>
    <w:p>
      <w:r>
        <w:rPr>
          <w:b/>
          <w:color w:val="7B2638"/>
        </w:rPr>
        <w:t>Caitanya-caritāmṛta, Madhya 16.236–237</w:t>
      </w:r>
    </w:p>
    <w:p>
      <w:pPr>
        <w:ind w:left="389" w:right="259"/>
      </w:pPr>
      <w:r>
        <w:rPr>
          <w:i/>
        </w:rPr>
        <w:t>sarvajña gaurāṅga-prabhu jāni’ tāṅra mana</w:t>
        <w:br/>
        <w:t>śikṣā-rūpe kahe tāṅre āśvāsa-vacana ||236||</w:t>
        <w:br/>
        <w:br/>
        <w:t>“sthira hañā ghare yāo, nā hao vātula</w:t>
        <w:br/>
        <w:t>krame krame pāya loka bhava-sindhu-kūla ||237||</w:t>
      </w:r>
    </w:p>
    <w:p>
      <w:pPr>
        <w:ind w:left="389" w:right="259"/>
      </w:pPr>
      <w:r>
        <w:t>Knowing his mind, the omniscient Lord spoke reassuring words in the form of instruction: 'Be steady and return home. Do not become frantic. Gradually a person reaches the far shore of the ocean of material existence.'</w:t>
      </w:r>
    </w:p>
    <w:p>
      <w:pPr>
        <w:ind w:left="389"/>
      </w:pPr>
      <w:r>
        <w:rPr>
          <w:b/>
          <w:color w:val="7B2638"/>
        </w:rPr>
        <w:t xml:space="preserve">Research use — </w:t>
      </w:r>
      <w:r>
        <w:t>āśvāsa-vacana is important: the instruction restrains without extinguishing the longing.</w:t>
      </w:r>
    </w:p>
    <w:p>
      <w:r>
        <w:rPr>
          <w:b/>
          <w:color w:val="7B2638"/>
        </w:rPr>
        <w:t>Caitanya-caritāmṛta, Madhya 16.238–239</w:t>
      </w:r>
    </w:p>
    <w:p>
      <w:pPr>
        <w:ind w:left="389" w:right="259"/>
      </w:pPr>
      <w:r>
        <w:rPr>
          <w:i/>
        </w:rPr>
        <w:t>markaṭa-vairāgya nā kara loka dekhāñā</w:t>
        <w:br/>
        <w:t>yathā-yogya viṣaya bhuñja’ anāsakta hañā ||238||</w:t>
        <w:br/>
        <w:br/>
        <w:t>antare niṣṭhā kara, bāhye loka-vyavahāra</w:t>
        <w:br/>
        <w:t>acirāt kṛṣṇa tomāya karibe uddhāra ||239||</w:t>
      </w:r>
    </w:p>
    <w:p>
      <w:pPr>
        <w:ind w:left="389" w:right="259"/>
      </w:pPr>
      <w:r>
        <w:t>Do not practice monkey-like renunciation for people to see. Accept material circumstances as appropriate, remaining unattached. Establish firmness within; outwardly conduct ordinary human dealings. Before long Kṛṣṇa will deliver you.</w:t>
      </w:r>
    </w:p>
    <w:p>
      <w:pPr>
        <w:ind w:left="389"/>
      </w:pPr>
      <w:r>
        <w:rPr>
          <w:b/>
          <w:color w:val="7B2638"/>
        </w:rPr>
        <w:t xml:space="preserve">Research use — </w:t>
      </w:r>
      <w:r>
        <w:t>The controlling instruction for interpreting his later vairāgya.</w:t>
      </w:r>
    </w:p>
    <w:p>
      <w:r>
        <w:rPr>
          <w:b/>
          <w:color w:val="7B2638"/>
        </w:rPr>
        <w:t>Caitanya-caritāmṛta, Madhya 16.240–241</w:t>
      </w:r>
    </w:p>
    <w:p>
      <w:pPr>
        <w:ind w:left="389" w:right="259"/>
      </w:pPr>
      <w:r>
        <w:rPr>
          <w:i/>
        </w:rPr>
        <w:t>vṛndāvana dekhi’ yabe āsiba nīlācale</w:t>
        <w:br/>
        <w:t>tabe tumi āmā-pāśa āsiha kona chale ||240||</w:t>
        <w:br/>
        <w:br/>
        <w:t>se chala se-kāle kṛṣṇa sphurābe tomāre</w:t>
        <w:br/>
        <w:t>kṛṣṇa-kṛpā yāṅre, tāre ke rākhite pāre” ||241||</w:t>
      </w:r>
    </w:p>
    <w:p>
      <w:pPr>
        <w:ind w:left="389" w:right="259"/>
      </w:pPr>
      <w:r>
        <w:t>When I return to Nīlācala after seeing Vṛndāvana, then come to Me by some pretext. At that time Kṛṣṇa will reveal the means to you. If Kṛṣṇa bestows mercy upon someone, who can keep him back?</w:t>
      </w:r>
    </w:p>
    <w:p>
      <w:pPr>
        <w:ind w:left="389"/>
      </w:pPr>
      <w:r>
        <w:rPr>
          <w:b/>
          <w:color w:val="7B2638"/>
        </w:rPr>
        <w:t xml:space="preserve">Research use — </w:t>
      </w:r>
      <w:r>
        <w:t>Freedom is placed under revealed means and grace, not forced self-liberation.</w:t>
      </w:r>
    </w:p>
    <w:p>
      <w:r>
        <w:rPr>
          <w:b/>
          <w:color w:val="7B2638"/>
        </w:rPr>
        <w:t>Caitanya-caritāmṛta, Madhya 16.242–243</w:t>
      </w:r>
    </w:p>
    <w:p>
      <w:pPr>
        <w:ind w:left="389" w:right="259"/>
      </w:pPr>
      <w:r>
        <w:rPr>
          <w:i/>
        </w:rPr>
        <w:t>eta kahi’ mahāprabhu tāṅre vidāya dila</w:t>
        <w:br/>
        <w:t>ghare āsi’ mahāprabhura śikṣā ācarila ||242||</w:t>
        <w:br/>
        <w:br/>
        <w:t>bāhya vairāgya, vātulatā sakala chāḍiyā</w:t>
        <w:br/>
        <w:t>yathā-yogya kārya kare anāsakta hañā ||243||</w:t>
      </w:r>
    </w:p>
    <w:p>
      <w:pPr>
        <w:ind w:left="389" w:right="259"/>
      </w:pPr>
      <w:r>
        <w:t>Having said this, Mahāprabhu bade him farewell. Raghunātha returned home and practiced the Lord’s instruction. Giving up external renunciation and frantic behavior, he performed the duties appropriate to his position without attachment.</w:t>
      </w:r>
    </w:p>
    <w:p>
      <w:pPr>
        <w:ind w:left="389"/>
      </w:pPr>
      <w:r>
        <w:rPr>
          <w:b/>
          <w:color w:val="7B2638"/>
        </w:rPr>
        <w:t xml:space="preserve">Research use — </w:t>
      </w:r>
      <w:r>
        <w:t>The text explicitly says he obeyed; the waiting period is itself part of his sādhana.</w:t>
      </w:r>
    </w:p>
    <w:p>
      <w:r>
        <w:rPr>
          <w:b/>
          <w:color w:val="7B2638"/>
        </w:rPr>
        <w:t>Caitanya-caritāmṛta, Antya 6.14–15</w:t>
      </w:r>
    </w:p>
    <w:p>
      <w:pPr>
        <w:ind w:left="389" w:right="259"/>
      </w:pPr>
      <w:r>
        <w:rPr>
          <w:i/>
        </w:rPr>
        <w:t>prabhura śikṣāte teṅho nija-ghare yāya</w:t>
        <w:br/>
        <w:t>markaṭa-vairāgya chāḍi’ hailā ‘viṣayi-prāya’ ||14||</w:t>
        <w:br/>
        <w:br/>
        <w:t>bhitare vairāgya, bāhire kare sarva-karma</w:t>
        <w:br/>
        <w:t>dekhiyā ta’ mātā-pitāra ānandita mana ||15||</w:t>
      </w:r>
    </w:p>
    <w:p>
      <w:pPr>
        <w:ind w:left="389" w:right="259"/>
      </w:pPr>
      <w:r>
        <w:t>By the Lord’s instruction he returned home. Giving up monkey-like renunciation, he became outwardly almost like a worldly man. Inside was vairāgya; outside he performed all his duties. Seeing this, his mother and father became happy.</w:t>
      </w:r>
    </w:p>
    <w:p>
      <w:pPr>
        <w:ind w:left="389"/>
      </w:pPr>
      <w:r>
        <w:rPr>
          <w:b/>
          <w:color w:val="7B2638"/>
        </w:rPr>
        <w:t xml:space="preserve">Research use — </w:t>
      </w:r>
      <w:r>
        <w:t>Cross-check and concise retrospective summary of the Madhya 16 instruction.</w:t>
      </w:r>
    </w:p>
    <w:p>
      <w:pPr>
        <w:pStyle w:val="Heading2"/>
        <w:keepNext w:val="1"/>
        <w:keepLines w:val="1"/>
      </w:pPr>
      <w:r>
        <w:t>3. Interpretive controls</w:t>
      </w:r>
    </w:p>
    <w:p>
      <w:pPr>
        <w:ind w:left="259" w:hanging="173"/>
      </w:pPr>
      <w:r>
        <w:rPr>
          <w:b/>
        </w:rPr>
        <w:t xml:space="preserve">• </w:t>
      </w:r>
      <w:r>
        <w:t>The chapter intentionally distinguishes two Śāntipura episodes: first meeting after sannyāsa (16.223–226), then a later meeting after repeated escape attempts (16.231–243).</w:t>
      </w:r>
    </w:p>
    <w:p>
      <w:pPr>
        <w:ind w:left="259" w:hanging="173"/>
      </w:pPr>
      <w:r>
        <w:rPr>
          <w:b/>
        </w:rPr>
        <w:t xml:space="preserve">• </w:t>
      </w:r>
      <w:r>
        <w:t>Do not say Mahāprabhu opposed renunciation itself. He opposed visible/premature markaṭa-vairāgya and instructed anāsakti, inner niṣṭhā and ordinary external conduct.</w:t>
      </w:r>
    </w:p>
    <w:p>
      <w:pPr>
        <w:ind w:left="259" w:hanging="173"/>
      </w:pPr>
      <w:r>
        <w:rPr>
          <w:b/>
        </w:rPr>
        <w:t xml:space="preserve">• </w:t>
      </w:r>
      <w:r>
        <w:t>Do not treat loka-vyavahāra as hypocrisy. Kṛṣṇadāsa explicitly says Raghunātha practiced the instruction and remained inwardly renounced.</w:t>
      </w:r>
    </w:p>
    <w:p>
      <w:pPr>
        <w:ind w:left="259" w:hanging="173"/>
      </w:pPr>
      <w:r>
        <w:rPr>
          <w:b/>
        </w:rPr>
        <w:t xml:space="preserve">• </w:t>
      </w:r>
      <w:r>
        <w:t>Do not make the later extreme austerity contradict this chapter. The biography should present it as mature renunciation that emerged after waiting, grace and direct guidance.</w:t>
      </w:r>
    </w:p>
    <w:p>
      <w:pPr>
        <w:ind w:left="259" w:hanging="173"/>
      </w:pPr>
      <w:r>
        <w:rPr>
          <w:b/>
        </w:rPr>
        <w:t xml:space="preserve">• </w:t>
      </w:r>
      <w:r>
        <w:t>Do not overstate physical 'imprisonment.' The root text says his father bound/restrained him, brought him back from the road, and assigned eleven persons to keep him. 'House arrest' is a modern explanatory shorthand, not the Bengali term.</w:t>
      </w:r>
    </w:p>
    <w:p>
      <w:pPr>
        <w:ind w:left="259" w:hanging="173"/>
      </w:pPr>
      <w:r>
        <w:rPr>
          <w:b/>
        </w:rPr>
        <w:t xml:space="preserve">• </w:t>
      </w:r>
      <w:r>
        <w:t>The monkey imagery behind markaṭa-vairāgya is explained in later Gauḍīya commentary; the root verse itself contains the compound and the charge of public display.</w:t>
      </w:r>
    </w:p>
    <w:p>
      <w:pPr>
        <w:pStyle w:val="Heading2"/>
        <w:keepNext w:val="1"/>
        <w:keepLines w:val="1"/>
      </w:pPr>
      <w:r>
        <w:t>4. Continuity handoff to Chapter 3</w:t>
      </w:r>
    </w:p>
    <w:p>
      <w:r>
        <w:t>Chapter 3 should show what obedience looked like in practice. The next narrative unit is not escape but competence: Raghunātha functions inside the family’s revenue world, becomes involved in the dispute with the Muslim caudhurī, uses intelligence and humility to negotiate his release, and outwardly appears increasingly settled. Only after that period do the repeated escape attempts resume and Pānihāṭi becomes the decisive turning point.</w:t>
      </w:r>
    </w:p>
    <w:p>
      <w:pPr>
        <w:pStyle w:val="Heading2"/>
        <w:keepNext w:val="1"/>
        <w:keepLines w:val="1"/>
      </w:pPr>
      <w:r>
        <w:t>5. Finalization checklist for RDGB-02</w:t>
      </w:r>
    </w:p>
    <w:p>
      <w:pPr>
        <w:ind w:left="259" w:hanging="173"/>
      </w:pPr>
      <w:r>
        <w:rPr>
          <w:b/>
        </w:rPr>
        <w:t xml:space="preserve">• </w:t>
      </w:r>
      <w:r>
        <w:t>User prose approval.</w:t>
      </w:r>
    </w:p>
    <w:p>
      <w:pPr>
        <w:ind w:left="259" w:hanging="173"/>
      </w:pPr>
      <w:r>
        <w:rPr>
          <w:b/>
        </w:rPr>
        <w:t xml:space="preserve">• </w:t>
      </w:r>
      <w:r>
        <w:t>Final source audit against the root Bengali of Madhya 16.222–243 and Antya 6.14–15.</w:t>
      </w:r>
    </w:p>
    <w:p>
      <w:pPr>
        <w:ind w:left="259" w:hanging="173"/>
      </w:pPr>
      <w:r>
        <w:rPr>
          <w:b/>
        </w:rPr>
        <w:t xml:space="preserve">• </w:t>
      </w:r>
      <w:r>
        <w:t>Literary audit for repetition of 'longing,' 'escape,' and 'renunciation.'</w:t>
      </w:r>
    </w:p>
    <w:p>
      <w:pPr>
        <w:ind w:left="259" w:hanging="173"/>
      </w:pPr>
      <w:r>
        <w:rPr>
          <w:b/>
        </w:rPr>
        <w:t xml:space="preserve">• </w:t>
      </w:r>
      <w:r>
        <w:t>Check whether 'education of renunciation' remains the best subtitle after Chapter 3 is drafted.</w:t>
      </w:r>
    </w:p>
    <w:p>
      <w:pPr>
        <w:ind w:left="259" w:hanging="173"/>
      </w:pPr>
      <w:r>
        <w:rPr>
          <w:b/>
        </w:rPr>
        <w:t xml:space="preserve">• </w:t>
      </w:r>
      <w:r>
        <w:t>Ensure Chapter 3 does not duplicate the guard sequence already narrated here.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RDGB-02 • Draft v0.1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RDGB-02 — At Śāntipura: Longing, Restraint, and the Education of Renunciation — Draft v0.1</dc:title>
  <dc:subject>Govardhana Pilgrimage — Raghunātha dāsa Gosvāmī biography</dc:subject>
  <dc:creator>python-docx</dc:creator>
  <cp:keywords>Raghunatha dasa Gosvami, Shantipura, markata-vairagya, Caitanya Mahaprabhu, biography</cp:keywords>
  <dc:description>generated by python-docx</dc:description>
  <cp:lastModifiedBy/>
  <cp:revision>1</cp:revision>
  <dcterms:created xsi:type="dcterms:W3CDTF">2013-12-23T23:15:00Z</dcterms:created>
  <dcterms:modified xsi:type="dcterms:W3CDTF">2013-12-23T23:15:00Z</dcterms:modified>
  <cp:category/>
</cp:coreProperties>
</file>